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Design Specification</w:t>
      </w:r>
    </w:p>
    <w:p>
      <w:r>
        <w:t>Project: ContractIQ AI</w:t>
      </w:r>
    </w:p>
    <w:p>
      <w:r>
        <w:t>Version: 1.0</w:t>
      </w:r>
    </w:p>
    <w:p>
      <w:pPr>
        <w:pStyle w:val="Heading2"/>
      </w:pPr>
      <w:r>
        <w:t>Document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Document Agent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Triggered after contract upload.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Contract file from Supabase Storage.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Extracted text, metadata, chunks.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contracts, contract_files, contract_chunks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Retry up to 3 times; log execution.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Document parsed successfully.</w:t>
            </w:r>
          </w:p>
        </w:tc>
      </w:tr>
    </w:tbl>
    <w:p>
      <w:pPr>
        <w:pStyle w:val="Heading2"/>
      </w:pPr>
      <w:r>
        <w:t>Clause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Clause Agent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Triggered after chunk creation.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Contract chunks.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Detected legal clauses.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clauses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Retry up to 3 times; log execution.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Clauses stored with confidence score.</w:t>
            </w:r>
          </w:p>
        </w:tc>
      </w:tr>
    </w:tbl>
    <w:p>
      <w:pPr>
        <w:pStyle w:val="Heading2"/>
      </w:pPr>
      <w:r>
        <w:t>Entity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Entity Agent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Triggered after chunk creation.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Contract chunks.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Named entities (party, dates, amounts, etc.).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entities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Retry up to 3 times; log execution.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Entities extracted successfully.</w:t>
            </w:r>
          </w:p>
        </w:tc>
      </w:tr>
    </w:tbl>
    <w:p>
      <w:pPr>
        <w:pStyle w:val="Heading2"/>
      </w:pPr>
      <w:r>
        <w:t>Risk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Risk Agent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Triggered after Clause and Entity completion.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Clauses + Entities.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Risk assessment and recommendations.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risks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Retry up to 3 times; log execution.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Risks classified correctly.</w:t>
            </w:r>
          </w:p>
        </w:tc>
      </w:tr>
    </w:tbl>
    <w:p>
      <w:pPr>
        <w:pStyle w:val="Heading2"/>
      </w:pPr>
      <w:r>
        <w:t>Summary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Summary Agent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Triggered after Risk analysis.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Clauses, Entities, Risks.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Executive summary.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summaries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Retry up to 3 times; log execution.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Summary generated.</w:t>
            </w:r>
          </w:p>
        </w:tc>
      </w:tr>
    </w:tbl>
    <w:p>
      <w:pPr>
        <w:pStyle w:val="Heading2"/>
      </w:pPr>
      <w:r>
        <w:t>Report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Report Agent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Triggered after Summary.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All analysis results.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PDF/JSON report.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reports</w:t>
            </w:r>
          </w:p>
        </w:tc>
      </w:tr>
      <w:tr>
        <w:tc>
          <w:tcPr>
            <w:tcW w:type="dxa" w:w="4320"/>
          </w:tcPr>
          <w:p>
            <w:r>
              <w:t>Failure Handling</w:t>
            </w:r>
          </w:p>
        </w:tc>
        <w:tc>
          <w:tcPr>
            <w:tcW w:type="dxa" w:w="4320"/>
          </w:tcPr>
          <w:p>
            <w:r>
              <w:t>Retry up to 3 times; log execution.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Report generated and stored.</w:t>
            </w:r>
          </w:p>
        </w:tc>
      </w:tr>
    </w:tbl>
    <w:p>
      <w:pPr>
        <w:pStyle w:val="Heading2"/>
      </w:pPr>
      <w:r>
        <w:t>Common Standards</w:t>
      </w:r>
    </w:p>
    <w:p>
      <w:pPr>
        <w:pStyle w:val="ListBullet"/>
      </w:pPr>
      <w:r>
        <w:t>All agents are stateless.</w:t>
      </w:r>
    </w:p>
    <w:p>
      <w:pPr>
        <w:pStyle w:val="ListBullet"/>
      </w:pPr>
      <w:r>
        <w:t>Agents communicate through LangGraph state.</w:t>
      </w:r>
    </w:p>
    <w:p>
      <w:pPr>
        <w:pStyle w:val="ListBullet"/>
      </w:pPr>
      <w:r>
        <w:t>Database access only through ContractService.</w:t>
      </w:r>
    </w:p>
    <w:p>
      <w:pPr>
        <w:pStyle w:val="ListBullet"/>
      </w:pPr>
      <w:r>
        <w:t>Every execution logged in agent_executions.</w:t>
      </w:r>
    </w:p>
    <w:p>
      <w:pPr>
        <w:pStyle w:val="ListBullet"/>
      </w:pPr>
      <w:r>
        <w:t>Prompts are version controlled.</w:t>
      </w:r>
    </w:p>
    <w:p>
      <w:pPr>
        <w:pStyle w:val="ListBullet"/>
      </w:pPr>
      <w:r>
        <w:t>LLM provider configurable (Gemini/OpenAI).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