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62D40" w14:textId="0EF66B49" w:rsidR="00AB23BD" w:rsidRPr="00AB23BD" w:rsidRDefault="00AB23BD" w:rsidP="00AB23BD">
      <w:pPr>
        <w:pStyle w:val="Heading1"/>
      </w:pPr>
      <w:r>
        <w:t xml:space="preserve">        </w:t>
      </w:r>
      <w:r w:rsidRPr="00AB23BD">
        <w:t>Power Puff Girls Arts and Science College</w:t>
      </w:r>
    </w:p>
    <w:p w14:paraId="20B1AF1C" w14:textId="77777777" w:rsidR="007924BC" w:rsidRPr="007924BC" w:rsidRDefault="007924BC" w:rsidP="007924BC">
      <w:r w:rsidRPr="007924BC">
        <w:t>Power Puff Girls Arts and Science College stands as a beacon of women's empowerment in higher education, nestled in the vibrant heart of Townsville, Tamil Nadu. Founded in 2006, this institution was envisioned as a dedicated space for young women to pursue academic excellence while embracing values of strength, resilience, and innovation—drawing subtle inspiration from themes of empowerment and heroism. As an exclusively women's college, it prioritizes creating a safe, inclusive, and nurturing environment that encourages students to break barriers and achieve their full potential. Affiliated with the esteemed University of Townsville, the college adheres to rigorous academic standards and curricula designed to align with national educational frameworks. Its prestigious NAAC A+ accreditation, earned through consistent evaluations of teaching quality, infrastructure, and student outcomes, underscores its commitment to excellence. This accreditation not only reflects high standards in governance and research but also enhances the value of degrees awarded, making graduates highly competitive in the job market.</w:t>
      </w:r>
    </w:p>
    <w:p w14:paraId="5B9798DE" w14:textId="77777777" w:rsidR="007924BC" w:rsidRPr="007924BC" w:rsidRDefault="007924BC" w:rsidP="007924BC">
      <w:r w:rsidRPr="007924BC">
        <w:t>The campus itself is a sprawling, eco-friendly haven, spanning over 20 acres of lush greenery, complete with landscaped gardens, walking paths, and sustainable features like solar-powered lighting and rainwater harvesting systems. This green ethos promotes environmental awareness among students and contributes to a serene learning atmosphere. Infrastructure is state-of-the-art, featuring modern amenities such as air-conditioned lecture halls equipped with smart boards and projectors, high-speed Wi-Fi across the entire campus for seamless digital learning, and specialized facilities tailored to various disciplines. The student-friendly environment extends beyond academics, with amenities like a well-stocked cafeteria offering nutritious meals, recreational areas for relaxation, and on-campus hostels that provide secure, comfortable living spaces with 24/7 security, study rooms, and recreational facilities. These elements collectively foster a holistic development approach, ensuring students thrive academically, socially, and personally.</w:t>
      </w:r>
    </w:p>
    <w:p w14:paraId="61D0525D" w14:textId="77777777" w:rsidR="007924BC" w:rsidRPr="007924BC" w:rsidRDefault="007924BC" w:rsidP="007924BC">
      <w:pPr>
        <w:rPr>
          <w:b/>
          <w:bCs/>
        </w:rPr>
      </w:pPr>
      <w:r w:rsidRPr="007924BC">
        <w:rPr>
          <w:b/>
          <w:bCs/>
        </w:rPr>
        <w:t>Academic Programs and Faculty Excellence</w:t>
      </w:r>
    </w:p>
    <w:p w14:paraId="0FF4B233" w14:textId="77777777" w:rsidR="007924BC" w:rsidRPr="007924BC" w:rsidRDefault="007924BC" w:rsidP="007924BC">
      <w:r w:rsidRPr="007924BC">
        <w:t xml:space="preserve">The college offers an extensive array of undergraduate (UG) and postgraduate (PG) programs across diverse streams, including arts, science, commerce, and management. UG programs typically span three years, while PG courses are two-year intensive tracks, all designed to blend foundational knowledge with contemporary skills. For instance, in the arts stream, students can pursue degrees like B.A. in English Literature or History, emphasizing critical thinking and cultural studies. Science offerings include B.Sc. in Physics, Chemistry, or Biotechnology, with a focus on experimental learning. Commerce and management programs, such as </w:t>
      </w:r>
      <w:proofErr w:type="gramStart"/>
      <w:r w:rsidRPr="007924BC">
        <w:t>B.Com</w:t>
      </w:r>
      <w:proofErr w:type="gramEnd"/>
      <w:r w:rsidRPr="007924BC">
        <w:t xml:space="preserve"> or BBA, incorporate business analytics and entrepreneurship modules to prepare students for dynamic corporate roles. PG options build on these, with M.Sc. in Computer Science or M.A. in Psychology, often including research components and electives in emerging fields like data analytics or sustainable development.</w:t>
      </w:r>
    </w:p>
    <w:p w14:paraId="3964FE08" w14:textId="77777777" w:rsidR="007924BC" w:rsidRPr="007924BC" w:rsidRDefault="007924BC" w:rsidP="007924BC">
      <w:r w:rsidRPr="007924BC">
        <w:t xml:space="preserve">At the core of this academic ecosystem is a team of over 100 qualified and experienced faculty members, many holding PhDs from renowned institutions and with years of industry or research experience. Faculty not only deliver theoretical lectures but also prioritize practical application through hands-on lab sessions, where students engage in experiments using advanced equipment like spectrophotometers in chemistry labs or simulation software in computer science departments. Internships are integral, with tie-ups to local industries and organizations, allowing students to gain real-world exposure—such as fieldwork in environmental science or corporate projects in management. Industry collaborations further enrich the curriculum; for example, guest lectures from </w:t>
      </w:r>
      <w:r w:rsidRPr="007924BC">
        <w:lastRenderedPageBreak/>
        <w:t>professionals at tech firms introduce cutting-edge trends, while joint workshops enhance skill-building in areas like digital marketing or scientific research methodologies.</w:t>
      </w:r>
    </w:p>
    <w:p w14:paraId="727258E3" w14:textId="77777777" w:rsidR="007924BC" w:rsidRPr="007924BC" w:rsidRDefault="007924BC" w:rsidP="007924BC">
      <w:pPr>
        <w:rPr>
          <w:b/>
          <w:bCs/>
        </w:rPr>
      </w:pPr>
      <w:r w:rsidRPr="007924BC">
        <w:rPr>
          <w:b/>
          <w:bCs/>
        </w:rPr>
        <w:t>Facilities and Support Systems</w:t>
      </w:r>
    </w:p>
    <w:p w14:paraId="27C8F075" w14:textId="77777777" w:rsidR="007924BC" w:rsidRPr="007924BC" w:rsidRDefault="007924BC" w:rsidP="007924BC">
      <w:r w:rsidRPr="007924BC">
        <w:t xml:space="preserve">Supporting these programs are top-tier facilities that cater to both academic and personal needs. The digital library is a highlight, housing over 50,000 physical books, e-books, and subscriptions to international journals via platforms like JSTOR and EBSCO. Students can access these resources remotely through a user-friendly portal, complete with plagiarism-checking tools and research databases. Laboratories are discipline-specific and fully equipped—for sciences, they include biology dissection rooms, physics optics setups, and chemistry fume hoods; for arts and commerce, there are language labs and computer </w:t>
      </w:r>
      <w:proofErr w:type="spellStart"/>
      <w:r w:rsidRPr="007924BC">
        <w:t>centers</w:t>
      </w:r>
      <w:proofErr w:type="spellEnd"/>
      <w:r w:rsidRPr="007924BC">
        <w:t xml:space="preserve"> with software for data analysis and graphic design.</w:t>
      </w:r>
    </w:p>
    <w:p w14:paraId="62BD72DF" w14:textId="77777777" w:rsidR="007924BC" w:rsidRPr="007924BC" w:rsidRDefault="007924BC" w:rsidP="007924BC">
      <w:r w:rsidRPr="007924BC">
        <w:t xml:space="preserve">The dedicated career guidance cell plays a pivotal role in bridging academia and employment. It offers personalized </w:t>
      </w:r>
      <w:proofErr w:type="spellStart"/>
      <w:r w:rsidRPr="007924BC">
        <w:t>counseling</w:t>
      </w:r>
      <w:proofErr w:type="spellEnd"/>
      <w:r w:rsidRPr="007924BC">
        <w:t>, resume-building workshops, mock interviews, and aptitude training sessions throughout the academic year. This proactive approach has resulted in an impressive placement record, with over 90% of graduating students securing offers from top-tier companies such as Infosys, TCS, Deloitte, Wipro, and emerging startups in sectors like IT, finance, and consulting. Placement drives are held annually on campus, attracting recruiters who value the college's emphasis on well-rounded, skilled graduates. Average starting salaries range from ₹4-6 lakhs per annum for UG students to ₹6-10 lakhs for PG, with many alumni advancing to leadership roles or pursuing higher studies abroad.</w:t>
      </w:r>
    </w:p>
    <w:p w14:paraId="18ECC1F6" w14:textId="77777777" w:rsidR="007924BC" w:rsidRPr="007924BC" w:rsidRDefault="007924BC" w:rsidP="007924BC">
      <w:pPr>
        <w:rPr>
          <w:b/>
          <w:bCs/>
        </w:rPr>
      </w:pPr>
      <w:r w:rsidRPr="007924BC">
        <w:rPr>
          <w:b/>
          <w:bCs/>
        </w:rPr>
        <w:t>Holistic Development and Extracurricular Engagement</w:t>
      </w:r>
    </w:p>
    <w:p w14:paraId="4DD9B1E3" w14:textId="77777777" w:rsidR="007924BC" w:rsidRPr="007924BC" w:rsidRDefault="007924BC" w:rsidP="007924BC">
      <w:r w:rsidRPr="007924BC">
        <w:t xml:space="preserve">Beyond the classroom, Power Puff Girls Arts and Science College emphasizes holistic growth through a vibrant array of co-curricular and extracurricular activities. Students are encouraged to join clubs and societies, such as the Literary Club for debating and creative writing, the Science Forum for innovation challenges, or the Cultural Society for performing arts like dance and </w:t>
      </w:r>
      <w:proofErr w:type="spellStart"/>
      <w:r w:rsidRPr="007924BC">
        <w:t>theater</w:t>
      </w:r>
      <w:proofErr w:type="spellEnd"/>
      <w:r w:rsidRPr="007924BC">
        <w:t>. Annual events like the "Empower Fest" celebrate creativity with competitions in art, music, and sports, while inter-college fests provide platforms for showcasing talents. Sports facilities include indoor gyms, outdoor courts for basketball and volleyball, and yoga sessions to promote physical well-being. Leadership opportunities abound through student councils, NSS (National Service Scheme) units for community service—like village adoption programs or awareness campaigns on women's health—and entrepreneurship cells that incubate student-led startups.</w:t>
      </w:r>
    </w:p>
    <w:p w14:paraId="338A4228" w14:textId="77777777" w:rsidR="007924BC" w:rsidRPr="007924BC" w:rsidRDefault="007924BC" w:rsidP="007924BC">
      <w:r w:rsidRPr="007924BC">
        <w:t>The college also integrates value-based education, with modules on ethics, gender equality, and social responsibility woven into the curriculum. This fosters qualities like teamwork, empathy, and resilience, preparing students not just for careers but for life.</w:t>
      </w:r>
    </w:p>
    <w:p w14:paraId="5A18D990" w14:textId="77777777" w:rsidR="007924BC" w:rsidRPr="007924BC" w:rsidRDefault="007924BC" w:rsidP="007924BC">
      <w:pPr>
        <w:rPr>
          <w:b/>
          <w:bCs/>
        </w:rPr>
      </w:pPr>
      <w:r w:rsidRPr="007924BC">
        <w:rPr>
          <w:b/>
          <w:bCs/>
        </w:rPr>
        <w:t>Parent-College Partnership and Transparency</w:t>
      </w:r>
    </w:p>
    <w:p w14:paraId="065F4BC6" w14:textId="77777777" w:rsidR="007924BC" w:rsidRPr="007924BC" w:rsidRDefault="007924BC" w:rsidP="007924BC">
      <w:r w:rsidRPr="007924BC">
        <w:t xml:space="preserve">Recognizing the crucial role of parents in a student's success, the college maintains robust communication channels. Regular parent-teacher meetings, progress reports sent via email or the college app, and workshops on topics like career planning ensure parents are actively involved. The transparent fee structure is detailed on the website, with breakdowns for tuition, lab fees, and extracurriculars—typically ranging from ₹50,000-₹1,00,000 annually for UG programs, inclusive of scholarships for meritorious or economically disadvantaged students. Personalized mentoring programs assign faculty advisors to small groups of students, providing guidance on academics, emotional well-being, and goal-setting. In cases of challenges, such as academic probation or </w:t>
      </w:r>
      <w:r w:rsidRPr="007924BC">
        <w:lastRenderedPageBreak/>
        <w:t xml:space="preserve">personal issues, the college's </w:t>
      </w:r>
      <w:proofErr w:type="spellStart"/>
      <w:r w:rsidRPr="007924BC">
        <w:t>counseling</w:t>
      </w:r>
      <w:proofErr w:type="spellEnd"/>
      <w:r w:rsidRPr="007924BC">
        <w:t xml:space="preserve"> </w:t>
      </w:r>
      <w:proofErr w:type="spellStart"/>
      <w:r w:rsidRPr="007924BC">
        <w:t>center</w:t>
      </w:r>
      <w:proofErr w:type="spellEnd"/>
      <w:r w:rsidRPr="007924BC">
        <w:t xml:space="preserve"> offers confidential support, with updates shared with parents as appropriate.</w:t>
      </w:r>
    </w:p>
    <w:p w14:paraId="10EA91F8" w14:textId="77777777" w:rsidR="007924BC" w:rsidRPr="007924BC" w:rsidRDefault="007924BC" w:rsidP="007924BC">
      <w:r w:rsidRPr="007924BC">
        <w:t>In summary, Power Puff Girls Arts and Science College is more than an educational institution—it's a transformative space where women are empowered to lead with knowledge, confidence, and compassion. With its blend of academic rigor, modern facilities, strong placement support, and focus on all-round development, it continues to shape futures and contribute to society's progress. For more details, prospective students and parents are invited to visit the campus or explore the official website.</w:t>
      </w:r>
    </w:p>
    <w:p w14:paraId="0E89776B" w14:textId="77777777" w:rsidR="008D1655" w:rsidRDefault="008D1655"/>
    <w:sectPr w:rsidR="008D16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BD"/>
    <w:rsid w:val="00200A1B"/>
    <w:rsid w:val="002F5917"/>
    <w:rsid w:val="003F15EC"/>
    <w:rsid w:val="00771177"/>
    <w:rsid w:val="007924BC"/>
    <w:rsid w:val="008D1655"/>
    <w:rsid w:val="0091740D"/>
    <w:rsid w:val="00AB23BD"/>
    <w:rsid w:val="00B97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261C"/>
  <w15:chartTrackingRefBased/>
  <w15:docId w15:val="{947EA3F3-ECDF-4733-AB63-8D7189C7E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3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3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3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3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3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3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3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3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3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3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3BD"/>
    <w:rPr>
      <w:rFonts w:eastAsiaTheme="majorEastAsia" w:cstheme="majorBidi"/>
      <w:color w:val="272727" w:themeColor="text1" w:themeTint="D8"/>
    </w:rPr>
  </w:style>
  <w:style w:type="paragraph" w:styleId="Title">
    <w:name w:val="Title"/>
    <w:basedOn w:val="Normal"/>
    <w:next w:val="Normal"/>
    <w:link w:val="TitleChar"/>
    <w:uiPriority w:val="10"/>
    <w:qFormat/>
    <w:rsid w:val="00AB2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3BD"/>
    <w:pPr>
      <w:spacing w:before="160"/>
      <w:jc w:val="center"/>
    </w:pPr>
    <w:rPr>
      <w:i/>
      <w:iCs/>
      <w:color w:val="404040" w:themeColor="text1" w:themeTint="BF"/>
    </w:rPr>
  </w:style>
  <w:style w:type="character" w:customStyle="1" w:styleId="QuoteChar">
    <w:name w:val="Quote Char"/>
    <w:basedOn w:val="DefaultParagraphFont"/>
    <w:link w:val="Quote"/>
    <w:uiPriority w:val="29"/>
    <w:rsid w:val="00AB23BD"/>
    <w:rPr>
      <w:i/>
      <w:iCs/>
      <w:color w:val="404040" w:themeColor="text1" w:themeTint="BF"/>
    </w:rPr>
  </w:style>
  <w:style w:type="paragraph" w:styleId="ListParagraph">
    <w:name w:val="List Paragraph"/>
    <w:basedOn w:val="Normal"/>
    <w:uiPriority w:val="34"/>
    <w:qFormat/>
    <w:rsid w:val="00AB23BD"/>
    <w:pPr>
      <w:ind w:left="720"/>
      <w:contextualSpacing/>
    </w:pPr>
  </w:style>
  <w:style w:type="character" w:styleId="IntenseEmphasis">
    <w:name w:val="Intense Emphasis"/>
    <w:basedOn w:val="DefaultParagraphFont"/>
    <w:uiPriority w:val="21"/>
    <w:qFormat/>
    <w:rsid w:val="00AB23BD"/>
    <w:rPr>
      <w:i/>
      <w:iCs/>
      <w:color w:val="2F5496" w:themeColor="accent1" w:themeShade="BF"/>
    </w:rPr>
  </w:style>
  <w:style w:type="paragraph" w:styleId="IntenseQuote">
    <w:name w:val="Intense Quote"/>
    <w:basedOn w:val="Normal"/>
    <w:next w:val="Normal"/>
    <w:link w:val="IntenseQuoteChar"/>
    <w:uiPriority w:val="30"/>
    <w:qFormat/>
    <w:rsid w:val="00AB23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3BD"/>
    <w:rPr>
      <w:i/>
      <w:iCs/>
      <w:color w:val="2F5496" w:themeColor="accent1" w:themeShade="BF"/>
    </w:rPr>
  </w:style>
  <w:style w:type="character" w:styleId="IntenseReference">
    <w:name w:val="Intense Reference"/>
    <w:basedOn w:val="DefaultParagraphFont"/>
    <w:uiPriority w:val="32"/>
    <w:qFormat/>
    <w:rsid w:val="00AB23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048587">
      <w:bodyDiv w:val="1"/>
      <w:marLeft w:val="0"/>
      <w:marRight w:val="0"/>
      <w:marTop w:val="0"/>
      <w:marBottom w:val="0"/>
      <w:divBdr>
        <w:top w:val="none" w:sz="0" w:space="0" w:color="auto"/>
        <w:left w:val="none" w:sz="0" w:space="0" w:color="auto"/>
        <w:bottom w:val="none" w:sz="0" w:space="0" w:color="auto"/>
        <w:right w:val="none" w:sz="0" w:space="0" w:color="auto"/>
      </w:divBdr>
    </w:div>
    <w:div w:id="198253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1250</Words>
  <Characters>7131</Characters>
  <Application>Microsoft Office Word</Application>
  <DocSecurity>0</DocSecurity>
  <Lines>59</Lines>
  <Paragraphs>16</Paragraphs>
  <ScaleCrop>false</ScaleCrop>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Revathi S</dc:creator>
  <cp:keywords/>
  <dc:description/>
  <cp:lastModifiedBy>Revathi S</cp:lastModifiedBy>
  <cp:revision>2</cp:revision>
  <dcterms:created xsi:type="dcterms:W3CDTF">2025-07-19T14:34:00Z</dcterms:created>
  <dcterms:modified xsi:type="dcterms:W3CDTF">2025-10-18T14:24:00Z</dcterms:modified>
</cp:coreProperties>
</file>