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CDE2E1" w14:textId="77777777" w:rsidR="007911AB" w:rsidRPr="007911AB" w:rsidRDefault="007911AB" w:rsidP="007911AB">
      <w:pPr>
        <w:rPr>
          <w:b/>
          <w:bCs/>
        </w:rPr>
      </w:pPr>
      <w:r w:rsidRPr="007911AB">
        <w:rPr>
          <w:b/>
          <w:bCs/>
        </w:rPr>
        <w:t>Academic Policies (For Professors) - Student Evaluation Guidelines</w:t>
      </w:r>
    </w:p>
    <w:p w14:paraId="3185BD7D" w14:textId="77777777" w:rsidR="007911AB" w:rsidRPr="007911AB" w:rsidRDefault="007911AB" w:rsidP="007911AB">
      <w:pPr>
        <w:jc w:val="both"/>
      </w:pPr>
      <w:r w:rsidRPr="007911AB">
        <w:t>At Power Puff Girls Arts and Science College, academic policies are designed to promote excellence in teaching, fairness in evaluation, and integrity in all educational practices. Professors are expected to maintain high standards in curriculum delivery, ensuring alignment with the UGC norms and university syllabus. Course plans must be submitted at the beginning of each semester, clearly outlining objectives, learning outcomes, and evaluation criteria.</w:t>
      </w:r>
    </w:p>
    <w:p w14:paraId="72C31FAD" w14:textId="77777777" w:rsidR="007911AB" w:rsidRPr="007911AB" w:rsidRDefault="007911AB" w:rsidP="007911AB">
      <w:pPr>
        <w:jc w:val="both"/>
      </w:pPr>
      <w:r w:rsidRPr="007911AB">
        <w:t>All faculty are required to maintain an updated course logbook and digital attendance using the college ERP system. At least 75% of total classes must be conducted as per the academic calendar. Any deviation or rescheduling of lectures should be updated in the portal and communicated to students with prior notice.</w:t>
      </w:r>
    </w:p>
    <w:p w14:paraId="42A323B0" w14:textId="77777777" w:rsidR="007911AB" w:rsidRPr="007911AB" w:rsidRDefault="007911AB" w:rsidP="007911AB">
      <w:pPr>
        <w:jc w:val="both"/>
      </w:pPr>
      <w:r w:rsidRPr="007911AB">
        <w:t>Faculty must participate in internal assessment structuring. This includes designing question papers, conducting assignments and project evaluations, and holding remedial sessions for students with low performance. Mid-semester reviews are compulsory for every course and should be documented for quality assurance.</w:t>
      </w:r>
    </w:p>
    <w:p w14:paraId="079CE9E3" w14:textId="77777777" w:rsidR="007911AB" w:rsidRPr="007911AB" w:rsidRDefault="007911AB" w:rsidP="007911AB">
      <w:pPr>
        <w:jc w:val="both"/>
      </w:pPr>
      <w:r w:rsidRPr="007911AB">
        <w:t>A minimum of two professional development programs (FDPs/Workshops/Seminars) per academic year is encouraged. Professors are also expected to publish at least one academic paper in a UGC-listed or peer-reviewed journal annually, to promote a culture of research and innovation.</w:t>
      </w:r>
    </w:p>
    <w:p w14:paraId="29C55FDD" w14:textId="77777777" w:rsidR="007911AB" w:rsidRPr="007911AB" w:rsidRDefault="007911AB" w:rsidP="007911AB">
      <w:pPr>
        <w:jc w:val="both"/>
      </w:pPr>
      <w:r w:rsidRPr="007911AB">
        <w:t>Ethical conduct is strictly enforced. Plagiarism in research, discrimination in evaluation, or academic negligence will attract action as per the Staff Conduct Code. A grievance redressal committee is available for both staff and students to maintain transparency and trust.</w:t>
      </w:r>
    </w:p>
    <w:p w14:paraId="13FB762F" w14:textId="77777777" w:rsidR="007911AB" w:rsidRPr="007911AB" w:rsidRDefault="007911AB" w:rsidP="007911AB">
      <w:pPr>
        <w:jc w:val="both"/>
      </w:pPr>
      <w:r w:rsidRPr="007911AB">
        <w:t>Detailed Guidelines for Professors in Evaluating Students</w:t>
      </w:r>
    </w:p>
    <w:p w14:paraId="30F194D5" w14:textId="77777777" w:rsidR="007911AB" w:rsidRPr="007911AB" w:rsidRDefault="007911AB" w:rsidP="007911AB">
      <w:pPr>
        <w:jc w:val="both"/>
      </w:pPr>
      <w:r w:rsidRPr="007911AB">
        <w:t>Evaluation of students is a critical responsibility for professors, aimed at fostering learning, providing constructive feedback, and ensuring equitable assessment. All evaluations must align with the college's grading system (based on a 10-point CGPA scale) and UGC guidelines, promoting transparency, objectivity, and continuous improvement. Professors are required to integrate formative and summative assessments throughout the semester, with internals contributing 40% (quizzes, assignments, projects) and externals 60% (end-semester exams). Below are comprehensive details on the evaluation process, tools, timelines, and best practices.</w:t>
      </w:r>
    </w:p>
    <w:p w14:paraId="3EE78C37" w14:textId="77777777" w:rsidR="007911AB" w:rsidRPr="007911AB" w:rsidRDefault="007911AB" w:rsidP="007911AB">
      <w:pPr>
        <w:numPr>
          <w:ilvl w:val="0"/>
          <w:numId w:val="1"/>
        </w:numPr>
        <w:jc w:val="both"/>
      </w:pPr>
      <w:r w:rsidRPr="007911AB">
        <w:t xml:space="preserve">Preparation and Planning for Evaluations </w:t>
      </w:r>
    </w:p>
    <w:p w14:paraId="53FAF5D7" w14:textId="77777777" w:rsidR="007911AB" w:rsidRPr="007911AB" w:rsidRDefault="007911AB" w:rsidP="007911AB">
      <w:pPr>
        <w:numPr>
          <w:ilvl w:val="1"/>
          <w:numId w:val="1"/>
        </w:numPr>
        <w:jc w:val="both"/>
      </w:pPr>
      <w:r w:rsidRPr="007911AB">
        <w:t>Course-Specific Evaluation Criteria: At the start of each semester, professors must define and share evaluation criteria in the course plan, uploaded to the ERP system. This includes weightage for each component (e.g., 10% quizzes, 15% assignments, 15% projects/labs). Criteria should be linked to learning outcomes, such as knowledge application, critical thinking, or practical skills.</w:t>
      </w:r>
    </w:p>
    <w:p w14:paraId="5DB62D78" w14:textId="77777777" w:rsidR="007911AB" w:rsidRPr="007911AB" w:rsidRDefault="007911AB" w:rsidP="007911AB">
      <w:pPr>
        <w:numPr>
          <w:ilvl w:val="1"/>
          <w:numId w:val="1"/>
        </w:numPr>
        <w:jc w:val="both"/>
      </w:pPr>
      <w:r w:rsidRPr="007911AB">
        <w:t>Diversity in Assessment Methods: Incorporate varied tools to cater to different learning styles—e.g., multiple-choice quizzes for recall, essays for analysis, group projects for collaboration, and practical demos for hands-on skills. For UG courses, emphasize foundational assessments; for PG, include advanced research-based evaluations like thesis reviews.</w:t>
      </w:r>
    </w:p>
    <w:p w14:paraId="30FB31CE" w14:textId="77777777" w:rsidR="007911AB" w:rsidRPr="007911AB" w:rsidRDefault="007911AB" w:rsidP="007911AB">
      <w:pPr>
        <w:numPr>
          <w:ilvl w:val="1"/>
          <w:numId w:val="1"/>
        </w:numPr>
        <w:jc w:val="both"/>
      </w:pPr>
      <w:r w:rsidRPr="007911AB">
        <w:t>Prerequisites for Evaluation: Ensure all students meet attendance thresholds (minimum 75%) before allowing them to participate in assessments. Professors must verify this via the ERP attendance module.</w:t>
      </w:r>
    </w:p>
    <w:p w14:paraId="2FB2842D" w14:textId="77777777" w:rsidR="007911AB" w:rsidRPr="007911AB" w:rsidRDefault="007911AB" w:rsidP="007911AB">
      <w:pPr>
        <w:numPr>
          <w:ilvl w:val="0"/>
          <w:numId w:val="1"/>
        </w:numPr>
        <w:jc w:val="both"/>
      </w:pPr>
      <w:r w:rsidRPr="007911AB">
        <w:lastRenderedPageBreak/>
        <w:t xml:space="preserve">Designing and Conducting Assessments </w:t>
      </w:r>
    </w:p>
    <w:p w14:paraId="6E85921A" w14:textId="77777777" w:rsidR="007911AB" w:rsidRPr="007911AB" w:rsidRDefault="007911AB" w:rsidP="007911AB">
      <w:pPr>
        <w:numPr>
          <w:ilvl w:val="1"/>
          <w:numId w:val="1"/>
        </w:numPr>
        <w:jc w:val="both"/>
      </w:pPr>
      <w:r w:rsidRPr="007911AB">
        <w:t>Question Paper Design: For quizzes, midterms, and end-semester exams, papers must cover the full syllabus proportionally (e.g., 30% from initial units, 40% mid-syllabus, 30% advanced topics). Include a mix of question types: objective (20-30%), short-answer (30-40%), and long-answer/analytical (30-40%). Blueprints must be approved by the department head at least two weeks prior. Use Bloom's Taxonomy to ensure questions assess higher-order skills like analysis and evaluation.</w:t>
      </w:r>
    </w:p>
    <w:p w14:paraId="1542F4E5" w14:textId="77777777" w:rsidR="007911AB" w:rsidRPr="007911AB" w:rsidRDefault="007911AB" w:rsidP="007911AB">
      <w:pPr>
        <w:numPr>
          <w:ilvl w:val="1"/>
          <w:numId w:val="1"/>
        </w:numPr>
        <w:jc w:val="both"/>
      </w:pPr>
      <w:r w:rsidRPr="007911AB">
        <w:t>Assignments and Projects: Assign at least two individual assignments and one group project per semester. Topics should be relevant to real-world applications (e.g., case studies in psychology or coding projects in computer science). Provide rubrics with clear scoring breakdowns (e.g., 40% content, 30% originality, 20% presentation, 10% timeliness). Deadlines must be set via the ERP portal, with extensions granted only for documented reasons (e.g., medical certificates).</w:t>
      </w:r>
    </w:p>
    <w:p w14:paraId="44B9BC00" w14:textId="77777777" w:rsidR="007911AB" w:rsidRPr="007911AB" w:rsidRDefault="007911AB" w:rsidP="007911AB">
      <w:pPr>
        <w:numPr>
          <w:ilvl w:val="1"/>
          <w:numId w:val="1"/>
        </w:numPr>
        <w:jc w:val="both"/>
      </w:pPr>
      <w:r w:rsidRPr="007911AB">
        <w:t>Lab and Practical Evaluations: For science-based courses, conduct weekly lab assessments focusing on technique, accuracy, and safety. Use viva-voce sessions (10-15 minutes per student) to evaluate understanding. Maintain lab journals for ongoing grading.</w:t>
      </w:r>
    </w:p>
    <w:p w14:paraId="246E186E" w14:textId="77777777" w:rsidR="007911AB" w:rsidRPr="007911AB" w:rsidRDefault="007911AB" w:rsidP="007911AB">
      <w:pPr>
        <w:numPr>
          <w:ilvl w:val="1"/>
          <w:numId w:val="1"/>
        </w:numPr>
        <w:jc w:val="both"/>
      </w:pPr>
      <w:r w:rsidRPr="007911AB">
        <w:t>Online Assessments: For digital tools (e.g., Moodle quizzes), ensure anti-cheating measures like timed questions, randomized order, and proctoring via webcam. Professors must train on these platforms during FDPs.</w:t>
      </w:r>
    </w:p>
    <w:p w14:paraId="2EABF1EE" w14:textId="77777777" w:rsidR="007911AB" w:rsidRPr="007911AB" w:rsidRDefault="007911AB" w:rsidP="007911AB">
      <w:pPr>
        <w:numPr>
          <w:ilvl w:val="0"/>
          <w:numId w:val="1"/>
        </w:numPr>
        <w:jc w:val="both"/>
      </w:pPr>
      <w:r w:rsidRPr="007911AB">
        <w:t xml:space="preserve">Evaluation Timelines and Processes </w:t>
      </w:r>
    </w:p>
    <w:p w14:paraId="156CF342" w14:textId="77777777" w:rsidR="007911AB" w:rsidRPr="007911AB" w:rsidRDefault="007911AB" w:rsidP="007911AB">
      <w:pPr>
        <w:numPr>
          <w:ilvl w:val="1"/>
          <w:numId w:val="1"/>
        </w:numPr>
        <w:jc w:val="both"/>
      </w:pPr>
      <w:r w:rsidRPr="007911AB">
        <w:t>Formative Assessments: Conduct quizzes or assignments every 4-6 weeks. Mid-semester evaluations (e.g., internal exams) must occur by Week 8, with results shared within 10 days via the ERP portal.</w:t>
      </w:r>
    </w:p>
    <w:p w14:paraId="0FBCDC82" w14:textId="77777777" w:rsidR="007911AB" w:rsidRPr="007911AB" w:rsidRDefault="007911AB" w:rsidP="007911AB">
      <w:pPr>
        <w:numPr>
          <w:ilvl w:val="1"/>
          <w:numId w:val="1"/>
        </w:numPr>
        <w:jc w:val="both"/>
      </w:pPr>
      <w:r w:rsidRPr="007911AB">
        <w:t>Summative Assessments: End-semester exams are scheduled per the university calendar. Professors invigilate and evaluate answer scripts within 15 days of exam completion. Double-evaluation (by another faculty) is mandatory for borderline cases (e.g., scores between 40-50%).</w:t>
      </w:r>
    </w:p>
    <w:p w14:paraId="5B641D2C" w14:textId="77777777" w:rsidR="007911AB" w:rsidRPr="007911AB" w:rsidRDefault="007911AB" w:rsidP="007911AB">
      <w:pPr>
        <w:numPr>
          <w:ilvl w:val="1"/>
          <w:numId w:val="1"/>
        </w:numPr>
        <w:jc w:val="both"/>
      </w:pPr>
      <w:r w:rsidRPr="007911AB">
        <w:t>Feedback and Remedial Sessions: Post-evaluation, provide detailed feedback—highlight strengths, weaknesses, and improvement tips. For students scoring below 50% in internals, hold mandatory remedial classes (at least 2 sessions per low-performer). Document attendance and progress in the course logbook.</w:t>
      </w:r>
    </w:p>
    <w:p w14:paraId="2AC018CC" w14:textId="77777777" w:rsidR="007911AB" w:rsidRPr="007911AB" w:rsidRDefault="007911AB" w:rsidP="007911AB">
      <w:pPr>
        <w:numPr>
          <w:ilvl w:val="1"/>
          <w:numId w:val="1"/>
        </w:numPr>
        <w:jc w:val="both"/>
      </w:pPr>
      <w:r w:rsidRPr="007911AB">
        <w:t>Revaluation and Grievances: Students can request revaluation within 7 days of result declaration (fee: ₹500 per paper). Professors must re-assess transparently, with outcomes reviewed by the department head. Use the grievance committee for disputes.</w:t>
      </w:r>
    </w:p>
    <w:p w14:paraId="26840E99" w14:textId="77777777" w:rsidR="007911AB" w:rsidRPr="007911AB" w:rsidRDefault="007911AB" w:rsidP="007911AB">
      <w:pPr>
        <w:numPr>
          <w:ilvl w:val="0"/>
          <w:numId w:val="1"/>
        </w:numPr>
        <w:jc w:val="both"/>
      </w:pPr>
      <w:r w:rsidRPr="007911AB">
        <w:t xml:space="preserve">Ensuring Fairness, Integrity, and Inclusivity </w:t>
      </w:r>
    </w:p>
    <w:p w14:paraId="3330B7CF" w14:textId="5A7A2F7E" w:rsidR="007911AB" w:rsidRPr="007911AB" w:rsidRDefault="007911AB" w:rsidP="007911AB">
      <w:pPr>
        <w:numPr>
          <w:ilvl w:val="1"/>
          <w:numId w:val="1"/>
        </w:numPr>
        <w:jc w:val="both"/>
      </w:pPr>
      <w:r w:rsidRPr="007911AB">
        <w:t xml:space="preserve">Objectivity and Bias Prevention: Use anonymized grading (e.g., via roll numbers) to avoid bias. Avoid </w:t>
      </w:r>
      <w:r w:rsidR="005B6E8A" w:rsidRPr="007911AB">
        <w:t>favouritism</w:t>
      </w:r>
      <w:r w:rsidRPr="007911AB">
        <w:t>; all evaluations must be evidence-based. For diverse student needs (e.g., differently-abled), provide accommodations like extra time or assistive tools, approved by the Dean.</w:t>
      </w:r>
    </w:p>
    <w:p w14:paraId="6F084AD3" w14:textId="77777777" w:rsidR="007911AB" w:rsidRPr="007911AB" w:rsidRDefault="007911AB" w:rsidP="007911AB">
      <w:pPr>
        <w:numPr>
          <w:ilvl w:val="1"/>
          <w:numId w:val="1"/>
        </w:numPr>
        <w:jc w:val="both"/>
      </w:pPr>
      <w:r w:rsidRPr="007911AB">
        <w:lastRenderedPageBreak/>
        <w:t>Plagiarism and Malpractice Detection: Screen all submissions using tools like Turnitin (integrated in ERP). Detected cases (similarity &gt;20%) result in zero marks for that component; repeat offenses lead to disciplinary action. Educate students on citation styles (APA/MLA) during initial classes.</w:t>
      </w:r>
    </w:p>
    <w:p w14:paraId="2C2B7D8F" w14:textId="77777777" w:rsidR="007911AB" w:rsidRPr="007911AB" w:rsidRDefault="007911AB" w:rsidP="007911AB">
      <w:pPr>
        <w:numPr>
          <w:ilvl w:val="1"/>
          <w:numId w:val="1"/>
        </w:numPr>
        <w:jc w:val="both"/>
      </w:pPr>
      <w:r w:rsidRPr="007911AB">
        <w:t>Documentation and Quality Assurance: Maintain detailed records of all evaluations in the ERP system, including raw scores, rubrics, and feedback notes. Mid-semester reviews involve self-audits and peer feedback to ensure consistency across faculty. Annual audits by the IQAC (Internal Quality Assurance Cell) review evaluation practices.</w:t>
      </w:r>
    </w:p>
    <w:p w14:paraId="1B7CA900" w14:textId="77777777" w:rsidR="007911AB" w:rsidRPr="007911AB" w:rsidRDefault="007911AB" w:rsidP="007911AB">
      <w:pPr>
        <w:numPr>
          <w:ilvl w:val="1"/>
          <w:numId w:val="1"/>
        </w:numPr>
        <w:jc w:val="both"/>
      </w:pPr>
      <w:r w:rsidRPr="007911AB">
        <w:t>Ethical Standards: Discrimination based on gender, caste, or background is prohibited. Professors found negligent (e.g., delayed grading) face warnings or salary deductions as per the Staff Conduct Code.</w:t>
      </w:r>
    </w:p>
    <w:p w14:paraId="186C1482" w14:textId="77777777" w:rsidR="007911AB" w:rsidRPr="007911AB" w:rsidRDefault="007911AB" w:rsidP="007911AB">
      <w:pPr>
        <w:numPr>
          <w:ilvl w:val="0"/>
          <w:numId w:val="1"/>
        </w:numPr>
        <w:jc w:val="both"/>
      </w:pPr>
      <w:r w:rsidRPr="007911AB">
        <w:t xml:space="preserve">Professional Development in Evaluation </w:t>
      </w:r>
    </w:p>
    <w:p w14:paraId="055B78DA" w14:textId="77777777" w:rsidR="007911AB" w:rsidRPr="007911AB" w:rsidRDefault="007911AB" w:rsidP="007911AB">
      <w:pPr>
        <w:numPr>
          <w:ilvl w:val="1"/>
          <w:numId w:val="1"/>
        </w:numPr>
        <w:jc w:val="both"/>
      </w:pPr>
      <w:r w:rsidRPr="007911AB">
        <w:t>Attend at least one FDP annually focused on assessment techniques (e.g., outcome-based education workshops). Share best practices in departmental meetings to standardize evaluations college-wide.</w:t>
      </w:r>
    </w:p>
    <w:p w14:paraId="2137EA76" w14:textId="77777777" w:rsidR="007911AB" w:rsidRPr="007911AB" w:rsidRDefault="007911AB" w:rsidP="007911AB">
      <w:pPr>
        <w:numPr>
          <w:ilvl w:val="1"/>
          <w:numId w:val="1"/>
        </w:numPr>
        <w:jc w:val="both"/>
      </w:pPr>
      <w:r w:rsidRPr="007911AB">
        <w:t>Research Integration: Encourage evaluations that incorporate research elements, such as mini-projects leading to publications, aligning with the annual paper requirement.</w:t>
      </w:r>
    </w:p>
    <w:p w14:paraId="792A6B3C" w14:textId="77777777" w:rsidR="007911AB" w:rsidRPr="007911AB" w:rsidRDefault="007911AB" w:rsidP="007911AB">
      <w:pPr>
        <w:jc w:val="both"/>
      </w:pPr>
      <w:r w:rsidRPr="007911AB">
        <w:t>By adhering to these guidelines, professors contribute to a robust, student-</w:t>
      </w:r>
      <w:proofErr w:type="spellStart"/>
      <w:r w:rsidRPr="007911AB">
        <w:t>centered</w:t>
      </w:r>
      <w:proofErr w:type="spellEnd"/>
      <w:r w:rsidRPr="007911AB">
        <w:t xml:space="preserve"> evaluation system that not only measures performance but also enhances learning outcomes. For queries or clarifications, contact the Academic Coordinator or refer to the UGC handbook available in the faculty portal.</w:t>
      </w:r>
    </w:p>
    <w:p w14:paraId="0FCF701D" w14:textId="77777777" w:rsidR="008D1655" w:rsidRDefault="008D1655"/>
    <w:sectPr w:rsidR="008D16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5D689F"/>
    <w:multiLevelType w:val="multilevel"/>
    <w:tmpl w:val="CBA030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317804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243B"/>
    <w:rsid w:val="003F15EC"/>
    <w:rsid w:val="005B6E8A"/>
    <w:rsid w:val="005F19C7"/>
    <w:rsid w:val="0068243B"/>
    <w:rsid w:val="00771177"/>
    <w:rsid w:val="007911AB"/>
    <w:rsid w:val="008D1655"/>
    <w:rsid w:val="0091740D"/>
    <w:rsid w:val="00B97017"/>
    <w:rsid w:val="00F773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7241E"/>
  <w15:chartTrackingRefBased/>
  <w15:docId w15:val="{597B318B-B40A-4187-8D4C-5F2EF2D9E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24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24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243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243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24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24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24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24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24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243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24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243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243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24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24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24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24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243B"/>
    <w:rPr>
      <w:rFonts w:eastAsiaTheme="majorEastAsia" w:cstheme="majorBidi"/>
      <w:color w:val="272727" w:themeColor="text1" w:themeTint="D8"/>
    </w:rPr>
  </w:style>
  <w:style w:type="paragraph" w:styleId="Title">
    <w:name w:val="Title"/>
    <w:basedOn w:val="Normal"/>
    <w:next w:val="Normal"/>
    <w:link w:val="TitleChar"/>
    <w:uiPriority w:val="10"/>
    <w:qFormat/>
    <w:rsid w:val="006824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24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24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24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243B"/>
    <w:pPr>
      <w:spacing w:before="160"/>
      <w:jc w:val="center"/>
    </w:pPr>
    <w:rPr>
      <w:i/>
      <w:iCs/>
      <w:color w:val="404040" w:themeColor="text1" w:themeTint="BF"/>
    </w:rPr>
  </w:style>
  <w:style w:type="character" w:customStyle="1" w:styleId="QuoteChar">
    <w:name w:val="Quote Char"/>
    <w:basedOn w:val="DefaultParagraphFont"/>
    <w:link w:val="Quote"/>
    <w:uiPriority w:val="29"/>
    <w:rsid w:val="0068243B"/>
    <w:rPr>
      <w:i/>
      <w:iCs/>
      <w:color w:val="404040" w:themeColor="text1" w:themeTint="BF"/>
    </w:rPr>
  </w:style>
  <w:style w:type="paragraph" w:styleId="ListParagraph">
    <w:name w:val="List Paragraph"/>
    <w:basedOn w:val="Normal"/>
    <w:uiPriority w:val="34"/>
    <w:qFormat/>
    <w:rsid w:val="0068243B"/>
    <w:pPr>
      <w:ind w:left="720"/>
      <w:contextualSpacing/>
    </w:pPr>
  </w:style>
  <w:style w:type="character" w:styleId="IntenseEmphasis">
    <w:name w:val="Intense Emphasis"/>
    <w:basedOn w:val="DefaultParagraphFont"/>
    <w:uiPriority w:val="21"/>
    <w:qFormat/>
    <w:rsid w:val="0068243B"/>
    <w:rPr>
      <w:i/>
      <w:iCs/>
      <w:color w:val="2F5496" w:themeColor="accent1" w:themeShade="BF"/>
    </w:rPr>
  </w:style>
  <w:style w:type="paragraph" w:styleId="IntenseQuote">
    <w:name w:val="Intense Quote"/>
    <w:basedOn w:val="Normal"/>
    <w:next w:val="Normal"/>
    <w:link w:val="IntenseQuoteChar"/>
    <w:uiPriority w:val="30"/>
    <w:qFormat/>
    <w:rsid w:val="006824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243B"/>
    <w:rPr>
      <w:i/>
      <w:iCs/>
      <w:color w:val="2F5496" w:themeColor="accent1" w:themeShade="BF"/>
    </w:rPr>
  </w:style>
  <w:style w:type="character" w:styleId="IntenseReference">
    <w:name w:val="Intense Reference"/>
    <w:basedOn w:val="DefaultParagraphFont"/>
    <w:uiPriority w:val="32"/>
    <w:qFormat/>
    <w:rsid w:val="0068243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2222866">
      <w:bodyDiv w:val="1"/>
      <w:marLeft w:val="0"/>
      <w:marRight w:val="0"/>
      <w:marTop w:val="0"/>
      <w:marBottom w:val="0"/>
      <w:divBdr>
        <w:top w:val="none" w:sz="0" w:space="0" w:color="auto"/>
        <w:left w:val="none" w:sz="0" w:space="0" w:color="auto"/>
        <w:bottom w:val="none" w:sz="0" w:space="0" w:color="auto"/>
        <w:right w:val="none" w:sz="0" w:space="0" w:color="auto"/>
      </w:divBdr>
    </w:div>
    <w:div w:id="716516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1165</Words>
  <Characters>6643</Characters>
  <Application>Microsoft Office Word</Application>
  <DocSecurity>0</DocSecurity>
  <Lines>55</Lines>
  <Paragraphs>15</Paragraphs>
  <ScaleCrop>false</ScaleCrop>
  <Company/>
  <LinksUpToDate>false</LinksUpToDate>
  <CharactersWithSpaces>7793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Revathi S</dc:creator>
  <cp:keywords/>
  <dc:description/>
  <cp:lastModifiedBy>Revathi S</cp:lastModifiedBy>
  <cp:revision>3</cp:revision>
  <dcterms:created xsi:type="dcterms:W3CDTF">2025-07-19T16:04:00Z</dcterms:created>
  <dcterms:modified xsi:type="dcterms:W3CDTF">2025-10-18T14:29:00Z</dcterms:modified>
</cp:coreProperties>
</file>