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A08EC" w14:textId="77777777" w:rsidR="007C19C2" w:rsidRPr="007C19C2" w:rsidRDefault="007C19C2" w:rsidP="007C19C2">
      <w:pPr>
        <w:rPr>
          <w:b/>
          <w:bCs/>
        </w:rPr>
      </w:pPr>
      <w:r w:rsidRPr="007C19C2">
        <w:rPr>
          <w:b/>
          <w:bCs/>
        </w:rPr>
        <w:t>Administrative Policies (For Dean and Professors)</w:t>
      </w:r>
    </w:p>
    <w:p w14:paraId="06B50F3E" w14:textId="77777777" w:rsidR="007C19C2" w:rsidRPr="007C19C2" w:rsidRDefault="007C19C2" w:rsidP="007C19C2">
      <w:pPr>
        <w:jc w:val="both"/>
      </w:pPr>
      <w:r w:rsidRPr="007C19C2">
        <w:t>At Powerpuff Girls Arts and Science College, administrative policies are crafted to ensure efficient operations, accountability, and a supportive environment for academic leadership. These policies apply to all staff but include specific responsibilities for the Dean and Professors to uphold institutional standards, foster innovation, and maintain oversight. The Dean, as the chief academic administrator, holds overarching authority in policy enforcement, while Professors, including Heads of Departments (</w:t>
      </w:r>
      <w:proofErr w:type="spellStart"/>
      <w:r w:rsidRPr="007C19C2">
        <w:t>HoDs</w:t>
      </w:r>
      <w:proofErr w:type="spellEnd"/>
      <w:r w:rsidRPr="007C19C2">
        <w:t>), are responsible for implementation at the departmental level. Violations may lead to review by the Administrative Council. Below is an elaborated version of the key policies, with detailed procedures, examples, and role-specific guidelines.</w:t>
      </w:r>
    </w:p>
    <w:p w14:paraId="6B167844" w14:textId="77777777" w:rsidR="007C19C2" w:rsidRPr="007C19C2" w:rsidRDefault="007C19C2" w:rsidP="007C19C2">
      <w:pPr>
        <w:numPr>
          <w:ilvl w:val="0"/>
          <w:numId w:val="2"/>
        </w:numPr>
        <w:jc w:val="both"/>
      </w:pPr>
      <w:r w:rsidRPr="007C19C2">
        <w:rPr>
          <w:b/>
          <w:bCs/>
        </w:rPr>
        <w:t>Attendance and Timings</w:t>
      </w:r>
      <w:r w:rsidRPr="007C19C2">
        <w:t xml:space="preserve"> </w:t>
      </w:r>
    </w:p>
    <w:p w14:paraId="5810B220" w14:textId="77777777" w:rsidR="007C19C2" w:rsidRPr="007C19C2" w:rsidRDefault="007C19C2" w:rsidP="007C19C2">
      <w:pPr>
        <w:numPr>
          <w:ilvl w:val="1"/>
          <w:numId w:val="2"/>
        </w:numPr>
        <w:jc w:val="both"/>
      </w:pPr>
      <w:r w:rsidRPr="007C19C2">
        <w:rPr>
          <w:b/>
          <w:bCs/>
        </w:rPr>
        <w:t>Core Requirements</w:t>
      </w:r>
      <w:r w:rsidRPr="007C19C2">
        <w:t>: All staff, including the Dean and Professors, must adhere to the standard working hours of 9:00 AM to 4:30 PM, Monday through Saturday (with half-days on alternate Saturdays as per the academic calendar). Biometric login is mandatory at the main entrance and exit points to track attendance accurately and promote punctuality. This system integrates with the college's ERP (Enterprise Resource Planning) portal for real-time monitoring.</w:t>
      </w:r>
    </w:p>
    <w:p w14:paraId="138E6559" w14:textId="77777777" w:rsidR="007C19C2" w:rsidRPr="007C19C2" w:rsidRDefault="007C19C2" w:rsidP="007C19C2">
      <w:pPr>
        <w:numPr>
          <w:ilvl w:val="1"/>
          <w:numId w:val="2"/>
        </w:numPr>
        <w:jc w:val="both"/>
      </w:pPr>
      <w:r w:rsidRPr="007C19C2">
        <w:rPr>
          <w:b/>
          <w:bCs/>
        </w:rPr>
        <w:t>Late Arrival and Justification</w:t>
      </w:r>
      <w:r w:rsidRPr="007C19C2">
        <w:t>: Late arrivals are permitted up to 15 minutes grace period daily. However, exceeding three late arrivals in a calendar month triggers an automated notification via the ERP system, requiring a formal justification submitted within 24 hours (e.g., via email to the HR department with supporting documents like medical notes or traffic reports). Repeated instances (more than two months in a semester) may result in deductions from casual leave entitlements or performance review impacts.</w:t>
      </w:r>
    </w:p>
    <w:p w14:paraId="58D2B423" w14:textId="77777777" w:rsidR="007C19C2" w:rsidRPr="007C19C2" w:rsidRDefault="007C19C2" w:rsidP="007C19C2">
      <w:pPr>
        <w:numPr>
          <w:ilvl w:val="1"/>
          <w:numId w:val="2"/>
        </w:numPr>
        <w:jc w:val="both"/>
      </w:pPr>
      <w:r w:rsidRPr="007C19C2">
        <w:rPr>
          <w:b/>
          <w:bCs/>
        </w:rPr>
        <w:t>Leave Application Process</w:t>
      </w:r>
      <w:r w:rsidRPr="007C19C2">
        <w:t xml:space="preserve">: Leaves, including casual, earned, medical, or sabbatical, must be applied for through the ERP portal at least 48 hours in advance for planned absences. Emergency leaves (e.g., sudden illness) require immediate notification to the immediate superior (for Professors: </w:t>
      </w:r>
      <w:proofErr w:type="spellStart"/>
      <w:r w:rsidRPr="007C19C2">
        <w:t>HoD</w:t>
      </w:r>
      <w:proofErr w:type="spellEnd"/>
      <w:r w:rsidRPr="007C19C2">
        <w:t xml:space="preserve"> or Dean; for Dean: Principal's office) followed by retrospective approval within 72 hours. Professors are entitled to 12 casual leaves per year, while the Dean has flexible discretionary leaves but must ensure coverage of duties. Sabbaticals for research (up to 6 months) are available for tenured Professors with Dean's approval, requiring a proposal outlining research objectives and substitute arrangements.</w:t>
      </w:r>
    </w:p>
    <w:p w14:paraId="26559462" w14:textId="77777777" w:rsidR="007C19C2" w:rsidRPr="007C19C2" w:rsidRDefault="007C19C2" w:rsidP="007C19C2">
      <w:pPr>
        <w:numPr>
          <w:ilvl w:val="1"/>
          <w:numId w:val="2"/>
        </w:numPr>
        <w:jc w:val="both"/>
      </w:pPr>
      <w:r w:rsidRPr="007C19C2">
        <w:rPr>
          <w:b/>
          <w:bCs/>
        </w:rPr>
        <w:t>Role-Specific Guidelines</w:t>
      </w:r>
      <w:r w:rsidRPr="007C19C2">
        <w:t xml:space="preserve">: The Dean is responsible for overseeing overall staff attendance compliance, reviewing monthly reports, and approving leaves for </w:t>
      </w:r>
      <w:proofErr w:type="spellStart"/>
      <w:r w:rsidRPr="007C19C2">
        <w:t>HoDs</w:t>
      </w:r>
      <w:proofErr w:type="spellEnd"/>
      <w:r w:rsidRPr="007C19C2">
        <w:t xml:space="preserve"> and senior faculty. Professors must model punctuality for students and ensure departmental coverage during absences (e.g., assigning substitute lecturers). During examination periods or events like "Powerpuff Fest," extended hours may be required, with compensatory off-days granted at the Dean's discretion.</w:t>
      </w:r>
    </w:p>
    <w:p w14:paraId="3C2A3C22" w14:textId="77777777" w:rsidR="007C19C2" w:rsidRPr="007C19C2" w:rsidRDefault="007C19C2" w:rsidP="007C19C2">
      <w:pPr>
        <w:numPr>
          <w:ilvl w:val="0"/>
          <w:numId w:val="2"/>
        </w:numPr>
        <w:jc w:val="both"/>
      </w:pPr>
      <w:r w:rsidRPr="007C19C2">
        <w:rPr>
          <w:b/>
          <w:bCs/>
        </w:rPr>
        <w:t>Communication &amp; Documentation</w:t>
      </w:r>
      <w:r w:rsidRPr="007C19C2">
        <w:t xml:space="preserve"> </w:t>
      </w:r>
    </w:p>
    <w:p w14:paraId="3B51B799" w14:textId="77777777" w:rsidR="007C19C2" w:rsidRPr="007C19C2" w:rsidRDefault="007C19C2" w:rsidP="007C19C2">
      <w:pPr>
        <w:numPr>
          <w:ilvl w:val="1"/>
          <w:numId w:val="2"/>
        </w:numPr>
        <w:jc w:val="both"/>
      </w:pPr>
      <w:r w:rsidRPr="007C19C2">
        <w:rPr>
          <w:b/>
          <w:bCs/>
        </w:rPr>
        <w:t>Official Channels</w:t>
      </w:r>
      <w:r w:rsidRPr="007C19C2">
        <w:t xml:space="preserve">: All administrative and academic communications must be conducted via designated platforms: the ERP portal for internal memos, official email (college domain only) for formal correspondence, and the college intranet for announcements. Verbal communications should be followed up with written records </w:t>
      </w:r>
      <w:r w:rsidRPr="007C19C2">
        <w:lastRenderedPageBreak/>
        <w:t>to avoid misunderstandings. For example, meeting agendas must be circulated 24 hours in advance, and outcomes documented within 48 hours.</w:t>
      </w:r>
    </w:p>
    <w:p w14:paraId="48FD3ADA" w14:textId="77777777" w:rsidR="007C19C2" w:rsidRPr="007C19C2" w:rsidRDefault="007C19C2" w:rsidP="007C19C2">
      <w:pPr>
        <w:numPr>
          <w:ilvl w:val="1"/>
          <w:numId w:val="2"/>
        </w:numPr>
        <w:jc w:val="both"/>
      </w:pPr>
      <w:r w:rsidRPr="007C19C2">
        <w:rPr>
          <w:b/>
          <w:bCs/>
        </w:rPr>
        <w:t>Documentation Standards</w:t>
      </w:r>
      <w:r w:rsidRPr="007C19C2">
        <w:t>: Circulars, approvals, meeting minutes, and reports must be filed in both digital (via ERP with version control) and hard copies (stored in departmental archives). Follow the standardized numbering format: e.g., PPG/DEPT/YYYY/SEQ (where PPG is college code, DEPT is department abbreviation, YYYY is year, SEQ is sequential number). Retention periods vary—e.g., 5 years for financial docs, permanent for policy changes.</w:t>
      </w:r>
    </w:p>
    <w:p w14:paraId="35C7A7F8" w14:textId="77777777" w:rsidR="007C19C2" w:rsidRPr="007C19C2" w:rsidRDefault="007C19C2" w:rsidP="007C19C2">
      <w:pPr>
        <w:numPr>
          <w:ilvl w:val="1"/>
          <w:numId w:val="2"/>
        </w:numPr>
        <w:jc w:val="both"/>
      </w:pPr>
      <w:r w:rsidRPr="007C19C2">
        <w:rPr>
          <w:b/>
          <w:bCs/>
        </w:rPr>
        <w:t>Role-Specific Guidelines</w:t>
      </w:r>
      <w:r w:rsidRPr="007C19C2">
        <w:t xml:space="preserve">: </w:t>
      </w:r>
      <w:proofErr w:type="spellStart"/>
      <w:r w:rsidRPr="007C19C2">
        <w:t>HoDs</w:t>
      </w:r>
      <w:proofErr w:type="spellEnd"/>
      <w:r w:rsidRPr="007C19C2">
        <w:t xml:space="preserve"> (typically senior Professors) are accountable for maintaining comprehensive departmental records, including student progress files, faculty performance logs, and research documentation. They must submit quarterly reports to the Dean on communication compliance. The Dean oversees inter-departmental and external communications (e.g., with University of Blossom or accrediting bodies like NAAC), ensuring all documents align with UGC norms. Professors must document student interactions (e.g., mentoring sessions) in the ERP to support grievance resolutions or academic audits. Non-compliance, such as using personal emails for official matters, may lead to warnings or access restrictions.</w:t>
      </w:r>
    </w:p>
    <w:p w14:paraId="4783A8B7" w14:textId="77777777" w:rsidR="007C19C2" w:rsidRPr="007C19C2" w:rsidRDefault="007C19C2" w:rsidP="007C19C2">
      <w:pPr>
        <w:numPr>
          <w:ilvl w:val="0"/>
          <w:numId w:val="2"/>
        </w:numPr>
        <w:jc w:val="both"/>
      </w:pPr>
      <w:r w:rsidRPr="007C19C2">
        <w:rPr>
          <w:b/>
          <w:bCs/>
        </w:rPr>
        <w:t>Financial Discipline</w:t>
      </w:r>
      <w:r w:rsidRPr="007C19C2">
        <w:t xml:space="preserve"> </w:t>
      </w:r>
    </w:p>
    <w:p w14:paraId="20EC433B" w14:textId="77777777" w:rsidR="007C19C2" w:rsidRPr="007C19C2" w:rsidRDefault="007C19C2" w:rsidP="007C19C2">
      <w:pPr>
        <w:numPr>
          <w:ilvl w:val="1"/>
          <w:numId w:val="2"/>
        </w:numPr>
        <w:jc w:val="both"/>
      </w:pPr>
      <w:r w:rsidRPr="007C19C2">
        <w:rPr>
          <w:b/>
          <w:bCs/>
        </w:rPr>
        <w:t>Budget Planning and Submission</w:t>
      </w:r>
      <w:r w:rsidRPr="007C19C2">
        <w:t>: Each department must prepare and submit an annual budget plan during the first week of the academic year (typically June), detailing projected expenses for resources like lab equipment, seminars, and faculty development. This plan must be reviewed and approved by the Dean before allocation from the college's central fund.</w:t>
      </w:r>
    </w:p>
    <w:p w14:paraId="22DC049A" w14:textId="77777777" w:rsidR="007C19C2" w:rsidRPr="007C19C2" w:rsidRDefault="007C19C2" w:rsidP="007C19C2">
      <w:pPr>
        <w:numPr>
          <w:ilvl w:val="1"/>
          <w:numId w:val="2"/>
        </w:numPr>
        <w:jc w:val="both"/>
      </w:pPr>
      <w:r w:rsidRPr="007C19C2">
        <w:rPr>
          <w:b/>
          <w:bCs/>
        </w:rPr>
        <w:t>Purchases and Approvals</w:t>
      </w:r>
      <w:r w:rsidRPr="007C19C2">
        <w:t xml:space="preserve">: Routine purchases within the approved budget can be initiated by </w:t>
      </w:r>
      <w:proofErr w:type="spellStart"/>
      <w:r w:rsidRPr="007C19C2">
        <w:t>HoDs</w:t>
      </w:r>
      <w:proofErr w:type="spellEnd"/>
      <w:r w:rsidRPr="007C19C2">
        <w:t xml:space="preserve"> with departmental committee approval. Any expenditure exceeding the budget or ₹50,000 requires written permission from the Dean's Office, accompanied by a justification report (e.g., cost-benefit analysis). Emergency purchases (e.g., urgent lab repairs) need post-facto approval within 7 days.</w:t>
      </w:r>
    </w:p>
    <w:p w14:paraId="6DA95D70" w14:textId="77777777" w:rsidR="007C19C2" w:rsidRPr="007C19C2" w:rsidRDefault="007C19C2" w:rsidP="007C19C2">
      <w:pPr>
        <w:numPr>
          <w:ilvl w:val="1"/>
          <w:numId w:val="2"/>
        </w:numPr>
        <w:jc w:val="both"/>
      </w:pPr>
      <w:r w:rsidRPr="007C19C2">
        <w:rPr>
          <w:b/>
          <w:bCs/>
        </w:rPr>
        <w:t>Reimbursements and Settlements</w:t>
      </w:r>
      <w:r w:rsidRPr="007C19C2">
        <w:t>: Reimbursements for out-of-pocket expenses (e.g., conference travel) are processed bi-monthly upon submission of original receipts, GST invoices, and a usage report verifying alignment with academic goals. Delays in submission may result in forfeiture. Audits are conducted annually by an external firm to ensure transparency.</w:t>
      </w:r>
    </w:p>
    <w:p w14:paraId="15727532" w14:textId="77777777" w:rsidR="007C19C2" w:rsidRPr="007C19C2" w:rsidRDefault="007C19C2" w:rsidP="007C19C2">
      <w:pPr>
        <w:numPr>
          <w:ilvl w:val="1"/>
          <w:numId w:val="2"/>
        </w:numPr>
        <w:jc w:val="both"/>
      </w:pPr>
      <w:r w:rsidRPr="007C19C2">
        <w:rPr>
          <w:b/>
          <w:bCs/>
        </w:rPr>
        <w:t>Role-Specific Guidelines</w:t>
      </w:r>
      <w:r w:rsidRPr="007C19C2">
        <w:t xml:space="preserve">: Professors are encouraged to seek grants for research (e.g., from UGC or </w:t>
      </w:r>
      <w:proofErr w:type="spellStart"/>
      <w:r w:rsidRPr="007C19C2">
        <w:t>xAI</w:t>
      </w:r>
      <w:proofErr w:type="spellEnd"/>
      <w:r w:rsidRPr="007C19C2">
        <w:t xml:space="preserve"> collaborations) and must report these in budget plans. </w:t>
      </w:r>
      <w:proofErr w:type="spellStart"/>
      <w:r w:rsidRPr="007C19C2">
        <w:t>HoDs</w:t>
      </w:r>
      <w:proofErr w:type="spellEnd"/>
      <w:r w:rsidRPr="007C19C2">
        <w:t xml:space="preserve"> handle departmental petty cash (up to ₹10,000/month) with monthly reconciliations. The Dean approves all major allocations, monitors overall financial health, and reports to the </w:t>
      </w:r>
      <w:proofErr w:type="gramStart"/>
      <w:r w:rsidRPr="007C19C2">
        <w:t>Principal</w:t>
      </w:r>
      <w:proofErr w:type="gramEnd"/>
      <w:r w:rsidRPr="007C19C2">
        <w:t xml:space="preserve"> on variances. Misuse, such as unapproved personal expenses, triggers disciplinary action under the Staff Conduct Code.</w:t>
      </w:r>
    </w:p>
    <w:p w14:paraId="6306BB08" w14:textId="77777777" w:rsidR="007C19C2" w:rsidRPr="007C19C2" w:rsidRDefault="007C19C2" w:rsidP="007C19C2">
      <w:pPr>
        <w:numPr>
          <w:ilvl w:val="0"/>
          <w:numId w:val="2"/>
        </w:numPr>
        <w:jc w:val="both"/>
      </w:pPr>
      <w:r w:rsidRPr="007C19C2">
        <w:rPr>
          <w:b/>
          <w:bCs/>
        </w:rPr>
        <w:t>Grievance &amp; Disciplinary Measures</w:t>
      </w:r>
      <w:r w:rsidRPr="007C19C2">
        <w:t xml:space="preserve"> </w:t>
      </w:r>
    </w:p>
    <w:p w14:paraId="144200C5" w14:textId="77777777" w:rsidR="007C19C2" w:rsidRPr="007C19C2" w:rsidRDefault="007C19C2" w:rsidP="007C19C2">
      <w:pPr>
        <w:numPr>
          <w:ilvl w:val="1"/>
          <w:numId w:val="2"/>
        </w:numPr>
        <w:jc w:val="both"/>
      </w:pPr>
      <w:r w:rsidRPr="007C19C2">
        <w:rPr>
          <w:b/>
          <w:bCs/>
        </w:rPr>
        <w:t>Grievance Submission Process</w:t>
      </w:r>
      <w:r w:rsidRPr="007C19C2">
        <w:t xml:space="preserve">: Staff grievances, including workload concerns, interpersonal conflicts, or resource shortages, should be formally submitted to the Staff Welfare Committee via the ERP portal or confidential email. Anonymous </w:t>
      </w:r>
      <w:r w:rsidRPr="007C19C2">
        <w:lastRenderedPageBreak/>
        <w:t>submissions are allowed for sensitive issues like harassment. The committee, comprising representatives from faculty, admin, and external experts, acknowledges receipt within 48 hours and resolves within 30 days.</w:t>
      </w:r>
    </w:p>
    <w:p w14:paraId="43243765" w14:textId="77777777" w:rsidR="007C19C2" w:rsidRPr="007C19C2" w:rsidRDefault="007C19C2" w:rsidP="007C19C2">
      <w:pPr>
        <w:numPr>
          <w:ilvl w:val="1"/>
          <w:numId w:val="2"/>
        </w:numPr>
        <w:jc w:val="both"/>
      </w:pPr>
      <w:r w:rsidRPr="007C19C2">
        <w:rPr>
          <w:b/>
          <w:bCs/>
        </w:rPr>
        <w:t>Investigation and Actions</w:t>
      </w:r>
      <w:r w:rsidRPr="007C19C2">
        <w:t>: Incidents of misconduct (e.g., academic dishonesty, harassment, or policy violations) are investigated by a three-member inquiry panel appointed by the Dean, including one neutral external member. The process includes evidence collection, hearings, and a report within 15-45 days depending on complexity. Outcomes range from verbal/formal warnings (for minor lapses), salary deductions or probation (for moderate issues), to suspension/termination (for severe breaches like data theft or discrimination).</w:t>
      </w:r>
    </w:p>
    <w:p w14:paraId="5F6DEF83" w14:textId="77777777" w:rsidR="007C19C2" w:rsidRPr="007C19C2" w:rsidRDefault="007C19C2" w:rsidP="007C19C2">
      <w:pPr>
        <w:numPr>
          <w:ilvl w:val="1"/>
          <w:numId w:val="2"/>
        </w:numPr>
        <w:jc w:val="both"/>
      </w:pPr>
      <w:r w:rsidRPr="007C19C2">
        <w:rPr>
          <w:b/>
          <w:bCs/>
        </w:rPr>
        <w:t>Role-Specific Guidelines</w:t>
      </w:r>
      <w:r w:rsidRPr="007C19C2">
        <w:t xml:space="preserve">: Professors must report any observed misconduct promptly and may serve on inquiry panels. The Dean chairs the Welfare Committee, ensures impartiality, and has the authority to escalate cases to the Governing Body. Appeals can be made to the </w:t>
      </w:r>
      <w:proofErr w:type="gramStart"/>
      <w:r w:rsidRPr="007C19C2">
        <w:t>Principal</w:t>
      </w:r>
      <w:proofErr w:type="gramEnd"/>
      <w:r w:rsidRPr="007C19C2">
        <w:t xml:space="preserve"> within 10 days of a decision. Training on anti-harassment policies is mandatory annually for all, with records maintained by HR.</w:t>
      </w:r>
    </w:p>
    <w:p w14:paraId="178A5BEB" w14:textId="77777777" w:rsidR="007C19C2" w:rsidRPr="007C19C2" w:rsidRDefault="007C19C2" w:rsidP="007C19C2">
      <w:pPr>
        <w:numPr>
          <w:ilvl w:val="0"/>
          <w:numId w:val="2"/>
        </w:numPr>
        <w:jc w:val="both"/>
      </w:pPr>
      <w:r w:rsidRPr="007C19C2">
        <w:rPr>
          <w:b/>
          <w:bCs/>
        </w:rPr>
        <w:t>Technology Usage &amp; Confidentiality</w:t>
      </w:r>
      <w:r w:rsidRPr="007C19C2">
        <w:t xml:space="preserve"> </w:t>
      </w:r>
    </w:p>
    <w:p w14:paraId="31F50C5B" w14:textId="77777777" w:rsidR="007C19C2" w:rsidRPr="007C19C2" w:rsidRDefault="007C19C2" w:rsidP="007C19C2">
      <w:pPr>
        <w:numPr>
          <w:ilvl w:val="1"/>
          <w:numId w:val="2"/>
        </w:numPr>
        <w:jc w:val="both"/>
      </w:pPr>
      <w:r w:rsidRPr="007C19C2">
        <w:rPr>
          <w:b/>
          <w:bCs/>
        </w:rPr>
        <w:t>Usage Guidelines</w:t>
      </w:r>
      <w:r w:rsidRPr="007C19C2">
        <w:t>: Official devices (laptops, desktops, tablets) and systems (ERP, intranet, cloud storage) are provided for academic and administrative purposes only. Personal use (e.g., social media during work hours) is limited to breaks and must not interfere with duties. Software installations require IT department approval to prevent security risks.</w:t>
      </w:r>
    </w:p>
    <w:p w14:paraId="20E7CB90" w14:textId="77777777" w:rsidR="007C19C2" w:rsidRPr="007C19C2" w:rsidRDefault="007C19C2" w:rsidP="007C19C2">
      <w:pPr>
        <w:numPr>
          <w:ilvl w:val="1"/>
          <w:numId w:val="2"/>
        </w:numPr>
        <w:jc w:val="both"/>
      </w:pPr>
      <w:r w:rsidRPr="007C19C2">
        <w:rPr>
          <w:b/>
          <w:bCs/>
        </w:rPr>
        <w:t>Confidentiality and Data Ethics</w:t>
      </w:r>
      <w:r w:rsidRPr="007C19C2">
        <w:t xml:space="preserve">: Sharing sensitive information—such as student records, exam papers, research data, or institutional strategies—outside authorized platforms (e.g., via personal email or USB drives) </w:t>
      </w:r>
      <w:proofErr w:type="gramStart"/>
      <w:r w:rsidRPr="007C19C2">
        <w:t>is</w:t>
      </w:r>
      <w:proofErr w:type="gramEnd"/>
      <w:r w:rsidRPr="007C19C2">
        <w:t xml:space="preserve"> strictly prohibited. All data handling must comply with data protection laws (e.g., India's DPDP Act). Professors must use encrypted channels for student evaluations.</w:t>
      </w:r>
    </w:p>
    <w:p w14:paraId="7779183E" w14:textId="77777777" w:rsidR="007C19C2" w:rsidRPr="007C19C2" w:rsidRDefault="007C19C2" w:rsidP="007C19C2">
      <w:pPr>
        <w:numPr>
          <w:ilvl w:val="1"/>
          <w:numId w:val="2"/>
        </w:numPr>
        <w:jc w:val="both"/>
      </w:pPr>
      <w:r w:rsidRPr="007C19C2">
        <w:rPr>
          <w:b/>
          <w:bCs/>
        </w:rPr>
        <w:t>Cybersecurity Compliance</w:t>
      </w:r>
      <w:r w:rsidRPr="007C19C2">
        <w:t>: Mandatory measures include strong passwords (changed quarterly), two-factor authentication on ERP, and annual cybersecurity training. Report suspicious activities (e.g., phishing) to IT immediately. Violations, like unauthorized access, result in immediate device suspension and investigation.</w:t>
      </w:r>
    </w:p>
    <w:p w14:paraId="7BA406EB" w14:textId="77777777" w:rsidR="007C19C2" w:rsidRPr="007C19C2" w:rsidRDefault="007C19C2" w:rsidP="007C19C2">
      <w:pPr>
        <w:numPr>
          <w:ilvl w:val="1"/>
          <w:numId w:val="2"/>
        </w:numPr>
        <w:jc w:val="both"/>
      </w:pPr>
      <w:r w:rsidRPr="007C19C2">
        <w:rPr>
          <w:b/>
          <w:bCs/>
        </w:rPr>
        <w:t>Role-Specific Guidelines</w:t>
      </w:r>
      <w:r w:rsidRPr="007C19C2">
        <w:t>: Professors must integrate technology in teaching (e.g., using Moodle for syllabi) while ensuring student data privacy in research projects. The Dean oversees IT policy updates, approves data-sharing for collaborations (e.g., with industry partners), and conducts periodic audits. Breaches are treated as ethical violations, potentially leading to loss of research privileges or legal action.</w:t>
      </w:r>
    </w:p>
    <w:p w14:paraId="59B49E6E" w14:textId="77777777" w:rsidR="008D1655" w:rsidRDefault="008D1655" w:rsidP="007C19C2">
      <w:pPr>
        <w:jc w:val="both"/>
      </w:pPr>
    </w:p>
    <w:p w14:paraId="32FCE9F3" w14:textId="77777777" w:rsidR="007C19C2" w:rsidRDefault="007C19C2" w:rsidP="007C19C2">
      <w:pPr>
        <w:jc w:val="both"/>
      </w:pPr>
    </w:p>
    <w:sectPr w:rsidR="007C1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50D1"/>
    <w:multiLevelType w:val="multilevel"/>
    <w:tmpl w:val="730A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436359"/>
    <w:multiLevelType w:val="multilevel"/>
    <w:tmpl w:val="15801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9042432">
    <w:abstractNumId w:val="0"/>
  </w:num>
  <w:num w:numId="2" w16cid:durableId="1941638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F80"/>
    <w:rsid w:val="00370F80"/>
    <w:rsid w:val="003F15EC"/>
    <w:rsid w:val="004C1248"/>
    <w:rsid w:val="00771177"/>
    <w:rsid w:val="007C19C2"/>
    <w:rsid w:val="008909AF"/>
    <w:rsid w:val="008D1655"/>
    <w:rsid w:val="0091740D"/>
    <w:rsid w:val="00B97017"/>
    <w:rsid w:val="00BC6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8CFC0"/>
  <w15:chartTrackingRefBased/>
  <w15:docId w15:val="{DD0C0287-7275-4648-B034-81B8B9A6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F80"/>
    <w:rPr>
      <w:rFonts w:eastAsiaTheme="majorEastAsia" w:cstheme="majorBidi"/>
      <w:color w:val="272727" w:themeColor="text1" w:themeTint="D8"/>
    </w:rPr>
  </w:style>
  <w:style w:type="paragraph" w:styleId="Title">
    <w:name w:val="Title"/>
    <w:basedOn w:val="Normal"/>
    <w:next w:val="Normal"/>
    <w:link w:val="TitleChar"/>
    <w:uiPriority w:val="10"/>
    <w:qFormat/>
    <w:rsid w:val="00370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F80"/>
    <w:pPr>
      <w:spacing w:before="160"/>
      <w:jc w:val="center"/>
    </w:pPr>
    <w:rPr>
      <w:i/>
      <w:iCs/>
      <w:color w:val="404040" w:themeColor="text1" w:themeTint="BF"/>
    </w:rPr>
  </w:style>
  <w:style w:type="character" w:customStyle="1" w:styleId="QuoteChar">
    <w:name w:val="Quote Char"/>
    <w:basedOn w:val="DefaultParagraphFont"/>
    <w:link w:val="Quote"/>
    <w:uiPriority w:val="29"/>
    <w:rsid w:val="00370F80"/>
    <w:rPr>
      <w:i/>
      <w:iCs/>
      <w:color w:val="404040" w:themeColor="text1" w:themeTint="BF"/>
    </w:rPr>
  </w:style>
  <w:style w:type="paragraph" w:styleId="ListParagraph">
    <w:name w:val="List Paragraph"/>
    <w:basedOn w:val="Normal"/>
    <w:uiPriority w:val="34"/>
    <w:qFormat/>
    <w:rsid w:val="00370F80"/>
    <w:pPr>
      <w:ind w:left="720"/>
      <w:contextualSpacing/>
    </w:pPr>
  </w:style>
  <w:style w:type="character" w:styleId="IntenseEmphasis">
    <w:name w:val="Intense Emphasis"/>
    <w:basedOn w:val="DefaultParagraphFont"/>
    <w:uiPriority w:val="21"/>
    <w:qFormat/>
    <w:rsid w:val="00370F80"/>
    <w:rPr>
      <w:i/>
      <w:iCs/>
      <w:color w:val="2F5496" w:themeColor="accent1" w:themeShade="BF"/>
    </w:rPr>
  </w:style>
  <w:style w:type="paragraph" w:styleId="IntenseQuote">
    <w:name w:val="Intense Quote"/>
    <w:basedOn w:val="Normal"/>
    <w:next w:val="Normal"/>
    <w:link w:val="IntenseQuoteChar"/>
    <w:uiPriority w:val="30"/>
    <w:qFormat/>
    <w:rsid w:val="00370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F80"/>
    <w:rPr>
      <w:i/>
      <w:iCs/>
      <w:color w:val="2F5496" w:themeColor="accent1" w:themeShade="BF"/>
    </w:rPr>
  </w:style>
  <w:style w:type="character" w:styleId="IntenseReference">
    <w:name w:val="Intense Reference"/>
    <w:basedOn w:val="DefaultParagraphFont"/>
    <w:uiPriority w:val="32"/>
    <w:qFormat/>
    <w:rsid w:val="00370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255903">
      <w:bodyDiv w:val="1"/>
      <w:marLeft w:val="0"/>
      <w:marRight w:val="0"/>
      <w:marTop w:val="0"/>
      <w:marBottom w:val="0"/>
      <w:divBdr>
        <w:top w:val="none" w:sz="0" w:space="0" w:color="auto"/>
        <w:left w:val="none" w:sz="0" w:space="0" w:color="auto"/>
        <w:bottom w:val="none" w:sz="0" w:space="0" w:color="auto"/>
        <w:right w:val="none" w:sz="0" w:space="0" w:color="auto"/>
      </w:divBdr>
    </w:div>
    <w:div w:id="1558739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1367</Words>
  <Characters>7798</Characters>
  <Application>Microsoft Office Word</Application>
  <DocSecurity>0</DocSecurity>
  <Lines>64</Lines>
  <Paragraphs>18</Paragraphs>
  <ScaleCrop>false</ScaleCrop>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Revathi S</dc:creator>
  <cp:keywords/>
  <dc:description/>
  <cp:lastModifiedBy>Revathi S</cp:lastModifiedBy>
  <cp:revision>3</cp:revision>
  <dcterms:created xsi:type="dcterms:W3CDTF">2025-07-19T16:14:00Z</dcterms:created>
  <dcterms:modified xsi:type="dcterms:W3CDTF">2025-10-18T14:34:00Z</dcterms:modified>
</cp:coreProperties>
</file>