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9863"/>
        <w:tblOverlap w:val="never"/>
        <w:tblW w:w="2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9"/>
      </w:tblGrid>
      <w:tr w:rsidR="008E7846" w:rsidRPr="00487162" w:rsidTr="00DC5E9C">
        <w:trPr>
          <w:trHeight w:val="818"/>
        </w:trPr>
        <w:tc>
          <w:tcPr>
            <w:tcW w:w="2999" w:type="dxa"/>
            <w:tcBorders>
              <w:top w:val="nil"/>
              <w:left w:val="nil"/>
              <w:bottom w:val="nil"/>
              <w:right w:val="nil"/>
            </w:tcBorders>
          </w:tcPr>
          <w:p w:rsidR="008E7846" w:rsidRPr="00096AA7" w:rsidRDefault="00DC5E9C" w:rsidP="00DC5E9C">
            <w:pPr>
              <w:rPr>
                <w:rFonts w:ascii="Arial" w:hAnsi="Arial" w:cs="Arial"/>
                <w:b/>
                <w:color w:val="002C47"/>
                <w:sz w:val="36"/>
                <w:szCs w:val="36"/>
              </w:rPr>
            </w:pPr>
            <w:r>
              <w:rPr>
                <w:rFonts w:ascii="Arial" w:hAnsi="Arial" w:cs="Arial"/>
                <w:b/>
                <w:color w:val="002C47"/>
                <w:sz w:val="36"/>
                <w:szCs w:val="36"/>
              </w:rPr>
              <w:t xml:space="preserve">November </w:t>
            </w:r>
            <w:r w:rsidR="00BF490C">
              <w:rPr>
                <w:rFonts w:ascii="Arial" w:hAnsi="Arial" w:cs="Arial"/>
                <w:b/>
                <w:color w:val="002C47"/>
                <w:sz w:val="36"/>
                <w:szCs w:val="36"/>
              </w:rPr>
              <w:t>2015</w:t>
            </w:r>
          </w:p>
        </w:tc>
      </w:tr>
    </w:tbl>
    <w:tbl>
      <w:tblPr>
        <w:tblpPr w:leftFromText="180" w:rightFromText="180" w:vertAnchor="page" w:tblpY="3316"/>
        <w:tblW w:w="9079" w:type="dxa"/>
        <w:tblLayout w:type="fixed"/>
        <w:tblLook w:val="04A0" w:firstRow="1" w:lastRow="0" w:firstColumn="1" w:lastColumn="0" w:noHBand="0" w:noVBand="1"/>
      </w:tblPr>
      <w:tblGrid>
        <w:gridCol w:w="9079"/>
      </w:tblGrid>
      <w:tr w:rsidR="0032583B" w:rsidRPr="00A964D1" w:rsidTr="0032583B">
        <w:trPr>
          <w:trHeight w:val="868"/>
        </w:trPr>
        <w:tc>
          <w:tcPr>
            <w:tcW w:w="9079" w:type="dxa"/>
          </w:tcPr>
          <w:p w:rsidR="0032583B" w:rsidRPr="00A964D1" w:rsidRDefault="0032583B" w:rsidP="002D64ED">
            <w:pPr>
              <w:pStyle w:val="Title"/>
              <w:framePr w:hSpace="0" w:wrap="auto" w:vAnchor="margin" w:yAlign="inline"/>
            </w:pPr>
            <w:r w:rsidRPr="00A964D1">
              <w:t>Australian Public Assessment Report for</w:t>
            </w:r>
            <w:r w:rsidR="000325C5">
              <w:t xml:space="preserve"> </w:t>
            </w:r>
            <w:proofErr w:type="spellStart"/>
            <w:r w:rsidR="00BF490C" w:rsidRPr="00BF490C">
              <w:rPr>
                <w:rFonts w:cs="Arial"/>
              </w:rPr>
              <w:t>Sevelamer</w:t>
            </w:r>
            <w:proofErr w:type="spellEnd"/>
            <w:r w:rsidR="00BF490C" w:rsidRPr="00BF490C">
              <w:rPr>
                <w:rFonts w:cs="Arial"/>
              </w:rPr>
              <w:t xml:space="preserve"> hydrochloride</w:t>
            </w:r>
          </w:p>
        </w:tc>
      </w:tr>
      <w:tr w:rsidR="0032583B" w:rsidRPr="00B64760" w:rsidTr="0032583B">
        <w:tc>
          <w:tcPr>
            <w:tcW w:w="9079" w:type="dxa"/>
          </w:tcPr>
          <w:p w:rsidR="0032583B" w:rsidRPr="008E7846" w:rsidRDefault="0032583B" w:rsidP="002D64ED">
            <w:pPr>
              <w:pStyle w:val="Subtitle"/>
              <w:framePr w:hSpace="0" w:wrap="auto" w:vAnchor="margin" w:yAlign="inline"/>
            </w:pPr>
            <w:r w:rsidRPr="008E7846">
              <w:t>Proprietary Product Name:</w:t>
            </w:r>
            <w:r w:rsidR="000325C5">
              <w:t xml:space="preserve"> </w:t>
            </w:r>
            <w:proofErr w:type="spellStart"/>
            <w:r w:rsidR="00BF490C" w:rsidRPr="00BF490C">
              <w:t>Sevelamer</w:t>
            </w:r>
            <w:proofErr w:type="spellEnd"/>
            <w:r w:rsidR="00BF490C" w:rsidRPr="00BF490C">
              <w:t xml:space="preserve"> GPPL, </w:t>
            </w:r>
            <w:proofErr w:type="spellStart"/>
            <w:r w:rsidR="00BF490C" w:rsidRPr="00BF490C">
              <w:t>Sevelamer</w:t>
            </w:r>
            <w:proofErr w:type="spellEnd"/>
            <w:r w:rsidR="00BF490C" w:rsidRPr="00BF490C">
              <w:t xml:space="preserve"> </w:t>
            </w:r>
            <w:proofErr w:type="spellStart"/>
            <w:r w:rsidR="00BF490C" w:rsidRPr="00BF490C">
              <w:t>GxP</w:t>
            </w:r>
            <w:proofErr w:type="spellEnd"/>
            <w:r w:rsidR="00BF490C" w:rsidRPr="00BF490C">
              <w:t xml:space="preserve">, </w:t>
            </w:r>
            <w:proofErr w:type="spellStart"/>
            <w:r w:rsidR="00BF490C" w:rsidRPr="00BF490C">
              <w:t>Seveligand</w:t>
            </w:r>
            <w:proofErr w:type="spellEnd"/>
            <w:r w:rsidR="00BF490C" w:rsidRPr="00BF490C">
              <w:t xml:space="preserve">, </w:t>
            </w:r>
            <w:proofErr w:type="spellStart"/>
            <w:r w:rsidR="00BF490C" w:rsidRPr="00BF490C">
              <w:t>Phosligand</w:t>
            </w:r>
            <w:proofErr w:type="spellEnd"/>
            <w:r w:rsidR="00BF490C" w:rsidRPr="00BF490C">
              <w:t>, APO-</w:t>
            </w:r>
            <w:proofErr w:type="spellStart"/>
            <w:r w:rsidR="00BF490C" w:rsidRPr="00BF490C">
              <w:t>Sevelamer</w:t>
            </w:r>
            <w:proofErr w:type="spellEnd"/>
            <w:r w:rsidR="00BF490C" w:rsidRPr="00BF490C">
              <w:t>, APOTEX-</w:t>
            </w:r>
            <w:proofErr w:type="spellStart"/>
            <w:r w:rsidR="00BF490C" w:rsidRPr="00BF490C">
              <w:t>Sevelamer</w:t>
            </w:r>
            <w:proofErr w:type="spellEnd"/>
            <w:r w:rsidR="00BF490C" w:rsidRPr="00BF490C">
              <w:t xml:space="preserve">, </w:t>
            </w:r>
            <w:proofErr w:type="spellStart"/>
            <w:r w:rsidR="00BF490C" w:rsidRPr="00BF490C">
              <w:t>Chemmart</w:t>
            </w:r>
            <w:proofErr w:type="spellEnd"/>
            <w:r w:rsidR="00BF490C" w:rsidRPr="00BF490C">
              <w:t xml:space="preserve"> </w:t>
            </w:r>
            <w:proofErr w:type="spellStart"/>
            <w:r w:rsidR="00BF490C" w:rsidRPr="00BF490C">
              <w:t>Sevelamer</w:t>
            </w:r>
            <w:proofErr w:type="spellEnd"/>
            <w:r w:rsidR="00BF490C" w:rsidRPr="00BF490C">
              <w:t xml:space="preserve">, </w:t>
            </w:r>
            <w:proofErr w:type="spellStart"/>
            <w:r w:rsidR="00BF490C" w:rsidRPr="00BF490C">
              <w:t>GenRx</w:t>
            </w:r>
            <w:proofErr w:type="spellEnd"/>
            <w:r w:rsidR="00BF490C" w:rsidRPr="00BF490C">
              <w:t xml:space="preserve"> </w:t>
            </w:r>
            <w:proofErr w:type="spellStart"/>
            <w:r w:rsidR="00BF490C" w:rsidRPr="00BF490C">
              <w:t>Sevelamer</w:t>
            </w:r>
            <w:proofErr w:type="spellEnd"/>
            <w:r w:rsidR="00BF490C" w:rsidRPr="00BF490C">
              <w:t xml:space="preserve">, Terry White Chemists </w:t>
            </w:r>
            <w:proofErr w:type="spellStart"/>
            <w:r w:rsidR="00BF490C" w:rsidRPr="00BF490C">
              <w:t>Sevelamer</w:t>
            </w:r>
            <w:proofErr w:type="spellEnd"/>
          </w:p>
        </w:tc>
      </w:tr>
      <w:tr w:rsidR="0032583B" w:rsidRPr="00B64760" w:rsidTr="0032583B">
        <w:trPr>
          <w:trHeight w:val="486"/>
        </w:trPr>
        <w:tc>
          <w:tcPr>
            <w:tcW w:w="9079" w:type="dxa"/>
          </w:tcPr>
          <w:p w:rsidR="0032583B" w:rsidRPr="00BF490C" w:rsidRDefault="0032583B" w:rsidP="002D64ED">
            <w:pPr>
              <w:pStyle w:val="Subtitle"/>
              <w:framePr w:hSpace="0" w:wrap="auto" w:vAnchor="margin" w:yAlign="inline"/>
            </w:pPr>
            <w:r w:rsidRPr="00BF490C">
              <w:t xml:space="preserve">Sponsor: </w:t>
            </w:r>
            <w:r w:rsidR="00BF490C" w:rsidRPr="00BF490C">
              <w:t>Generic Partners</w:t>
            </w:r>
          </w:p>
        </w:tc>
      </w:tr>
    </w:tbl>
    <w:p w:rsidR="008E7846" w:rsidRPr="0085156D" w:rsidRDefault="008E7846" w:rsidP="0085156D">
      <w:r w:rsidRPr="0085156D">
        <w:br w:type="page"/>
      </w:r>
    </w:p>
    <w:p w:rsidR="008E7846" w:rsidRPr="001F6CBA" w:rsidRDefault="008E7846" w:rsidP="008E7846">
      <w:pPr>
        <w:pStyle w:val="NonTOCHeading2"/>
      </w:pPr>
      <w:r w:rsidRPr="001F6CBA">
        <w:lastRenderedPageBreak/>
        <w:t>About the Therapeutic Goods Administration (TGA)</w:t>
      </w:r>
    </w:p>
    <w:p w:rsidR="008E7846" w:rsidRDefault="008E7846" w:rsidP="00806140">
      <w:pPr>
        <w:pStyle w:val="ListBullet"/>
        <w:numPr>
          <w:ilvl w:val="0"/>
          <w:numId w:val="1"/>
        </w:numPr>
        <w:ind w:left="357" w:hanging="357"/>
      </w:pPr>
      <w:r>
        <w:t xml:space="preserve">The Therapeutic Goods Administration (TGA) is </w:t>
      </w:r>
      <w:r w:rsidR="00E624A5">
        <w:t xml:space="preserve">part </w:t>
      </w:r>
      <w:r>
        <w:t>of the Australian Government Department of Health and is responsible for regulating medicines and medical devices.</w:t>
      </w:r>
    </w:p>
    <w:p w:rsidR="008E7846" w:rsidRDefault="00C80137" w:rsidP="00806140">
      <w:pPr>
        <w:pStyle w:val="ListBullet"/>
        <w:numPr>
          <w:ilvl w:val="0"/>
          <w:numId w:val="1"/>
        </w:numPr>
        <w:ind w:left="357" w:hanging="357"/>
      </w:pPr>
      <w:r>
        <w:t xml:space="preserve">The </w:t>
      </w:r>
      <w:r w:rsidR="008E7846">
        <w:t xml:space="preserve">TGA administers the </w:t>
      </w:r>
      <w:r w:rsidR="008E7846" w:rsidRPr="00F640B6">
        <w:rPr>
          <w:i/>
        </w:rPr>
        <w:t>Therapeutic Goods Act 1989</w:t>
      </w:r>
      <w:r w:rsidR="008E7846">
        <w:t xml:space="preserve"> (the Act), applying a risk management approach designed to ensure therapeutic goods supplied in Australia meet acceptable standards of quality, safety and efficacy (performance), when necessary.</w:t>
      </w:r>
    </w:p>
    <w:p w:rsidR="008E7846" w:rsidRDefault="008E7846" w:rsidP="00806140">
      <w:pPr>
        <w:pStyle w:val="ListBullet"/>
        <w:numPr>
          <w:ilvl w:val="0"/>
          <w:numId w:val="1"/>
        </w:numPr>
        <w:ind w:left="357" w:hanging="357"/>
      </w:pPr>
      <w:r>
        <w:t>The work of the TGA is based on applying scientific and clinical expertise to decision-making, to ensure that the benefits to consumers outweigh any risks associated with the use of medicines and medical devices.</w:t>
      </w:r>
    </w:p>
    <w:p w:rsidR="008E7846" w:rsidRDefault="008E7846" w:rsidP="00806140">
      <w:pPr>
        <w:pStyle w:val="ListBullet"/>
        <w:numPr>
          <w:ilvl w:val="0"/>
          <w:numId w:val="1"/>
        </w:numPr>
        <w:ind w:left="357" w:hanging="357"/>
      </w:pPr>
      <w:r>
        <w:t>The TGA relies on the public, healthcare professionals and industry to report problems with medicines or medical devices. TGA investigates reports received by it to determine any necessary regulatory action.</w:t>
      </w:r>
    </w:p>
    <w:p w:rsidR="008E7846" w:rsidRDefault="008E7846" w:rsidP="00806140">
      <w:pPr>
        <w:pStyle w:val="ListBullet"/>
        <w:numPr>
          <w:ilvl w:val="0"/>
          <w:numId w:val="1"/>
        </w:numPr>
        <w:ind w:left="357" w:hanging="357"/>
      </w:pPr>
      <w:r>
        <w:t>To report a problem with a medicine or medical device, please see the information on the TGA website</w:t>
      </w:r>
      <w:r w:rsidR="00112F56">
        <w:t xml:space="preserve"> &lt;</w:t>
      </w:r>
      <w:hyperlink r:id="rId9" w:history="1">
        <w:r w:rsidR="004F47D6">
          <w:rPr>
            <w:rStyle w:val="Hyperlink"/>
          </w:rPr>
          <w:t>https://www.tga.gov.au</w:t>
        </w:r>
      </w:hyperlink>
      <w:r w:rsidR="00112F56">
        <w:t>&gt;</w:t>
      </w:r>
      <w:r>
        <w:t>.</w:t>
      </w:r>
    </w:p>
    <w:p w:rsidR="008E7846" w:rsidRDefault="008E7846" w:rsidP="008E7846">
      <w:pPr>
        <w:pStyle w:val="NonTOCHeading2"/>
      </w:pPr>
      <w:r>
        <w:t xml:space="preserve">About </w:t>
      </w:r>
      <w:proofErr w:type="spellStart"/>
      <w:r>
        <w:t>AusPARs</w:t>
      </w:r>
      <w:proofErr w:type="spellEnd"/>
    </w:p>
    <w:p w:rsidR="002D64ED" w:rsidRDefault="008E7846" w:rsidP="00806140">
      <w:pPr>
        <w:pStyle w:val="ListBullet"/>
        <w:numPr>
          <w:ilvl w:val="0"/>
          <w:numId w:val="1"/>
        </w:numPr>
        <w:ind w:left="357" w:hanging="357"/>
      </w:pPr>
      <w:r>
        <w:t>An Australian Public Assessment Record (</w:t>
      </w:r>
      <w:proofErr w:type="spellStart"/>
      <w:r>
        <w:t>AusPAR</w:t>
      </w:r>
      <w:proofErr w:type="spellEnd"/>
      <w:r>
        <w:t>) provides information about the evaluation of a prescription medicine and the considerations that led the TGA to approve or not approve a prescription medicine submission</w:t>
      </w:r>
      <w:r w:rsidR="002D64ED">
        <w:t>.</w:t>
      </w:r>
    </w:p>
    <w:p w:rsidR="008E7846" w:rsidRDefault="008E7846" w:rsidP="00806140">
      <w:pPr>
        <w:pStyle w:val="ListBullet"/>
        <w:numPr>
          <w:ilvl w:val="0"/>
          <w:numId w:val="1"/>
        </w:numPr>
        <w:ind w:left="357" w:hanging="357"/>
      </w:pPr>
      <w:proofErr w:type="spellStart"/>
      <w:r>
        <w:t>AusPARs</w:t>
      </w:r>
      <w:proofErr w:type="spellEnd"/>
      <w:r>
        <w:t xml:space="preserve"> are prepared and published by the TGA.</w:t>
      </w:r>
    </w:p>
    <w:p w:rsidR="008E7846" w:rsidRDefault="008E7846" w:rsidP="00806140">
      <w:pPr>
        <w:pStyle w:val="ListBullet"/>
        <w:numPr>
          <w:ilvl w:val="0"/>
          <w:numId w:val="1"/>
        </w:numPr>
        <w:ind w:left="357" w:hanging="357"/>
      </w:pPr>
      <w:r>
        <w:t xml:space="preserve">An </w:t>
      </w:r>
      <w:proofErr w:type="spellStart"/>
      <w:r>
        <w:t>AusPAR</w:t>
      </w:r>
      <w:proofErr w:type="spellEnd"/>
      <w:r>
        <w:t xml:space="preserve"> is prepared for submissions that relate to new chemical entities, generic medicines, major variations, and extensions of indications.</w:t>
      </w:r>
    </w:p>
    <w:p w:rsidR="008E7846" w:rsidRDefault="008E7846" w:rsidP="00806140">
      <w:pPr>
        <w:pStyle w:val="ListBullet"/>
        <w:numPr>
          <w:ilvl w:val="0"/>
          <w:numId w:val="1"/>
        </w:numPr>
        <w:ind w:left="357" w:hanging="357"/>
      </w:pPr>
      <w:r>
        <w:t xml:space="preserve">An </w:t>
      </w:r>
      <w:proofErr w:type="spellStart"/>
      <w:r>
        <w:t>AusPAR</w:t>
      </w:r>
      <w:proofErr w:type="spellEnd"/>
      <w:r>
        <w:t xml:space="preserve"> is a static document, in that it will provide information that relates to a submission at a particular point in time.</w:t>
      </w:r>
    </w:p>
    <w:p w:rsidR="00B452CE" w:rsidRDefault="008E7846" w:rsidP="00806140">
      <w:pPr>
        <w:pStyle w:val="ListBullet"/>
        <w:numPr>
          <w:ilvl w:val="0"/>
          <w:numId w:val="1"/>
        </w:numPr>
        <w:ind w:left="357" w:hanging="357"/>
      </w:pPr>
      <w:r>
        <w:t xml:space="preserve">A new </w:t>
      </w:r>
      <w:proofErr w:type="spellStart"/>
      <w:r>
        <w:t>AusPAR</w:t>
      </w:r>
      <w:proofErr w:type="spellEnd"/>
      <w:r>
        <w:t xml:space="preserve"> will be developed to reflect changes to indications and/or major variations to a prescription medicine subject to evaluation by the TGA.</w:t>
      </w:r>
    </w:p>
    <w:p w:rsidR="00924482" w:rsidRPr="00DF1D7F" w:rsidRDefault="00924482" w:rsidP="00F54B65">
      <w:pPr>
        <w:pStyle w:val="LegalSubheading"/>
        <w:spacing w:before="3120"/>
      </w:pPr>
      <w:r w:rsidRPr="00DF1D7F">
        <w:t>Copyright</w:t>
      </w:r>
    </w:p>
    <w:p w:rsidR="00924482" w:rsidRDefault="00924482" w:rsidP="00924482">
      <w:pPr>
        <w:pStyle w:val="LegalCopy"/>
      </w:pPr>
      <w:r w:rsidRPr="00191B3B">
        <w:rPr>
          <w:rFonts w:cs="Arial"/>
          <w:lang w:val="en-GB"/>
        </w:rPr>
        <w:t>© Comm</w:t>
      </w:r>
      <w:r>
        <w:rPr>
          <w:rFonts w:cs="Arial"/>
          <w:lang w:val="en-GB"/>
        </w:rPr>
        <w:t>onwealth of Australia 201</w:t>
      </w:r>
      <w:r w:rsidR="003E0B99">
        <w:rPr>
          <w:rFonts w:cs="Arial"/>
          <w:lang w:val="en-GB"/>
        </w:rPr>
        <w:t>5</w:t>
      </w:r>
      <w:r w:rsidRPr="00191B3B">
        <w:rPr>
          <w:rFonts w:cs="Arial"/>
          <w:lang w:val="en-GB"/>
        </w:rPr>
        <w:br/>
      </w:r>
      <w:proofErr w:type="gramStart"/>
      <w:r w:rsidRPr="00191B3B">
        <w:rPr>
          <w:rFonts w:cs="Arial"/>
          <w:lang w:val="en-GB"/>
        </w:rPr>
        <w:t>This</w:t>
      </w:r>
      <w:proofErr w:type="gramEnd"/>
      <w:r w:rsidRPr="00191B3B">
        <w:rPr>
          <w:rFonts w:cs="Arial"/>
          <w:lang w:val="en-GB"/>
        </w:rPr>
        <w:t xml:space="preserve"> work is copyright. You may reproduce the whole or part of this work in unaltered form for your own personal use or, if you are part of an organisation, for internal use within your organisation, but only if you or your organisation do not use the reproduction for any commercial purpose and retain this copyright notice and all disclaimer notices as part of that reproduction. Apart from rights to use as permitted by the </w:t>
      </w:r>
      <w:r w:rsidRPr="00191B3B">
        <w:rPr>
          <w:rFonts w:cs="Arial"/>
          <w:i/>
          <w:lang w:val="en-GB"/>
        </w:rPr>
        <w:t>Copyright Act 1968</w:t>
      </w:r>
      <w:r w:rsidRPr="00191B3B">
        <w:rPr>
          <w:rFonts w:cs="Arial"/>
          <w:lang w:val="en-GB"/>
        </w:rPr>
        <w:t xml:space="preserve"> or allowed by this copyright notice, all other rights are reserved and you are not allowed to reproduce the whole or any part of this work in any way (electronic or otherwise) without first being given specific written permission from the Commonwealth to do so. Requests and inquiries concerning reproduction and rights are to be sent to the TGA Copyright Officer, Therapeutic Goods Administration, PO Box 100, </w:t>
      </w:r>
      <w:proofErr w:type="spellStart"/>
      <w:r w:rsidRPr="00191B3B">
        <w:rPr>
          <w:rFonts w:cs="Arial"/>
          <w:lang w:val="en-GB"/>
        </w:rPr>
        <w:t>Woden</w:t>
      </w:r>
      <w:proofErr w:type="spellEnd"/>
      <w:r w:rsidRPr="00191B3B">
        <w:rPr>
          <w:rFonts w:cs="Arial"/>
          <w:lang w:val="en-GB"/>
        </w:rPr>
        <w:t xml:space="preserve"> ACT 2606 or emailed to &lt;</w:t>
      </w:r>
      <w:hyperlink r:id="rId10" w:history="1">
        <w:r w:rsidRPr="00191B3B">
          <w:rPr>
            <w:rStyle w:val="Hyperlink"/>
            <w:rFonts w:cs="Arial"/>
            <w:lang w:val="en-GB"/>
          </w:rPr>
          <w:t>tga.copyright@tga.gov.au</w:t>
        </w:r>
      </w:hyperlink>
      <w:r w:rsidRPr="00191B3B">
        <w:rPr>
          <w:rFonts w:cs="Arial"/>
        </w:rPr>
        <w:t>&gt;.</w:t>
      </w:r>
    </w:p>
    <w:p w:rsidR="00924482" w:rsidRDefault="00924482" w:rsidP="00924482">
      <w:pPr>
        <w:pStyle w:val="LegalCopy"/>
        <w:sectPr w:rsidR="00924482" w:rsidSect="003D1E62">
          <w:headerReference w:type="default" r:id="rId11"/>
          <w:footerReference w:type="default" r:id="rId12"/>
          <w:headerReference w:type="first" r:id="rId13"/>
          <w:pgSz w:w="11906" w:h="16838" w:code="9"/>
          <w:pgMar w:top="426" w:right="1701" w:bottom="0" w:left="1701" w:header="907" w:footer="142" w:gutter="0"/>
          <w:pgNumType w:fmt="lowerRoman" w:start="1"/>
          <w:cols w:space="708"/>
          <w:titlePg/>
          <w:docGrid w:linePitch="360"/>
        </w:sectPr>
      </w:pPr>
    </w:p>
    <w:bookmarkStart w:id="0" w:name="_Toc247691501" w:displacedByCustomXml="next"/>
    <w:bookmarkStart w:id="1" w:name="_Toc196046425" w:displacedByCustomXml="next"/>
    <w:sdt>
      <w:sdtPr>
        <w:rPr>
          <w:rFonts w:ascii="Cambria" w:hAnsi="Cambria"/>
          <w:b w:val="0"/>
          <w:bCs/>
          <w:sz w:val="22"/>
        </w:rPr>
        <w:id w:val="5618007"/>
        <w:docPartObj>
          <w:docPartGallery w:val="Table of Contents"/>
          <w:docPartUnique/>
        </w:docPartObj>
      </w:sdtPr>
      <w:sdtEndPr>
        <w:rPr>
          <w:b/>
          <w:bCs w:val="0"/>
          <w:sz w:val="25"/>
        </w:rPr>
      </w:sdtEndPr>
      <w:sdtContent>
        <w:p w:rsidR="0089635C" w:rsidRPr="0089635C" w:rsidRDefault="0089635C" w:rsidP="0010788A">
          <w:pPr>
            <w:pStyle w:val="Contents"/>
          </w:pPr>
          <w:r w:rsidRPr="0010788A">
            <w:t>Con</w:t>
          </w:r>
          <w:bookmarkStart w:id="2" w:name="_GoBack"/>
          <w:bookmarkEnd w:id="2"/>
          <w:r w:rsidRPr="0010788A">
            <w:t>tents</w:t>
          </w:r>
        </w:p>
        <w:p w:rsidR="00141024" w:rsidRDefault="00DB6124">
          <w:pPr>
            <w:pStyle w:val="TOC2"/>
            <w:rPr>
              <w:rFonts w:asciiTheme="minorHAnsi" w:eastAsiaTheme="minorEastAsia" w:hAnsiTheme="minorHAnsi" w:cstheme="minorBidi"/>
              <w:b w:val="0"/>
              <w:noProof/>
              <w:sz w:val="22"/>
              <w:lang w:eastAsia="en-AU"/>
            </w:rPr>
          </w:pPr>
          <w:r>
            <w:fldChar w:fldCharType="begin"/>
          </w:r>
          <w:r w:rsidR="0089635C">
            <w:instrText xml:space="preserve"> TOC \o "1-3" \h \z \u </w:instrText>
          </w:r>
          <w:r>
            <w:fldChar w:fldCharType="separate"/>
          </w:r>
          <w:hyperlink w:anchor="_Toc434909868" w:history="1">
            <w:r w:rsidR="00141024" w:rsidRPr="00985139">
              <w:rPr>
                <w:rStyle w:val="Hyperlink"/>
                <w:noProof/>
              </w:rPr>
              <w:t>Common abbreviations</w:t>
            </w:r>
            <w:r w:rsidR="00141024">
              <w:rPr>
                <w:noProof/>
                <w:webHidden/>
              </w:rPr>
              <w:tab/>
            </w:r>
            <w:r w:rsidR="00141024">
              <w:rPr>
                <w:noProof/>
                <w:webHidden/>
              </w:rPr>
              <w:fldChar w:fldCharType="begin"/>
            </w:r>
            <w:r w:rsidR="00141024">
              <w:rPr>
                <w:noProof/>
                <w:webHidden/>
              </w:rPr>
              <w:instrText xml:space="preserve"> PAGEREF _Toc434909868 \h </w:instrText>
            </w:r>
            <w:r w:rsidR="00141024">
              <w:rPr>
                <w:noProof/>
                <w:webHidden/>
              </w:rPr>
            </w:r>
            <w:r w:rsidR="00141024">
              <w:rPr>
                <w:noProof/>
                <w:webHidden/>
              </w:rPr>
              <w:fldChar w:fldCharType="separate"/>
            </w:r>
            <w:r w:rsidR="00141024">
              <w:rPr>
                <w:noProof/>
                <w:webHidden/>
              </w:rPr>
              <w:t>5</w:t>
            </w:r>
            <w:r w:rsidR="00141024">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69" w:history="1">
            <w:r w:rsidRPr="00985139">
              <w:rPr>
                <w:rStyle w:val="Hyperlink"/>
                <w:noProof/>
              </w:rPr>
              <w:t>I. Introduction to product submission</w:t>
            </w:r>
            <w:r>
              <w:rPr>
                <w:noProof/>
                <w:webHidden/>
              </w:rPr>
              <w:tab/>
            </w:r>
            <w:r>
              <w:rPr>
                <w:noProof/>
                <w:webHidden/>
              </w:rPr>
              <w:fldChar w:fldCharType="begin"/>
            </w:r>
            <w:r>
              <w:rPr>
                <w:noProof/>
                <w:webHidden/>
              </w:rPr>
              <w:instrText xml:space="preserve"> PAGEREF _Toc434909869 \h </w:instrText>
            </w:r>
            <w:r>
              <w:rPr>
                <w:noProof/>
                <w:webHidden/>
              </w:rPr>
            </w:r>
            <w:r>
              <w:rPr>
                <w:noProof/>
                <w:webHidden/>
              </w:rPr>
              <w:fldChar w:fldCharType="separate"/>
            </w:r>
            <w:r>
              <w:rPr>
                <w:noProof/>
                <w:webHidden/>
              </w:rPr>
              <w:t>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0" w:history="1">
            <w:r w:rsidRPr="00985139">
              <w:rPr>
                <w:rStyle w:val="Hyperlink"/>
                <w:noProof/>
                <w:lang w:eastAsia="en-AU"/>
              </w:rPr>
              <w:t>Submission details</w:t>
            </w:r>
            <w:r>
              <w:rPr>
                <w:noProof/>
                <w:webHidden/>
              </w:rPr>
              <w:tab/>
            </w:r>
            <w:r>
              <w:rPr>
                <w:noProof/>
                <w:webHidden/>
              </w:rPr>
              <w:fldChar w:fldCharType="begin"/>
            </w:r>
            <w:r>
              <w:rPr>
                <w:noProof/>
                <w:webHidden/>
              </w:rPr>
              <w:instrText xml:space="preserve"> PAGEREF _Toc434909870 \h </w:instrText>
            </w:r>
            <w:r>
              <w:rPr>
                <w:noProof/>
                <w:webHidden/>
              </w:rPr>
            </w:r>
            <w:r>
              <w:rPr>
                <w:noProof/>
                <w:webHidden/>
              </w:rPr>
              <w:fldChar w:fldCharType="separate"/>
            </w:r>
            <w:r>
              <w:rPr>
                <w:noProof/>
                <w:webHidden/>
              </w:rPr>
              <w:t>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1" w:history="1">
            <w:r w:rsidRPr="00985139">
              <w:rPr>
                <w:rStyle w:val="Hyperlink"/>
                <w:noProof/>
              </w:rPr>
              <w:t>Product background</w:t>
            </w:r>
            <w:r>
              <w:rPr>
                <w:noProof/>
                <w:webHidden/>
              </w:rPr>
              <w:tab/>
            </w:r>
            <w:r>
              <w:rPr>
                <w:noProof/>
                <w:webHidden/>
              </w:rPr>
              <w:fldChar w:fldCharType="begin"/>
            </w:r>
            <w:r>
              <w:rPr>
                <w:noProof/>
                <w:webHidden/>
              </w:rPr>
              <w:instrText xml:space="preserve"> PAGEREF _Toc434909871 \h </w:instrText>
            </w:r>
            <w:r>
              <w:rPr>
                <w:noProof/>
                <w:webHidden/>
              </w:rPr>
            </w:r>
            <w:r>
              <w:rPr>
                <w:noProof/>
                <w:webHidden/>
              </w:rPr>
              <w:fldChar w:fldCharType="separate"/>
            </w:r>
            <w:r>
              <w:rPr>
                <w:noProof/>
                <w:webHidden/>
              </w:rPr>
              <w:t>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2" w:history="1">
            <w:r w:rsidRPr="00985139">
              <w:rPr>
                <w:rStyle w:val="Hyperlink"/>
                <w:noProof/>
              </w:rPr>
              <w:t>Regulatory status</w:t>
            </w:r>
            <w:r>
              <w:rPr>
                <w:noProof/>
                <w:webHidden/>
              </w:rPr>
              <w:tab/>
            </w:r>
            <w:r>
              <w:rPr>
                <w:noProof/>
                <w:webHidden/>
              </w:rPr>
              <w:fldChar w:fldCharType="begin"/>
            </w:r>
            <w:r>
              <w:rPr>
                <w:noProof/>
                <w:webHidden/>
              </w:rPr>
              <w:instrText xml:space="preserve"> PAGEREF _Toc434909872 \h </w:instrText>
            </w:r>
            <w:r>
              <w:rPr>
                <w:noProof/>
                <w:webHidden/>
              </w:rPr>
            </w:r>
            <w:r>
              <w:rPr>
                <w:noProof/>
                <w:webHidden/>
              </w:rPr>
              <w:fldChar w:fldCharType="separate"/>
            </w:r>
            <w:r>
              <w:rPr>
                <w:noProof/>
                <w:webHidden/>
              </w:rPr>
              <w:t>8</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73" w:history="1">
            <w:r w:rsidRPr="00985139">
              <w:rPr>
                <w:rStyle w:val="Hyperlink"/>
                <w:noProof/>
              </w:rPr>
              <w:t>II. Quality findings</w:t>
            </w:r>
            <w:r>
              <w:rPr>
                <w:noProof/>
                <w:webHidden/>
              </w:rPr>
              <w:tab/>
            </w:r>
            <w:r>
              <w:rPr>
                <w:noProof/>
                <w:webHidden/>
              </w:rPr>
              <w:fldChar w:fldCharType="begin"/>
            </w:r>
            <w:r>
              <w:rPr>
                <w:noProof/>
                <w:webHidden/>
              </w:rPr>
              <w:instrText xml:space="preserve"> PAGEREF _Toc434909873 \h </w:instrText>
            </w:r>
            <w:r>
              <w:rPr>
                <w:noProof/>
                <w:webHidden/>
              </w:rPr>
            </w:r>
            <w:r>
              <w:rPr>
                <w:noProof/>
                <w:webHidden/>
              </w:rPr>
              <w:fldChar w:fldCharType="separate"/>
            </w:r>
            <w:r>
              <w:rPr>
                <w:noProof/>
                <w:webHidden/>
              </w:rPr>
              <w:t>9</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4" w:history="1">
            <w:r w:rsidRPr="00985139">
              <w:rPr>
                <w:rStyle w:val="Hyperlink"/>
                <w:noProof/>
              </w:rPr>
              <w:t>Introduction</w:t>
            </w:r>
            <w:r>
              <w:rPr>
                <w:noProof/>
                <w:webHidden/>
              </w:rPr>
              <w:tab/>
            </w:r>
            <w:r>
              <w:rPr>
                <w:noProof/>
                <w:webHidden/>
              </w:rPr>
              <w:fldChar w:fldCharType="begin"/>
            </w:r>
            <w:r>
              <w:rPr>
                <w:noProof/>
                <w:webHidden/>
              </w:rPr>
              <w:instrText xml:space="preserve"> PAGEREF _Toc434909874 \h </w:instrText>
            </w:r>
            <w:r>
              <w:rPr>
                <w:noProof/>
                <w:webHidden/>
              </w:rPr>
            </w:r>
            <w:r>
              <w:rPr>
                <w:noProof/>
                <w:webHidden/>
              </w:rPr>
              <w:fldChar w:fldCharType="separate"/>
            </w:r>
            <w:r>
              <w:rPr>
                <w:noProof/>
                <w:webHidden/>
              </w:rPr>
              <w:t>9</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5" w:history="1">
            <w:r w:rsidRPr="00985139">
              <w:rPr>
                <w:rStyle w:val="Hyperlink"/>
                <w:noProof/>
              </w:rPr>
              <w:t>Drug substance (active ingredient)</w:t>
            </w:r>
            <w:r>
              <w:rPr>
                <w:noProof/>
                <w:webHidden/>
              </w:rPr>
              <w:tab/>
            </w:r>
            <w:r>
              <w:rPr>
                <w:noProof/>
                <w:webHidden/>
              </w:rPr>
              <w:fldChar w:fldCharType="begin"/>
            </w:r>
            <w:r>
              <w:rPr>
                <w:noProof/>
                <w:webHidden/>
              </w:rPr>
              <w:instrText xml:space="preserve"> PAGEREF _Toc434909875 \h </w:instrText>
            </w:r>
            <w:r>
              <w:rPr>
                <w:noProof/>
                <w:webHidden/>
              </w:rPr>
            </w:r>
            <w:r>
              <w:rPr>
                <w:noProof/>
                <w:webHidden/>
              </w:rPr>
              <w:fldChar w:fldCharType="separate"/>
            </w:r>
            <w:r>
              <w:rPr>
                <w:noProof/>
                <w:webHidden/>
              </w:rPr>
              <w:t>9</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6" w:history="1">
            <w:r w:rsidRPr="00985139">
              <w:rPr>
                <w:rStyle w:val="Hyperlink"/>
                <w:noProof/>
              </w:rPr>
              <w:t>Drug product</w:t>
            </w:r>
            <w:r>
              <w:rPr>
                <w:noProof/>
                <w:webHidden/>
              </w:rPr>
              <w:tab/>
            </w:r>
            <w:r>
              <w:rPr>
                <w:noProof/>
                <w:webHidden/>
              </w:rPr>
              <w:fldChar w:fldCharType="begin"/>
            </w:r>
            <w:r>
              <w:rPr>
                <w:noProof/>
                <w:webHidden/>
              </w:rPr>
              <w:instrText xml:space="preserve"> PAGEREF _Toc434909876 \h </w:instrText>
            </w:r>
            <w:r>
              <w:rPr>
                <w:noProof/>
                <w:webHidden/>
              </w:rPr>
            </w:r>
            <w:r>
              <w:rPr>
                <w:noProof/>
                <w:webHidden/>
              </w:rPr>
              <w:fldChar w:fldCharType="separate"/>
            </w:r>
            <w:r>
              <w:rPr>
                <w:noProof/>
                <w:webHidden/>
              </w:rPr>
              <w:t>10</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7" w:history="1">
            <w:r w:rsidRPr="00985139">
              <w:rPr>
                <w:rStyle w:val="Hyperlink"/>
                <w:noProof/>
              </w:rPr>
              <w:t>Advisory committee considerations</w:t>
            </w:r>
            <w:r>
              <w:rPr>
                <w:noProof/>
                <w:webHidden/>
              </w:rPr>
              <w:tab/>
            </w:r>
            <w:r>
              <w:rPr>
                <w:noProof/>
                <w:webHidden/>
              </w:rPr>
              <w:fldChar w:fldCharType="begin"/>
            </w:r>
            <w:r>
              <w:rPr>
                <w:noProof/>
                <w:webHidden/>
              </w:rPr>
              <w:instrText xml:space="preserve"> PAGEREF _Toc434909877 \h </w:instrText>
            </w:r>
            <w:r>
              <w:rPr>
                <w:noProof/>
                <w:webHidden/>
              </w:rPr>
            </w:r>
            <w:r>
              <w:rPr>
                <w:noProof/>
                <w:webHidden/>
              </w:rPr>
              <w:fldChar w:fldCharType="separate"/>
            </w:r>
            <w:r>
              <w:rPr>
                <w:noProof/>
                <w:webHidden/>
              </w:rPr>
              <w:t>11</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78" w:history="1">
            <w:r w:rsidRPr="00985139">
              <w:rPr>
                <w:rStyle w:val="Hyperlink"/>
                <w:noProof/>
              </w:rPr>
              <w:t>Quality summary and conclusions</w:t>
            </w:r>
            <w:r>
              <w:rPr>
                <w:noProof/>
                <w:webHidden/>
              </w:rPr>
              <w:tab/>
            </w:r>
            <w:r>
              <w:rPr>
                <w:noProof/>
                <w:webHidden/>
              </w:rPr>
              <w:fldChar w:fldCharType="begin"/>
            </w:r>
            <w:r>
              <w:rPr>
                <w:noProof/>
                <w:webHidden/>
              </w:rPr>
              <w:instrText xml:space="preserve"> PAGEREF _Toc434909878 \h </w:instrText>
            </w:r>
            <w:r>
              <w:rPr>
                <w:noProof/>
                <w:webHidden/>
              </w:rPr>
            </w:r>
            <w:r>
              <w:rPr>
                <w:noProof/>
                <w:webHidden/>
              </w:rPr>
              <w:fldChar w:fldCharType="separate"/>
            </w:r>
            <w:r>
              <w:rPr>
                <w:noProof/>
                <w:webHidden/>
              </w:rPr>
              <w:t>12</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79" w:history="1">
            <w:r w:rsidRPr="00985139">
              <w:rPr>
                <w:rStyle w:val="Hyperlink"/>
                <w:noProof/>
              </w:rPr>
              <w:t>III. Nonclinical findings</w:t>
            </w:r>
            <w:r>
              <w:rPr>
                <w:noProof/>
                <w:webHidden/>
              </w:rPr>
              <w:tab/>
            </w:r>
            <w:r>
              <w:rPr>
                <w:noProof/>
                <w:webHidden/>
              </w:rPr>
              <w:fldChar w:fldCharType="begin"/>
            </w:r>
            <w:r>
              <w:rPr>
                <w:noProof/>
                <w:webHidden/>
              </w:rPr>
              <w:instrText xml:space="preserve"> PAGEREF _Toc434909879 \h </w:instrText>
            </w:r>
            <w:r>
              <w:rPr>
                <w:noProof/>
                <w:webHidden/>
              </w:rPr>
            </w:r>
            <w:r>
              <w:rPr>
                <w:noProof/>
                <w:webHidden/>
              </w:rPr>
              <w:fldChar w:fldCharType="separate"/>
            </w:r>
            <w:r>
              <w:rPr>
                <w:noProof/>
                <w:webHidden/>
              </w:rPr>
              <w:t>13</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80" w:history="1">
            <w:r w:rsidRPr="00985139">
              <w:rPr>
                <w:rStyle w:val="Hyperlink"/>
                <w:noProof/>
              </w:rPr>
              <w:t>IV. Clinical findings</w:t>
            </w:r>
            <w:r>
              <w:rPr>
                <w:noProof/>
                <w:webHidden/>
              </w:rPr>
              <w:tab/>
            </w:r>
            <w:r>
              <w:rPr>
                <w:noProof/>
                <w:webHidden/>
              </w:rPr>
              <w:fldChar w:fldCharType="begin"/>
            </w:r>
            <w:r>
              <w:rPr>
                <w:noProof/>
                <w:webHidden/>
              </w:rPr>
              <w:instrText xml:space="preserve"> PAGEREF _Toc434909880 \h </w:instrText>
            </w:r>
            <w:r>
              <w:rPr>
                <w:noProof/>
                <w:webHidden/>
              </w:rPr>
            </w:r>
            <w:r>
              <w:rPr>
                <w:noProof/>
                <w:webHidden/>
              </w:rPr>
              <w:fldChar w:fldCharType="separate"/>
            </w:r>
            <w:r>
              <w:rPr>
                <w:noProof/>
                <w:webHidden/>
              </w:rPr>
              <w:t>13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1" w:history="1">
            <w:r w:rsidRPr="00985139">
              <w:rPr>
                <w:rStyle w:val="Hyperlink"/>
                <w:noProof/>
              </w:rPr>
              <w:t>Introduction</w:t>
            </w:r>
            <w:r>
              <w:rPr>
                <w:noProof/>
                <w:webHidden/>
              </w:rPr>
              <w:tab/>
            </w:r>
            <w:r>
              <w:rPr>
                <w:noProof/>
                <w:webHidden/>
              </w:rPr>
              <w:fldChar w:fldCharType="begin"/>
            </w:r>
            <w:r>
              <w:rPr>
                <w:noProof/>
                <w:webHidden/>
              </w:rPr>
              <w:instrText xml:space="preserve"> PAGEREF _Toc434909881 \h </w:instrText>
            </w:r>
            <w:r>
              <w:rPr>
                <w:noProof/>
                <w:webHidden/>
              </w:rPr>
            </w:r>
            <w:r>
              <w:rPr>
                <w:noProof/>
                <w:webHidden/>
              </w:rPr>
              <w:fldChar w:fldCharType="separate"/>
            </w:r>
            <w:r>
              <w:rPr>
                <w:noProof/>
                <w:webHidden/>
              </w:rPr>
              <w:t>13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2" w:history="1">
            <w:r w:rsidRPr="00985139">
              <w:rPr>
                <w:rStyle w:val="Hyperlink"/>
                <w:noProof/>
              </w:rPr>
              <w:t>Pharmacokinetics</w:t>
            </w:r>
            <w:r>
              <w:rPr>
                <w:noProof/>
                <w:webHidden/>
              </w:rPr>
              <w:tab/>
            </w:r>
            <w:r>
              <w:rPr>
                <w:noProof/>
                <w:webHidden/>
              </w:rPr>
              <w:fldChar w:fldCharType="begin"/>
            </w:r>
            <w:r>
              <w:rPr>
                <w:noProof/>
                <w:webHidden/>
              </w:rPr>
              <w:instrText xml:space="preserve"> PAGEREF _Toc434909882 \h </w:instrText>
            </w:r>
            <w:r>
              <w:rPr>
                <w:noProof/>
                <w:webHidden/>
              </w:rPr>
            </w:r>
            <w:r>
              <w:rPr>
                <w:noProof/>
                <w:webHidden/>
              </w:rPr>
              <w:fldChar w:fldCharType="separate"/>
            </w:r>
            <w:r>
              <w:rPr>
                <w:noProof/>
                <w:webHidden/>
              </w:rPr>
              <w:t>15</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3" w:history="1">
            <w:r w:rsidRPr="00985139">
              <w:rPr>
                <w:rStyle w:val="Hyperlink"/>
                <w:noProof/>
              </w:rPr>
              <w:t>Pharmacodynamics</w:t>
            </w:r>
            <w:r>
              <w:rPr>
                <w:noProof/>
                <w:webHidden/>
              </w:rPr>
              <w:tab/>
            </w:r>
            <w:r>
              <w:rPr>
                <w:noProof/>
                <w:webHidden/>
              </w:rPr>
              <w:fldChar w:fldCharType="begin"/>
            </w:r>
            <w:r>
              <w:rPr>
                <w:noProof/>
                <w:webHidden/>
              </w:rPr>
              <w:instrText xml:space="preserve"> PAGEREF _Toc434909883 \h </w:instrText>
            </w:r>
            <w:r>
              <w:rPr>
                <w:noProof/>
                <w:webHidden/>
              </w:rPr>
            </w:r>
            <w:r>
              <w:rPr>
                <w:noProof/>
                <w:webHidden/>
              </w:rPr>
              <w:fldChar w:fldCharType="separate"/>
            </w:r>
            <w:r>
              <w:rPr>
                <w:noProof/>
                <w:webHidden/>
              </w:rPr>
              <w:t>17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4" w:history="1">
            <w:r w:rsidRPr="00985139">
              <w:rPr>
                <w:rStyle w:val="Hyperlink"/>
                <w:noProof/>
              </w:rPr>
              <w:t>Dosage selection for the pivotal studies</w:t>
            </w:r>
            <w:r>
              <w:rPr>
                <w:noProof/>
                <w:webHidden/>
              </w:rPr>
              <w:tab/>
            </w:r>
            <w:r>
              <w:rPr>
                <w:noProof/>
                <w:webHidden/>
              </w:rPr>
              <w:fldChar w:fldCharType="begin"/>
            </w:r>
            <w:r>
              <w:rPr>
                <w:noProof/>
                <w:webHidden/>
              </w:rPr>
              <w:instrText xml:space="preserve"> PAGEREF _Toc434909884 \h </w:instrText>
            </w:r>
            <w:r>
              <w:rPr>
                <w:noProof/>
                <w:webHidden/>
              </w:rPr>
            </w:r>
            <w:r>
              <w:rPr>
                <w:noProof/>
                <w:webHidden/>
              </w:rPr>
              <w:fldChar w:fldCharType="separate"/>
            </w:r>
            <w:r>
              <w:rPr>
                <w:noProof/>
                <w:webHidden/>
              </w:rPr>
              <w:t>17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5" w:history="1">
            <w:r w:rsidRPr="00985139">
              <w:rPr>
                <w:rStyle w:val="Hyperlink"/>
                <w:noProof/>
              </w:rPr>
              <w:t>Efficacy</w:t>
            </w:r>
            <w:r>
              <w:rPr>
                <w:noProof/>
                <w:webHidden/>
              </w:rPr>
              <w:tab/>
            </w:r>
            <w:r>
              <w:rPr>
                <w:noProof/>
                <w:webHidden/>
              </w:rPr>
              <w:fldChar w:fldCharType="begin"/>
            </w:r>
            <w:r>
              <w:rPr>
                <w:noProof/>
                <w:webHidden/>
              </w:rPr>
              <w:instrText xml:space="preserve"> PAGEREF _Toc434909885 \h </w:instrText>
            </w:r>
            <w:r>
              <w:rPr>
                <w:noProof/>
                <w:webHidden/>
              </w:rPr>
            </w:r>
            <w:r>
              <w:rPr>
                <w:noProof/>
                <w:webHidden/>
              </w:rPr>
              <w:fldChar w:fldCharType="separate"/>
            </w:r>
            <w:r>
              <w:rPr>
                <w:noProof/>
                <w:webHidden/>
              </w:rPr>
              <w:t>17</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6" w:history="1">
            <w:r w:rsidRPr="00985139">
              <w:rPr>
                <w:rStyle w:val="Hyperlink"/>
                <w:noProof/>
              </w:rPr>
              <w:t>Safety</w:t>
            </w:r>
            <w:r>
              <w:rPr>
                <w:noProof/>
                <w:webHidden/>
              </w:rPr>
              <w:tab/>
            </w:r>
            <w:r>
              <w:rPr>
                <w:noProof/>
                <w:webHidden/>
              </w:rPr>
              <w:fldChar w:fldCharType="begin"/>
            </w:r>
            <w:r>
              <w:rPr>
                <w:noProof/>
                <w:webHidden/>
              </w:rPr>
              <w:instrText xml:space="preserve"> PAGEREF _Toc434909886 \h </w:instrText>
            </w:r>
            <w:r>
              <w:rPr>
                <w:noProof/>
                <w:webHidden/>
              </w:rPr>
            </w:r>
            <w:r>
              <w:rPr>
                <w:noProof/>
                <w:webHidden/>
              </w:rPr>
              <w:fldChar w:fldCharType="separate"/>
            </w:r>
            <w:r>
              <w:rPr>
                <w:noProof/>
                <w:webHidden/>
              </w:rPr>
              <w:t>18</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7" w:history="1">
            <w:r w:rsidRPr="00985139">
              <w:rPr>
                <w:rStyle w:val="Hyperlink"/>
                <w:noProof/>
              </w:rPr>
              <w:t>First round benefit-risk assessment</w:t>
            </w:r>
            <w:r>
              <w:rPr>
                <w:noProof/>
                <w:webHidden/>
              </w:rPr>
              <w:tab/>
            </w:r>
            <w:r>
              <w:rPr>
                <w:noProof/>
                <w:webHidden/>
              </w:rPr>
              <w:fldChar w:fldCharType="begin"/>
            </w:r>
            <w:r>
              <w:rPr>
                <w:noProof/>
                <w:webHidden/>
              </w:rPr>
              <w:instrText xml:space="preserve"> PAGEREF _Toc434909887 \h </w:instrText>
            </w:r>
            <w:r>
              <w:rPr>
                <w:noProof/>
                <w:webHidden/>
              </w:rPr>
            </w:r>
            <w:r>
              <w:rPr>
                <w:noProof/>
                <w:webHidden/>
              </w:rPr>
              <w:fldChar w:fldCharType="separate"/>
            </w:r>
            <w:r>
              <w:rPr>
                <w:noProof/>
                <w:webHidden/>
              </w:rPr>
              <w:t>19</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8" w:history="1">
            <w:r w:rsidRPr="00985139">
              <w:rPr>
                <w:rStyle w:val="Hyperlink"/>
                <w:noProof/>
              </w:rPr>
              <w:t>First round recommendation regarding authorisation</w:t>
            </w:r>
            <w:r>
              <w:rPr>
                <w:noProof/>
                <w:webHidden/>
              </w:rPr>
              <w:tab/>
            </w:r>
            <w:r>
              <w:rPr>
                <w:noProof/>
                <w:webHidden/>
              </w:rPr>
              <w:fldChar w:fldCharType="begin"/>
            </w:r>
            <w:r>
              <w:rPr>
                <w:noProof/>
                <w:webHidden/>
              </w:rPr>
              <w:instrText xml:space="preserve"> PAGEREF _Toc434909888 \h </w:instrText>
            </w:r>
            <w:r>
              <w:rPr>
                <w:noProof/>
                <w:webHidden/>
              </w:rPr>
            </w:r>
            <w:r>
              <w:rPr>
                <w:noProof/>
                <w:webHidden/>
              </w:rPr>
              <w:fldChar w:fldCharType="separate"/>
            </w:r>
            <w:r>
              <w:rPr>
                <w:noProof/>
                <w:webHidden/>
              </w:rPr>
              <w:t>21</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89" w:history="1">
            <w:r w:rsidRPr="00985139">
              <w:rPr>
                <w:rStyle w:val="Hyperlink"/>
                <w:noProof/>
              </w:rPr>
              <w:t>Clinical questions</w:t>
            </w:r>
            <w:r>
              <w:rPr>
                <w:noProof/>
                <w:webHidden/>
              </w:rPr>
              <w:tab/>
            </w:r>
            <w:r>
              <w:rPr>
                <w:noProof/>
                <w:webHidden/>
              </w:rPr>
              <w:fldChar w:fldCharType="begin"/>
            </w:r>
            <w:r>
              <w:rPr>
                <w:noProof/>
                <w:webHidden/>
              </w:rPr>
              <w:instrText xml:space="preserve"> PAGEREF _Toc434909889 \h </w:instrText>
            </w:r>
            <w:r>
              <w:rPr>
                <w:noProof/>
                <w:webHidden/>
              </w:rPr>
            </w:r>
            <w:r>
              <w:rPr>
                <w:noProof/>
                <w:webHidden/>
              </w:rPr>
              <w:fldChar w:fldCharType="separate"/>
            </w:r>
            <w:r>
              <w:rPr>
                <w:noProof/>
                <w:webHidden/>
              </w:rPr>
              <w:t>22</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0" w:history="1">
            <w:r w:rsidRPr="00985139">
              <w:rPr>
                <w:rStyle w:val="Hyperlink"/>
                <w:rFonts w:eastAsia="Batang"/>
                <w:noProof/>
              </w:rPr>
              <w:t>Safety</w:t>
            </w:r>
            <w:r>
              <w:rPr>
                <w:noProof/>
                <w:webHidden/>
              </w:rPr>
              <w:tab/>
            </w:r>
            <w:r>
              <w:rPr>
                <w:noProof/>
                <w:webHidden/>
              </w:rPr>
              <w:fldChar w:fldCharType="begin"/>
            </w:r>
            <w:r>
              <w:rPr>
                <w:noProof/>
                <w:webHidden/>
              </w:rPr>
              <w:instrText xml:space="preserve"> PAGEREF _Toc434909890 \h </w:instrText>
            </w:r>
            <w:r>
              <w:rPr>
                <w:noProof/>
                <w:webHidden/>
              </w:rPr>
            </w:r>
            <w:r>
              <w:rPr>
                <w:noProof/>
                <w:webHidden/>
              </w:rPr>
              <w:fldChar w:fldCharType="separate"/>
            </w:r>
            <w:r>
              <w:rPr>
                <w:noProof/>
                <w:webHidden/>
              </w:rPr>
              <w:t>22</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1" w:history="1">
            <w:r w:rsidRPr="00985139">
              <w:rPr>
                <w:rStyle w:val="Hyperlink"/>
                <w:rFonts w:eastAsia="Batang"/>
                <w:noProof/>
              </w:rPr>
              <w:t>Other questions</w:t>
            </w:r>
            <w:r>
              <w:rPr>
                <w:noProof/>
                <w:webHidden/>
              </w:rPr>
              <w:tab/>
            </w:r>
            <w:r>
              <w:rPr>
                <w:noProof/>
                <w:webHidden/>
              </w:rPr>
              <w:fldChar w:fldCharType="begin"/>
            </w:r>
            <w:r>
              <w:rPr>
                <w:noProof/>
                <w:webHidden/>
              </w:rPr>
              <w:instrText xml:space="preserve"> PAGEREF _Toc434909891 \h </w:instrText>
            </w:r>
            <w:r>
              <w:rPr>
                <w:noProof/>
                <w:webHidden/>
              </w:rPr>
            </w:r>
            <w:r>
              <w:rPr>
                <w:noProof/>
                <w:webHidden/>
              </w:rPr>
              <w:fldChar w:fldCharType="separate"/>
            </w:r>
            <w:r>
              <w:rPr>
                <w:noProof/>
                <w:webHidden/>
              </w:rPr>
              <w:t>22</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2" w:history="1">
            <w:r w:rsidRPr="00985139">
              <w:rPr>
                <w:rStyle w:val="Hyperlink"/>
                <w:noProof/>
              </w:rPr>
              <w:t>Second round evaluation of clinical data submitted in response to questions</w:t>
            </w:r>
            <w:r>
              <w:rPr>
                <w:noProof/>
                <w:webHidden/>
              </w:rPr>
              <w:tab/>
            </w:r>
            <w:r>
              <w:rPr>
                <w:noProof/>
                <w:webHidden/>
              </w:rPr>
              <w:fldChar w:fldCharType="begin"/>
            </w:r>
            <w:r>
              <w:rPr>
                <w:noProof/>
                <w:webHidden/>
              </w:rPr>
              <w:instrText xml:space="preserve"> PAGEREF _Toc434909892 \h </w:instrText>
            </w:r>
            <w:r>
              <w:rPr>
                <w:noProof/>
                <w:webHidden/>
              </w:rPr>
            </w:r>
            <w:r>
              <w:rPr>
                <w:noProof/>
                <w:webHidden/>
              </w:rPr>
              <w:fldChar w:fldCharType="separate"/>
            </w:r>
            <w:r>
              <w:rPr>
                <w:noProof/>
                <w:webHidden/>
              </w:rPr>
              <w:t>23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3" w:history="1">
            <w:r w:rsidRPr="00985139">
              <w:rPr>
                <w:rStyle w:val="Hyperlink"/>
                <w:noProof/>
              </w:rPr>
              <w:t>Second round benefit-risk assessment</w:t>
            </w:r>
            <w:r>
              <w:rPr>
                <w:noProof/>
                <w:webHidden/>
              </w:rPr>
              <w:tab/>
            </w:r>
            <w:r>
              <w:rPr>
                <w:noProof/>
                <w:webHidden/>
              </w:rPr>
              <w:fldChar w:fldCharType="begin"/>
            </w:r>
            <w:r>
              <w:rPr>
                <w:noProof/>
                <w:webHidden/>
              </w:rPr>
              <w:instrText xml:space="preserve"> PAGEREF _Toc434909893 \h </w:instrText>
            </w:r>
            <w:r>
              <w:rPr>
                <w:noProof/>
                <w:webHidden/>
              </w:rPr>
            </w:r>
            <w:r>
              <w:rPr>
                <w:noProof/>
                <w:webHidden/>
              </w:rPr>
              <w:fldChar w:fldCharType="separate"/>
            </w:r>
            <w:r>
              <w:rPr>
                <w:noProof/>
                <w:webHidden/>
              </w:rPr>
              <w:t>23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4" w:history="1">
            <w:r w:rsidRPr="00985139">
              <w:rPr>
                <w:rStyle w:val="Hyperlink"/>
                <w:rFonts w:eastAsia="Batang"/>
                <w:noProof/>
              </w:rPr>
              <w:t>Second round recommendation regarding authorisation</w:t>
            </w:r>
            <w:r>
              <w:rPr>
                <w:noProof/>
                <w:webHidden/>
              </w:rPr>
              <w:tab/>
            </w:r>
            <w:r>
              <w:rPr>
                <w:noProof/>
                <w:webHidden/>
              </w:rPr>
              <w:fldChar w:fldCharType="begin"/>
            </w:r>
            <w:r>
              <w:rPr>
                <w:noProof/>
                <w:webHidden/>
              </w:rPr>
              <w:instrText xml:space="preserve"> PAGEREF _Toc434909894 \h </w:instrText>
            </w:r>
            <w:r>
              <w:rPr>
                <w:noProof/>
                <w:webHidden/>
              </w:rPr>
            </w:r>
            <w:r>
              <w:rPr>
                <w:noProof/>
                <w:webHidden/>
              </w:rPr>
              <w:fldChar w:fldCharType="separate"/>
            </w:r>
            <w:r>
              <w:rPr>
                <w:noProof/>
                <w:webHidden/>
              </w:rPr>
              <w:t>25</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95" w:history="1">
            <w:r w:rsidRPr="00985139">
              <w:rPr>
                <w:rStyle w:val="Hyperlink"/>
                <w:noProof/>
              </w:rPr>
              <w:t>V. Pharmacovigilance findings</w:t>
            </w:r>
            <w:r>
              <w:rPr>
                <w:noProof/>
                <w:webHidden/>
              </w:rPr>
              <w:tab/>
            </w:r>
            <w:r>
              <w:rPr>
                <w:noProof/>
                <w:webHidden/>
              </w:rPr>
              <w:fldChar w:fldCharType="begin"/>
            </w:r>
            <w:r>
              <w:rPr>
                <w:noProof/>
                <w:webHidden/>
              </w:rPr>
              <w:instrText xml:space="preserve"> PAGEREF _Toc434909895 \h </w:instrText>
            </w:r>
            <w:r>
              <w:rPr>
                <w:noProof/>
                <w:webHidden/>
              </w:rPr>
            </w:r>
            <w:r>
              <w:rPr>
                <w:noProof/>
                <w:webHidden/>
              </w:rPr>
              <w:fldChar w:fldCharType="separate"/>
            </w:r>
            <w:r>
              <w:rPr>
                <w:noProof/>
                <w:webHidden/>
              </w:rPr>
              <w:t>25</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6" w:history="1">
            <w:r w:rsidRPr="00985139">
              <w:rPr>
                <w:rStyle w:val="Hyperlink"/>
                <w:noProof/>
                <w:lang w:eastAsia="en-AU"/>
              </w:rPr>
              <w:t>Risk management plan</w:t>
            </w:r>
            <w:r>
              <w:rPr>
                <w:noProof/>
                <w:webHidden/>
              </w:rPr>
              <w:tab/>
            </w:r>
            <w:r>
              <w:rPr>
                <w:noProof/>
                <w:webHidden/>
              </w:rPr>
              <w:fldChar w:fldCharType="begin"/>
            </w:r>
            <w:r>
              <w:rPr>
                <w:noProof/>
                <w:webHidden/>
              </w:rPr>
              <w:instrText xml:space="preserve"> PAGEREF _Toc434909896 \h </w:instrText>
            </w:r>
            <w:r>
              <w:rPr>
                <w:noProof/>
                <w:webHidden/>
              </w:rPr>
            </w:r>
            <w:r>
              <w:rPr>
                <w:noProof/>
                <w:webHidden/>
              </w:rPr>
              <w:fldChar w:fldCharType="separate"/>
            </w:r>
            <w:r>
              <w:rPr>
                <w:noProof/>
                <w:webHidden/>
              </w:rPr>
              <w:t>25</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897" w:history="1">
            <w:r w:rsidRPr="00985139">
              <w:rPr>
                <w:rStyle w:val="Hyperlink"/>
                <w:noProof/>
              </w:rPr>
              <w:t>VI. Overall conclusion and risk/benefit assessment</w:t>
            </w:r>
            <w:r>
              <w:rPr>
                <w:noProof/>
                <w:webHidden/>
              </w:rPr>
              <w:tab/>
            </w:r>
            <w:r>
              <w:rPr>
                <w:noProof/>
                <w:webHidden/>
              </w:rPr>
              <w:fldChar w:fldCharType="begin"/>
            </w:r>
            <w:r>
              <w:rPr>
                <w:noProof/>
                <w:webHidden/>
              </w:rPr>
              <w:instrText xml:space="preserve"> PAGEREF _Toc434909897 \h </w:instrText>
            </w:r>
            <w:r>
              <w:rPr>
                <w:noProof/>
                <w:webHidden/>
              </w:rPr>
            </w:r>
            <w:r>
              <w:rPr>
                <w:noProof/>
                <w:webHidden/>
              </w:rPr>
              <w:fldChar w:fldCharType="separate"/>
            </w:r>
            <w:r>
              <w:rPr>
                <w:noProof/>
                <w:webHidden/>
              </w:rPr>
              <w:t>30</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8" w:history="1">
            <w:r w:rsidRPr="00985139">
              <w:rPr>
                <w:rStyle w:val="Hyperlink"/>
                <w:noProof/>
              </w:rPr>
              <w:t>Quality</w:t>
            </w:r>
            <w:r>
              <w:rPr>
                <w:noProof/>
                <w:webHidden/>
              </w:rPr>
              <w:tab/>
            </w:r>
            <w:r>
              <w:rPr>
                <w:noProof/>
                <w:webHidden/>
              </w:rPr>
              <w:fldChar w:fldCharType="begin"/>
            </w:r>
            <w:r>
              <w:rPr>
                <w:noProof/>
                <w:webHidden/>
              </w:rPr>
              <w:instrText xml:space="preserve"> PAGEREF _Toc434909898 \h </w:instrText>
            </w:r>
            <w:r>
              <w:rPr>
                <w:noProof/>
                <w:webHidden/>
              </w:rPr>
            </w:r>
            <w:r>
              <w:rPr>
                <w:noProof/>
                <w:webHidden/>
              </w:rPr>
              <w:fldChar w:fldCharType="separate"/>
            </w:r>
            <w:r>
              <w:rPr>
                <w:noProof/>
                <w:webHidden/>
              </w:rPr>
              <w:t>31</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899" w:history="1">
            <w:r w:rsidRPr="00985139">
              <w:rPr>
                <w:rStyle w:val="Hyperlink"/>
                <w:noProof/>
              </w:rPr>
              <w:t>Nonclinical</w:t>
            </w:r>
            <w:r>
              <w:rPr>
                <w:noProof/>
                <w:webHidden/>
              </w:rPr>
              <w:tab/>
            </w:r>
            <w:r>
              <w:rPr>
                <w:noProof/>
                <w:webHidden/>
              </w:rPr>
              <w:fldChar w:fldCharType="begin"/>
            </w:r>
            <w:r>
              <w:rPr>
                <w:noProof/>
                <w:webHidden/>
              </w:rPr>
              <w:instrText xml:space="preserve"> PAGEREF _Toc434909899 \h </w:instrText>
            </w:r>
            <w:r>
              <w:rPr>
                <w:noProof/>
                <w:webHidden/>
              </w:rPr>
            </w:r>
            <w:r>
              <w:rPr>
                <w:noProof/>
                <w:webHidden/>
              </w:rPr>
              <w:fldChar w:fldCharType="separate"/>
            </w:r>
            <w:r>
              <w:rPr>
                <w:noProof/>
                <w:webHidden/>
              </w:rPr>
              <w:t>33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0" w:history="1">
            <w:r w:rsidRPr="00985139">
              <w:rPr>
                <w:rStyle w:val="Hyperlink"/>
                <w:noProof/>
              </w:rPr>
              <w:t>Clinical</w:t>
            </w:r>
            <w:r>
              <w:rPr>
                <w:noProof/>
                <w:webHidden/>
              </w:rPr>
              <w:tab/>
            </w:r>
            <w:r>
              <w:rPr>
                <w:noProof/>
                <w:webHidden/>
              </w:rPr>
              <w:fldChar w:fldCharType="begin"/>
            </w:r>
            <w:r>
              <w:rPr>
                <w:noProof/>
                <w:webHidden/>
              </w:rPr>
              <w:instrText xml:space="preserve"> PAGEREF _Toc434909900 \h </w:instrText>
            </w:r>
            <w:r>
              <w:rPr>
                <w:noProof/>
                <w:webHidden/>
              </w:rPr>
            </w:r>
            <w:r>
              <w:rPr>
                <w:noProof/>
                <w:webHidden/>
              </w:rPr>
              <w:fldChar w:fldCharType="separate"/>
            </w:r>
            <w:r>
              <w:rPr>
                <w:noProof/>
                <w:webHidden/>
              </w:rPr>
              <w:t>33</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1" w:history="1">
            <w:r w:rsidRPr="00985139">
              <w:rPr>
                <w:rStyle w:val="Hyperlink"/>
                <w:noProof/>
                <w:lang w:eastAsia="en-AU"/>
              </w:rPr>
              <w:t>Risk management plan</w:t>
            </w:r>
            <w:r>
              <w:rPr>
                <w:noProof/>
                <w:webHidden/>
              </w:rPr>
              <w:tab/>
            </w:r>
            <w:r>
              <w:rPr>
                <w:noProof/>
                <w:webHidden/>
              </w:rPr>
              <w:fldChar w:fldCharType="begin"/>
            </w:r>
            <w:r>
              <w:rPr>
                <w:noProof/>
                <w:webHidden/>
              </w:rPr>
              <w:instrText xml:space="preserve"> PAGEREF _Toc434909901 \h </w:instrText>
            </w:r>
            <w:r>
              <w:rPr>
                <w:noProof/>
                <w:webHidden/>
              </w:rPr>
            </w:r>
            <w:r>
              <w:rPr>
                <w:noProof/>
                <w:webHidden/>
              </w:rPr>
              <w:fldChar w:fldCharType="separate"/>
            </w:r>
            <w:r>
              <w:rPr>
                <w:noProof/>
                <w:webHidden/>
              </w:rPr>
              <w:t>34</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2" w:history="1">
            <w:r w:rsidRPr="00985139">
              <w:rPr>
                <w:rStyle w:val="Hyperlink"/>
                <w:noProof/>
              </w:rPr>
              <w:t>Risk-benefit analysis</w:t>
            </w:r>
            <w:r>
              <w:rPr>
                <w:noProof/>
                <w:webHidden/>
              </w:rPr>
              <w:tab/>
            </w:r>
            <w:r>
              <w:rPr>
                <w:noProof/>
                <w:webHidden/>
              </w:rPr>
              <w:fldChar w:fldCharType="begin"/>
            </w:r>
            <w:r>
              <w:rPr>
                <w:noProof/>
                <w:webHidden/>
              </w:rPr>
              <w:instrText xml:space="preserve"> PAGEREF _Toc434909902 \h </w:instrText>
            </w:r>
            <w:r>
              <w:rPr>
                <w:noProof/>
                <w:webHidden/>
              </w:rPr>
            </w:r>
            <w:r>
              <w:rPr>
                <w:noProof/>
                <w:webHidden/>
              </w:rPr>
              <w:fldChar w:fldCharType="separate"/>
            </w:r>
            <w:r>
              <w:rPr>
                <w:noProof/>
                <w:webHidden/>
              </w:rPr>
              <w:t>35</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3" w:history="1">
            <w:r w:rsidRPr="00985139">
              <w:rPr>
                <w:rStyle w:val="Hyperlink"/>
                <w:noProof/>
              </w:rPr>
              <w:t>Initial outcome</w:t>
            </w:r>
            <w:r>
              <w:rPr>
                <w:noProof/>
                <w:webHidden/>
              </w:rPr>
              <w:tab/>
            </w:r>
            <w:r>
              <w:rPr>
                <w:noProof/>
                <w:webHidden/>
              </w:rPr>
              <w:fldChar w:fldCharType="begin"/>
            </w:r>
            <w:r>
              <w:rPr>
                <w:noProof/>
                <w:webHidden/>
              </w:rPr>
              <w:instrText xml:space="preserve"> PAGEREF _Toc434909903 \h </w:instrText>
            </w:r>
            <w:r>
              <w:rPr>
                <w:noProof/>
                <w:webHidden/>
              </w:rPr>
            </w:r>
            <w:r>
              <w:rPr>
                <w:noProof/>
                <w:webHidden/>
              </w:rPr>
              <w:fldChar w:fldCharType="separate"/>
            </w:r>
            <w:r>
              <w:rPr>
                <w:noProof/>
                <w:webHidden/>
              </w:rPr>
              <w:t>46</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4" w:history="1">
            <w:r w:rsidRPr="00985139">
              <w:rPr>
                <w:rStyle w:val="Hyperlink"/>
                <w:noProof/>
              </w:rPr>
              <w:t>Final outcome</w:t>
            </w:r>
            <w:r>
              <w:rPr>
                <w:noProof/>
                <w:webHidden/>
              </w:rPr>
              <w:tab/>
            </w:r>
            <w:r>
              <w:rPr>
                <w:noProof/>
                <w:webHidden/>
              </w:rPr>
              <w:fldChar w:fldCharType="begin"/>
            </w:r>
            <w:r>
              <w:rPr>
                <w:noProof/>
                <w:webHidden/>
              </w:rPr>
              <w:instrText xml:space="preserve"> PAGEREF _Toc434909904 \h </w:instrText>
            </w:r>
            <w:r>
              <w:rPr>
                <w:noProof/>
                <w:webHidden/>
              </w:rPr>
            </w:r>
            <w:r>
              <w:rPr>
                <w:noProof/>
                <w:webHidden/>
              </w:rPr>
              <w:fldChar w:fldCharType="separate"/>
            </w:r>
            <w:r>
              <w:rPr>
                <w:noProof/>
                <w:webHidden/>
              </w:rPr>
              <w:t>48</w:t>
            </w:r>
            <w:r>
              <w:rPr>
                <w:noProof/>
                <w:webHidden/>
              </w:rPr>
              <w:fldChar w:fldCharType="end"/>
            </w:r>
          </w:hyperlink>
        </w:p>
        <w:p w:rsidR="00141024" w:rsidRDefault="00141024">
          <w:pPr>
            <w:pStyle w:val="TOC3"/>
            <w:rPr>
              <w:rFonts w:asciiTheme="minorHAnsi" w:eastAsiaTheme="minorEastAsia" w:hAnsiTheme="minorHAnsi" w:cstheme="minorBidi"/>
              <w:noProof/>
              <w:lang w:eastAsia="en-AU"/>
            </w:rPr>
          </w:pPr>
          <w:hyperlink w:anchor="_Toc434909905" w:history="1">
            <w:r w:rsidRPr="00985139">
              <w:rPr>
                <w:rStyle w:val="Hyperlink"/>
                <w:noProof/>
              </w:rPr>
              <w:t>Outcome from appeal to the Administrative Appeals Tribunal (AAT)</w:t>
            </w:r>
            <w:r>
              <w:rPr>
                <w:noProof/>
                <w:webHidden/>
              </w:rPr>
              <w:tab/>
            </w:r>
            <w:r>
              <w:rPr>
                <w:noProof/>
                <w:webHidden/>
              </w:rPr>
              <w:fldChar w:fldCharType="begin"/>
            </w:r>
            <w:r>
              <w:rPr>
                <w:noProof/>
                <w:webHidden/>
              </w:rPr>
              <w:instrText xml:space="preserve"> PAGEREF _Toc434909905 \h </w:instrText>
            </w:r>
            <w:r>
              <w:rPr>
                <w:noProof/>
                <w:webHidden/>
              </w:rPr>
            </w:r>
            <w:r>
              <w:rPr>
                <w:noProof/>
                <w:webHidden/>
              </w:rPr>
              <w:fldChar w:fldCharType="separate"/>
            </w:r>
            <w:r>
              <w:rPr>
                <w:noProof/>
                <w:webHidden/>
              </w:rPr>
              <w:t>49</w:t>
            </w:r>
            <w:r>
              <w:rPr>
                <w:noProof/>
                <w:webHidden/>
              </w:rPr>
              <w:fldChar w:fldCharType="end"/>
            </w:r>
          </w:hyperlink>
        </w:p>
        <w:p w:rsidR="00141024" w:rsidRDefault="00141024">
          <w:pPr>
            <w:pStyle w:val="TOC2"/>
            <w:rPr>
              <w:rFonts w:asciiTheme="minorHAnsi" w:eastAsiaTheme="minorEastAsia" w:hAnsiTheme="minorHAnsi" w:cstheme="minorBidi"/>
              <w:b w:val="0"/>
              <w:noProof/>
              <w:sz w:val="22"/>
              <w:lang w:eastAsia="en-AU"/>
            </w:rPr>
          </w:pPr>
          <w:hyperlink w:anchor="_Toc434909906" w:history="1">
            <w:r w:rsidRPr="00985139">
              <w:rPr>
                <w:rStyle w:val="Hyperlink"/>
                <w:noProof/>
                <w:lang w:eastAsia="en-AU"/>
              </w:rPr>
              <w:t>Attachment 1. Extract from the Clinical Evaluation Report</w:t>
            </w:r>
            <w:r>
              <w:rPr>
                <w:noProof/>
                <w:webHidden/>
              </w:rPr>
              <w:tab/>
            </w:r>
            <w:r>
              <w:rPr>
                <w:noProof/>
                <w:webHidden/>
              </w:rPr>
              <w:fldChar w:fldCharType="begin"/>
            </w:r>
            <w:r>
              <w:rPr>
                <w:noProof/>
                <w:webHidden/>
              </w:rPr>
              <w:instrText xml:space="preserve"> PAGEREF _Toc434909906 \h </w:instrText>
            </w:r>
            <w:r>
              <w:rPr>
                <w:noProof/>
                <w:webHidden/>
              </w:rPr>
            </w:r>
            <w:r>
              <w:rPr>
                <w:noProof/>
                <w:webHidden/>
              </w:rPr>
              <w:fldChar w:fldCharType="separate"/>
            </w:r>
            <w:r>
              <w:rPr>
                <w:noProof/>
                <w:webHidden/>
              </w:rPr>
              <w:t>49</w:t>
            </w:r>
            <w:r>
              <w:rPr>
                <w:noProof/>
                <w:webHidden/>
              </w:rPr>
              <w:fldChar w:fldCharType="end"/>
            </w:r>
          </w:hyperlink>
        </w:p>
        <w:p w:rsidR="003A7F6C" w:rsidRPr="00B811C6" w:rsidRDefault="00DB6124" w:rsidP="00B811C6">
          <w:pPr>
            <w:pStyle w:val="TOC2"/>
          </w:pPr>
          <w:r>
            <w:fldChar w:fldCharType="end"/>
          </w:r>
        </w:p>
      </w:sdtContent>
    </w:sdt>
    <w:bookmarkStart w:id="3" w:name="_Toc314842482" w:displacedByCustomXml="prev"/>
    <w:p w:rsidR="00FD119B" w:rsidRDefault="00FD119B">
      <w:pPr>
        <w:spacing w:before="0" w:after="200" w:line="0" w:lineRule="auto"/>
      </w:pPr>
      <w:r>
        <w:br w:type="page"/>
      </w:r>
    </w:p>
    <w:p w:rsidR="00FD119B" w:rsidRDefault="00DC5E9C" w:rsidP="004F0C4A">
      <w:pPr>
        <w:pStyle w:val="Heading2"/>
      </w:pPr>
      <w:bookmarkStart w:id="4" w:name="_Toc351716269"/>
      <w:bookmarkStart w:id="5" w:name="_Toc351718881"/>
      <w:bookmarkStart w:id="6" w:name="_Toc355338616"/>
      <w:bookmarkStart w:id="7" w:name="_Toc356306144"/>
      <w:bookmarkStart w:id="8" w:name="_Toc434909868"/>
      <w:r>
        <w:lastRenderedPageBreak/>
        <w:t>C</w:t>
      </w:r>
      <w:r w:rsidR="00FD119B" w:rsidRPr="00FD119B">
        <w:t>ommon abbreviations</w:t>
      </w:r>
      <w:bookmarkEnd w:id="4"/>
      <w:bookmarkEnd w:id="5"/>
      <w:bookmarkEnd w:id="6"/>
      <w:bookmarkEnd w:id="7"/>
      <w:bookmarkEnd w:id="8"/>
    </w:p>
    <w:tbl>
      <w:tblPr>
        <w:tblStyle w:val="TableTGAblue"/>
        <w:tblW w:w="0" w:type="auto"/>
        <w:tblLook w:val="04A0" w:firstRow="1" w:lastRow="0" w:firstColumn="1" w:lastColumn="0" w:noHBand="0" w:noVBand="1"/>
      </w:tblPr>
      <w:tblGrid>
        <w:gridCol w:w="1809"/>
        <w:gridCol w:w="6911"/>
      </w:tblGrid>
      <w:tr w:rsidR="00DF3731" w:rsidTr="002D64ED">
        <w:trPr>
          <w:cnfStyle w:val="100000000000" w:firstRow="1" w:lastRow="0" w:firstColumn="0" w:lastColumn="0" w:oddVBand="0" w:evenVBand="0" w:oddHBand="0" w:evenHBand="0" w:firstRowFirstColumn="0" w:firstRowLastColumn="0" w:lastRowFirstColumn="0" w:lastRowLastColumn="0"/>
          <w:trHeight w:val="454"/>
        </w:trPr>
        <w:tc>
          <w:tcPr>
            <w:tcW w:w="1809" w:type="dxa"/>
            <w:hideMark/>
          </w:tcPr>
          <w:p w:rsidR="00DF3731" w:rsidRDefault="00DF3731" w:rsidP="002D64ED">
            <w:r>
              <w:t>AE</w:t>
            </w:r>
          </w:p>
        </w:tc>
        <w:tc>
          <w:tcPr>
            <w:tcW w:w="6911" w:type="dxa"/>
            <w:hideMark/>
          </w:tcPr>
          <w:p w:rsidR="00DF3731" w:rsidRDefault="00DF3731" w:rsidP="002D64ED">
            <w:r>
              <w:t>Adverse Events</w:t>
            </w:r>
          </w:p>
        </w:tc>
      </w:tr>
      <w:tr w:rsidR="00DF3731" w:rsidTr="002D64ED">
        <w:trPr>
          <w:trHeight w:val="454"/>
        </w:trPr>
        <w:tc>
          <w:tcPr>
            <w:tcW w:w="1809" w:type="dxa"/>
            <w:hideMark/>
          </w:tcPr>
          <w:p w:rsidR="00DF3731" w:rsidRDefault="00DF3731" w:rsidP="002D64ED">
            <w:r>
              <w:t>ARGPM</w:t>
            </w:r>
          </w:p>
        </w:tc>
        <w:tc>
          <w:tcPr>
            <w:tcW w:w="6911" w:type="dxa"/>
            <w:hideMark/>
          </w:tcPr>
          <w:p w:rsidR="00DF3731" w:rsidRDefault="00DF3731" w:rsidP="002D64ED">
            <w:r>
              <w:t>Australian Regulatory Guidelines for Prescription Medicines</w:t>
            </w:r>
          </w:p>
        </w:tc>
      </w:tr>
      <w:tr w:rsidR="00DF3731" w:rsidTr="002D64ED">
        <w:trPr>
          <w:trHeight w:val="454"/>
        </w:trPr>
        <w:tc>
          <w:tcPr>
            <w:tcW w:w="1809" w:type="dxa"/>
            <w:hideMark/>
          </w:tcPr>
          <w:p w:rsidR="00DF3731" w:rsidRDefault="00DF3731" w:rsidP="002D64ED">
            <w:r>
              <w:t>ARTG</w:t>
            </w:r>
          </w:p>
        </w:tc>
        <w:tc>
          <w:tcPr>
            <w:tcW w:w="6911" w:type="dxa"/>
            <w:hideMark/>
          </w:tcPr>
          <w:p w:rsidR="00DF3731" w:rsidRDefault="00DF3731" w:rsidP="002D64ED">
            <w:r>
              <w:t>Australian Register of Therapeutic Goods</w:t>
            </w:r>
          </w:p>
        </w:tc>
      </w:tr>
      <w:tr w:rsidR="00DF3731" w:rsidTr="002D64ED">
        <w:trPr>
          <w:trHeight w:val="454"/>
        </w:trPr>
        <w:tc>
          <w:tcPr>
            <w:tcW w:w="1809" w:type="dxa"/>
            <w:hideMark/>
          </w:tcPr>
          <w:p w:rsidR="00DF3731" w:rsidRDefault="00DF3731" w:rsidP="002D64ED">
            <w:proofErr w:type="spellStart"/>
            <w:r>
              <w:rPr>
                <w:vertAlign w:val="superscript"/>
              </w:rPr>
              <w:t>o</w:t>
            </w:r>
            <w:r>
              <w:t>C</w:t>
            </w:r>
            <w:proofErr w:type="spellEnd"/>
          </w:p>
        </w:tc>
        <w:tc>
          <w:tcPr>
            <w:tcW w:w="6911" w:type="dxa"/>
            <w:hideMark/>
          </w:tcPr>
          <w:p w:rsidR="00DF3731" w:rsidRDefault="00DF3731" w:rsidP="002D64ED">
            <w:r>
              <w:t>degrees Celsius CI</w:t>
            </w:r>
          </w:p>
        </w:tc>
      </w:tr>
      <w:tr w:rsidR="00DF3731" w:rsidTr="002D64ED">
        <w:trPr>
          <w:trHeight w:val="454"/>
        </w:trPr>
        <w:tc>
          <w:tcPr>
            <w:tcW w:w="1809" w:type="dxa"/>
            <w:hideMark/>
          </w:tcPr>
          <w:p w:rsidR="00DF3731" w:rsidRDefault="00DF3731" w:rsidP="002D64ED">
            <w:r>
              <w:t>CI</w:t>
            </w:r>
          </w:p>
        </w:tc>
        <w:tc>
          <w:tcPr>
            <w:tcW w:w="6911" w:type="dxa"/>
          </w:tcPr>
          <w:p w:rsidR="00DF3731" w:rsidRDefault="00DF3731" w:rsidP="002D64ED">
            <w:r>
              <w:t>Confidence Interval</w:t>
            </w:r>
          </w:p>
        </w:tc>
      </w:tr>
      <w:tr w:rsidR="00DF3731" w:rsidTr="002D64ED">
        <w:trPr>
          <w:trHeight w:val="454"/>
        </w:trPr>
        <w:tc>
          <w:tcPr>
            <w:tcW w:w="1809" w:type="dxa"/>
            <w:hideMark/>
          </w:tcPr>
          <w:p w:rsidR="00DF3731" w:rsidRDefault="002D64ED" w:rsidP="002D64ED">
            <w:r>
              <w:t>CKD</w:t>
            </w:r>
          </w:p>
        </w:tc>
        <w:tc>
          <w:tcPr>
            <w:tcW w:w="6911" w:type="dxa"/>
            <w:hideMark/>
          </w:tcPr>
          <w:p w:rsidR="00DF3731" w:rsidRDefault="00DF3731" w:rsidP="002D64ED">
            <w:r>
              <w:t>chronic kidney disease</w:t>
            </w:r>
          </w:p>
        </w:tc>
      </w:tr>
      <w:tr w:rsidR="00DF3731" w:rsidTr="002D64ED">
        <w:trPr>
          <w:trHeight w:val="454"/>
        </w:trPr>
        <w:tc>
          <w:tcPr>
            <w:tcW w:w="1809" w:type="dxa"/>
            <w:hideMark/>
          </w:tcPr>
          <w:p w:rsidR="00DF3731" w:rsidRDefault="00DF3731" w:rsidP="002D64ED">
            <w:r>
              <w:t>CMI</w:t>
            </w:r>
          </w:p>
        </w:tc>
        <w:tc>
          <w:tcPr>
            <w:tcW w:w="6911" w:type="dxa"/>
            <w:hideMark/>
          </w:tcPr>
          <w:p w:rsidR="00DF3731" w:rsidRDefault="00DF3731" w:rsidP="002D64ED">
            <w:r>
              <w:t>Consumer Medicine Information</w:t>
            </w:r>
          </w:p>
        </w:tc>
      </w:tr>
      <w:tr w:rsidR="00DF3731" w:rsidTr="002D64ED">
        <w:trPr>
          <w:trHeight w:val="454"/>
        </w:trPr>
        <w:tc>
          <w:tcPr>
            <w:tcW w:w="1809" w:type="dxa"/>
            <w:hideMark/>
          </w:tcPr>
          <w:p w:rsidR="00DF3731" w:rsidRDefault="00DF3731" w:rsidP="002D64ED">
            <w:r>
              <w:t>CV</w:t>
            </w:r>
          </w:p>
        </w:tc>
        <w:tc>
          <w:tcPr>
            <w:tcW w:w="6911" w:type="dxa"/>
            <w:hideMark/>
          </w:tcPr>
          <w:p w:rsidR="00DF3731" w:rsidRDefault="00DF3731" w:rsidP="002D64ED">
            <w:r>
              <w:t>coefficient of variation</w:t>
            </w:r>
          </w:p>
        </w:tc>
      </w:tr>
      <w:tr w:rsidR="00DF3731" w:rsidTr="002D64ED">
        <w:trPr>
          <w:trHeight w:val="454"/>
        </w:trPr>
        <w:tc>
          <w:tcPr>
            <w:tcW w:w="1809" w:type="dxa"/>
            <w:hideMark/>
          </w:tcPr>
          <w:p w:rsidR="00DF3731" w:rsidRDefault="00DF3731" w:rsidP="002D64ED">
            <w:r>
              <w:t>EPAR</w:t>
            </w:r>
          </w:p>
        </w:tc>
        <w:tc>
          <w:tcPr>
            <w:tcW w:w="6911" w:type="dxa"/>
            <w:hideMark/>
          </w:tcPr>
          <w:p w:rsidR="00DF3731" w:rsidRDefault="00DF3731" w:rsidP="002D64ED">
            <w:r>
              <w:t>European Public Assessment Record</w:t>
            </w:r>
          </w:p>
        </w:tc>
      </w:tr>
      <w:tr w:rsidR="00DF3731" w:rsidTr="002D64ED">
        <w:trPr>
          <w:trHeight w:val="454"/>
        </w:trPr>
        <w:tc>
          <w:tcPr>
            <w:tcW w:w="1809" w:type="dxa"/>
            <w:hideMark/>
          </w:tcPr>
          <w:p w:rsidR="00DF3731" w:rsidRDefault="00DF3731" w:rsidP="002D64ED">
            <w:r>
              <w:t>EU</w:t>
            </w:r>
          </w:p>
        </w:tc>
        <w:tc>
          <w:tcPr>
            <w:tcW w:w="6911" w:type="dxa"/>
            <w:hideMark/>
          </w:tcPr>
          <w:p w:rsidR="00DF3731" w:rsidRDefault="00DF3731" w:rsidP="002D64ED">
            <w:r>
              <w:t>European Union</w:t>
            </w:r>
          </w:p>
        </w:tc>
      </w:tr>
      <w:tr w:rsidR="00DF3731" w:rsidTr="002D64ED">
        <w:trPr>
          <w:trHeight w:val="454"/>
        </w:trPr>
        <w:tc>
          <w:tcPr>
            <w:tcW w:w="1809" w:type="dxa"/>
            <w:hideMark/>
          </w:tcPr>
          <w:p w:rsidR="00DF3731" w:rsidRDefault="00DF3731" w:rsidP="002D64ED">
            <w:r>
              <w:t>FDA</w:t>
            </w:r>
          </w:p>
        </w:tc>
        <w:tc>
          <w:tcPr>
            <w:tcW w:w="6911" w:type="dxa"/>
            <w:hideMark/>
          </w:tcPr>
          <w:p w:rsidR="00DF3731" w:rsidRDefault="00DF3731" w:rsidP="002D64ED">
            <w:r>
              <w:t>Food and Drug Administration</w:t>
            </w:r>
          </w:p>
        </w:tc>
      </w:tr>
      <w:tr w:rsidR="00DF3731" w:rsidTr="002D64ED">
        <w:trPr>
          <w:trHeight w:val="454"/>
        </w:trPr>
        <w:tc>
          <w:tcPr>
            <w:tcW w:w="1809" w:type="dxa"/>
            <w:hideMark/>
          </w:tcPr>
          <w:p w:rsidR="00DF3731" w:rsidRDefault="00DF3731" w:rsidP="002D64ED">
            <w:r>
              <w:t>GFR</w:t>
            </w:r>
          </w:p>
        </w:tc>
        <w:tc>
          <w:tcPr>
            <w:tcW w:w="6911" w:type="dxa"/>
            <w:hideMark/>
          </w:tcPr>
          <w:p w:rsidR="00DF3731" w:rsidRDefault="00DF3731" w:rsidP="002D64ED">
            <w:r>
              <w:t>glomerular filtration rate</w:t>
            </w:r>
          </w:p>
        </w:tc>
      </w:tr>
      <w:tr w:rsidR="00DF3731" w:rsidTr="002D64ED">
        <w:trPr>
          <w:trHeight w:val="454"/>
        </w:trPr>
        <w:tc>
          <w:tcPr>
            <w:tcW w:w="1809" w:type="dxa"/>
            <w:hideMark/>
          </w:tcPr>
          <w:p w:rsidR="00DF3731" w:rsidRDefault="00DF3731" w:rsidP="002D64ED">
            <w:r>
              <w:t>g</w:t>
            </w:r>
          </w:p>
        </w:tc>
        <w:tc>
          <w:tcPr>
            <w:tcW w:w="6911" w:type="dxa"/>
            <w:hideMark/>
          </w:tcPr>
          <w:p w:rsidR="00DF3731" w:rsidRDefault="00DF3731" w:rsidP="002D64ED">
            <w:r>
              <w:t>gram</w:t>
            </w:r>
          </w:p>
        </w:tc>
      </w:tr>
      <w:tr w:rsidR="00DF3731" w:rsidTr="002D64ED">
        <w:trPr>
          <w:trHeight w:val="454"/>
        </w:trPr>
        <w:tc>
          <w:tcPr>
            <w:tcW w:w="1809" w:type="dxa"/>
            <w:hideMark/>
          </w:tcPr>
          <w:p w:rsidR="00DF3731" w:rsidRDefault="00DF3731" w:rsidP="002D64ED">
            <w:r>
              <w:t>HC</w:t>
            </w:r>
          </w:p>
        </w:tc>
        <w:tc>
          <w:tcPr>
            <w:tcW w:w="6911" w:type="dxa"/>
            <w:hideMark/>
          </w:tcPr>
          <w:p w:rsidR="00DF3731" w:rsidRDefault="00DF3731" w:rsidP="002D64ED">
            <w:r>
              <w:t>Health Canada</w:t>
            </w:r>
          </w:p>
        </w:tc>
      </w:tr>
      <w:tr w:rsidR="00DF3731" w:rsidTr="002D64ED">
        <w:trPr>
          <w:trHeight w:val="454"/>
        </w:trPr>
        <w:tc>
          <w:tcPr>
            <w:tcW w:w="1809" w:type="dxa"/>
            <w:hideMark/>
          </w:tcPr>
          <w:p w:rsidR="00DF3731" w:rsidRDefault="00DF3731" w:rsidP="002D64ED">
            <w:proofErr w:type="spellStart"/>
            <w:r>
              <w:t>HCl</w:t>
            </w:r>
            <w:proofErr w:type="spellEnd"/>
          </w:p>
        </w:tc>
        <w:tc>
          <w:tcPr>
            <w:tcW w:w="6911" w:type="dxa"/>
            <w:hideMark/>
          </w:tcPr>
          <w:p w:rsidR="00DF3731" w:rsidRDefault="00DF3731" w:rsidP="002D64ED">
            <w:r>
              <w:t>hydrochloric acid</w:t>
            </w:r>
          </w:p>
        </w:tc>
      </w:tr>
      <w:tr w:rsidR="00DF3731" w:rsidTr="002D64ED">
        <w:trPr>
          <w:trHeight w:val="454"/>
        </w:trPr>
        <w:tc>
          <w:tcPr>
            <w:tcW w:w="1809" w:type="dxa"/>
            <w:hideMark/>
          </w:tcPr>
          <w:p w:rsidR="00DF3731" w:rsidRDefault="00DF3731" w:rsidP="002D64ED">
            <w:r>
              <w:t>HD</w:t>
            </w:r>
          </w:p>
        </w:tc>
        <w:tc>
          <w:tcPr>
            <w:tcW w:w="6911" w:type="dxa"/>
            <w:hideMark/>
          </w:tcPr>
          <w:p w:rsidR="00DF3731" w:rsidRDefault="00DF3731" w:rsidP="002D64ED">
            <w:r>
              <w:t>haemodialysis</w:t>
            </w:r>
          </w:p>
        </w:tc>
      </w:tr>
      <w:tr w:rsidR="00DF3731" w:rsidTr="002D64ED">
        <w:trPr>
          <w:trHeight w:val="454"/>
        </w:trPr>
        <w:tc>
          <w:tcPr>
            <w:tcW w:w="1809" w:type="dxa"/>
            <w:hideMark/>
          </w:tcPr>
          <w:p w:rsidR="00DF3731" w:rsidRDefault="00DF3731" w:rsidP="002D64ED">
            <w:r>
              <w:t>HAS</w:t>
            </w:r>
          </w:p>
        </w:tc>
        <w:tc>
          <w:tcPr>
            <w:tcW w:w="6911" w:type="dxa"/>
            <w:hideMark/>
          </w:tcPr>
          <w:p w:rsidR="00DF3731" w:rsidRDefault="00DF3731" w:rsidP="002D64ED">
            <w:r>
              <w:t>Health Sciences Authority (Singapore)</w:t>
            </w:r>
          </w:p>
        </w:tc>
      </w:tr>
      <w:tr w:rsidR="00DF3731" w:rsidTr="002D64ED">
        <w:trPr>
          <w:trHeight w:val="454"/>
        </w:trPr>
        <w:tc>
          <w:tcPr>
            <w:tcW w:w="1809" w:type="dxa"/>
            <w:hideMark/>
          </w:tcPr>
          <w:p w:rsidR="00DF3731" w:rsidRDefault="00DF3731" w:rsidP="002D64ED">
            <w:proofErr w:type="spellStart"/>
            <w:r>
              <w:t>iPTH</w:t>
            </w:r>
            <w:proofErr w:type="spellEnd"/>
          </w:p>
        </w:tc>
        <w:tc>
          <w:tcPr>
            <w:tcW w:w="6911" w:type="dxa"/>
            <w:hideMark/>
          </w:tcPr>
          <w:p w:rsidR="00DF3731" w:rsidRDefault="00DF3731" w:rsidP="002D64ED">
            <w:r>
              <w:t>intact parathyroid hormone</w:t>
            </w:r>
          </w:p>
        </w:tc>
      </w:tr>
      <w:tr w:rsidR="00DF3731" w:rsidTr="002D64ED">
        <w:trPr>
          <w:trHeight w:val="454"/>
        </w:trPr>
        <w:tc>
          <w:tcPr>
            <w:tcW w:w="1809" w:type="dxa"/>
            <w:hideMark/>
          </w:tcPr>
          <w:p w:rsidR="00DF3731" w:rsidRDefault="00DF3731" w:rsidP="002D64ED">
            <w:proofErr w:type="spellStart"/>
            <w:r>
              <w:t>kD</w:t>
            </w:r>
            <w:proofErr w:type="spellEnd"/>
          </w:p>
        </w:tc>
        <w:tc>
          <w:tcPr>
            <w:tcW w:w="6911" w:type="dxa"/>
            <w:hideMark/>
          </w:tcPr>
          <w:p w:rsidR="00DF3731" w:rsidRDefault="00DF3731" w:rsidP="002D64ED">
            <w:proofErr w:type="spellStart"/>
            <w:r>
              <w:t>kilo</w:t>
            </w:r>
            <w:r w:rsidR="00586D85">
              <w:t>D</w:t>
            </w:r>
            <w:r>
              <w:t>alton</w:t>
            </w:r>
            <w:proofErr w:type="spellEnd"/>
            <w:r>
              <w:t xml:space="preserve"> </w:t>
            </w:r>
          </w:p>
        </w:tc>
      </w:tr>
      <w:tr w:rsidR="00DF3731" w:rsidTr="002D64ED">
        <w:trPr>
          <w:trHeight w:val="454"/>
        </w:trPr>
        <w:tc>
          <w:tcPr>
            <w:tcW w:w="1809" w:type="dxa"/>
            <w:hideMark/>
          </w:tcPr>
          <w:p w:rsidR="00DF3731" w:rsidRDefault="00DF3731" w:rsidP="002D64ED">
            <w:r>
              <w:t>KDOQI</w:t>
            </w:r>
          </w:p>
        </w:tc>
        <w:tc>
          <w:tcPr>
            <w:tcW w:w="6911" w:type="dxa"/>
            <w:hideMark/>
          </w:tcPr>
          <w:p w:rsidR="00DF3731" w:rsidRDefault="00DF3731" w:rsidP="002D64ED">
            <w:r>
              <w:t xml:space="preserve">Kidney Disease Outcomes Quality Initiative </w:t>
            </w:r>
          </w:p>
        </w:tc>
      </w:tr>
      <w:tr w:rsidR="00DF3731" w:rsidTr="002D64ED">
        <w:trPr>
          <w:trHeight w:val="454"/>
        </w:trPr>
        <w:tc>
          <w:tcPr>
            <w:tcW w:w="1809" w:type="dxa"/>
            <w:hideMark/>
          </w:tcPr>
          <w:p w:rsidR="00DF3731" w:rsidRDefault="00DF3731" w:rsidP="002D64ED">
            <w:r>
              <w:t>kg</w:t>
            </w:r>
          </w:p>
        </w:tc>
        <w:tc>
          <w:tcPr>
            <w:tcW w:w="6911" w:type="dxa"/>
            <w:hideMark/>
          </w:tcPr>
          <w:p w:rsidR="00DF3731" w:rsidRDefault="00DF3731" w:rsidP="002D64ED">
            <w:r>
              <w:t>kilogram</w:t>
            </w:r>
          </w:p>
        </w:tc>
      </w:tr>
      <w:tr w:rsidR="00DF3731" w:rsidTr="002D64ED">
        <w:trPr>
          <w:trHeight w:val="454"/>
        </w:trPr>
        <w:tc>
          <w:tcPr>
            <w:tcW w:w="1809" w:type="dxa"/>
            <w:hideMark/>
          </w:tcPr>
          <w:p w:rsidR="00DF3731" w:rsidRDefault="00DF3731" w:rsidP="002D64ED">
            <w:pPr>
              <w:rPr>
                <w:vertAlign w:val="superscript"/>
              </w:rPr>
            </w:pPr>
            <w:r>
              <w:t>m</w:t>
            </w:r>
            <w:r>
              <w:rPr>
                <w:vertAlign w:val="superscript"/>
              </w:rPr>
              <w:t>2</w:t>
            </w:r>
          </w:p>
        </w:tc>
        <w:tc>
          <w:tcPr>
            <w:tcW w:w="6911" w:type="dxa"/>
            <w:hideMark/>
          </w:tcPr>
          <w:p w:rsidR="00DF3731" w:rsidRDefault="00DF3731" w:rsidP="002D64ED">
            <w:r>
              <w:t>square metre</w:t>
            </w:r>
          </w:p>
        </w:tc>
      </w:tr>
      <w:tr w:rsidR="00DF3731" w:rsidTr="002D64ED">
        <w:trPr>
          <w:trHeight w:val="454"/>
        </w:trPr>
        <w:tc>
          <w:tcPr>
            <w:tcW w:w="1809" w:type="dxa"/>
            <w:hideMark/>
          </w:tcPr>
          <w:p w:rsidR="00DF3731" w:rsidRDefault="00DF3731" w:rsidP="002D64ED">
            <w:proofErr w:type="spellStart"/>
            <w:r>
              <w:t>mEq</w:t>
            </w:r>
            <w:proofErr w:type="spellEnd"/>
          </w:p>
        </w:tc>
        <w:tc>
          <w:tcPr>
            <w:tcW w:w="6911" w:type="dxa"/>
            <w:hideMark/>
          </w:tcPr>
          <w:p w:rsidR="00DF3731" w:rsidRDefault="00DF3731" w:rsidP="002D64ED">
            <w:proofErr w:type="spellStart"/>
            <w:r>
              <w:t>milliequivalents</w:t>
            </w:r>
            <w:proofErr w:type="spellEnd"/>
          </w:p>
        </w:tc>
      </w:tr>
      <w:tr w:rsidR="00DF3731" w:rsidTr="002D64ED">
        <w:trPr>
          <w:trHeight w:val="454"/>
        </w:trPr>
        <w:tc>
          <w:tcPr>
            <w:tcW w:w="1809" w:type="dxa"/>
            <w:hideMark/>
          </w:tcPr>
          <w:p w:rsidR="00DF3731" w:rsidRDefault="00DF3731" w:rsidP="002D64ED">
            <w:r>
              <w:t>mg</w:t>
            </w:r>
          </w:p>
        </w:tc>
        <w:tc>
          <w:tcPr>
            <w:tcW w:w="6911" w:type="dxa"/>
            <w:hideMark/>
          </w:tcPr>
          <w:p w:rsidR="00DF3731" w:rsidRDefault="00DF3731" w:rsidP="002D64ED">
            <w:r>
              <w:t>milligrams</w:t>
            </w:r>
          </w:p>
        </w:tc>
      </w:tr>
      <w:tr w:rsidR="00DF3731" w:rsidTr="002D64ED">
        <w:trPr>
          <w:trHeight w:val="454"/>
        </w:trPr>
        <w:tc>
          <w:tcPr>
            <w:tcW w:w="1809" w:type="dxa"/>
            <w:hideMark/>
          </w:tcPr>
          <w:p w:rsidR="00DF3731" w:rsidRDefault="00DF3731" w:rsidP="002D64ED">
            <w:r>
              <w:t>MHRA</w:t>
            </w:r>
          </w:p>
        </w:tc>
        <w:tc>
          <w:tcPr>
            <w:tcW w:w="6911" w:type="dxa"/>
            <w:hideMark/>
          </w:tcPr>
          <w:p w:rsidR="00DF3731" w:rsidRDefault="00DF3731" w:rsidP="002D64ED">
            <w:r>
              <w:t>Medicines and Health Regulatory Agency</w:t>
            </w:r>
          </w:p>
        </w:tc>
      </w:tr>
      <w:tr w:rsidR="00DF3731" w:rsidTr="002D64ED">
        <w:trPr>
          <w:trHeight w:val="454"/>
        </w:trPr>
        <w:tc>
          <w:tcPr>
            <w:tcW w:w="1809" w:type="dxa"/>
            <w:hideMark/>
          </w:tcPr>
          <w:p w:rsidR="00DF3731" w:rsidRDefault="00DF3731" w:rsidP="002D64ED">
            <w:r>
              <w:t>min</w:t>
            </w:r>
          </w:p>
        </w:tc>
        <w:tc>
          <w:tcPr>
            <w:tcW w:w="6911" w:type="dxa"/>
            <w:hideMark/>
          </w:tcPr>
          <w:p w:rsidR="00DF3731" w:rsidRDefault="00DF3731" w:rsidP="002D64ED">
            <w:r>
              <w:t>minute</w:t>
            </w:r>
          </w:p>
        </w:tc>
      </w:tr>
      <w:tr w:rsidR="00DF3731" w:rsidTr="002D64ED">
        <w:trPr>
          <w:trHeight w:val="454"/>
        </w:trPr>
        <w:tc>
          <w:tcPr>
            <w:tcW w:w="1809" w:type="dxa"/>
            <w:hideMark/>
          </w:tcPr>
          <w:p w:rsidR="00DF3731" w:rsidRDefault="00DF3731" w:rsidP="002D64ED">
            <w:r>
              <w:lastRenderedPageBreak/>
              <w:t>mm</w:t>
            </w:r>
          </w:p>
        </w:tc>
        <w:tc>
          <w:tcPr>
            <w:tcW w:w="6911" w:type="dxa"/>
            <w:hideMark/>
          </w:tcPr>
          <w:p w:rsidR="00DF3731" w:rsidRDefault="00DF3731" w:rsidP="002D64ED">
            <w:r>
              <w:t>millimetres</w:t>
            </w:r>
          </w:p>
        </w:tc>
      </w:tr>
      <w:tr w:rsidR="00DF3731" w:rsidTr="002D64ED">
        <w:trPr>
          <w:trHeight w:val="454"/>
        </w:trPr>
        <w:tc>
          <w:tcPr>
            <w:tcW w:w="1809" w:type="dxa"/>
            <w:hideMark/>
          </w:tcPr>
          <w:p w:rsidR="00DF3731" w:rsidRDefault="00DF3731" w:rsidP="002D64ED">
            <w:proofErr w:type="spellStart"/>
            <w:r>
              <w:t>mM</w:t>
            </w:r>
            <w:proofErr w:type="spellEnd"/>
          </w:p>
        </w:tc>
        <w:tc>
          <w:tcPr>
            <w:tcW w:w="6911" w:type="dxa"/>
            <w:hideMark/>
          </w:tcPr>
          <w:p w:rsidR="00DF3731" w:rsidRDefault="00DF3731" w:rsidP="002D64ED">
            <w:proofErr w:type="spellStart"/>
            <w:r>
              <w:t>millimolar</w:t>
            </w:r>
            <w:proofErr w:type="spellEnd"/>
          </w:p>
        </w:tc>
      </w:tr>
      <w:tr w:rsidR="00DF3731" w:rsidTr="002D64ED">
        <w:trPr>
          <w:trHeight w:val="454"/>
        </w:trPr>
        <w:tc>
          <w:tcPr>
            <w:tcW w:w="1809" w:type="dxa"/>
            <w:hideMark/>
          </w:tcPr>
          <w:p w:rsidR="00DF3731" w:rsidRDefault="00DF3731" w:rsidP="002D64ED">
            <w:proofErr w:type="spellStart"/>
            <w:r>
              <w:t>mmol</w:t>
            </w:r>
            <w:proofErr w:type="spellEnd"/>
          </w:p>
        </w:tc>
        <w:tc>
          <w:tcPr>
            <w:tcW w:w="6911" w:type="dxa"/>
            <w:hideMark/>
          </w:tcPr>
          <w:p w:rsidR="00DF3731" w:rsidRDefault="00DF3731" w:rsidP="002D64ED">
            <w:proofErr w:type="spellStart"/>
            <w:r>
              <w:t>millimols</w:t>
            </w:r>
            <w:proofErr w:type="spellEnd"/>
          </w:p>
        </w:tc>
      </w:tr>
      <w:tr w:rsidR="00DF3731" w:rsidTr="002D64ED">
        <w:trPr>
          <w:trHeight w:val="454"/>
        </w:trPr>
        <w:tc>
          <w:tcPr>
            <w:tcW w:w="1809" w:type="dxa"/>
            <w:hideMark/>
          </w:tcPr>
          <w:p w:rsidR="00DF3731" w:rsidRDefault="00DF3731" w:rsidP="002D64ED">
            <w:r>
              <w:t>mL</w:t>
            </w:r>
          </w:p>
        </w:tc>
        <w:tc>
          <w:tcPr>
            <w:tcW w:w="6911" w:type="dxa"/>
            <w:hideMark/>
          </w:tcPr>
          <w:p w:rsidR="00DF3731" w:rsidRDefault="00DF3731" w:rsidP="002D64ED">
            <w:r>
              <w:t>millilitre</w:t>
            </w:r>
          </w:p>
        </w:tc>
      </w:tr>
      <w:tr w:rsidR="00DF3731" w:rsidTr="002D64ED">
        <w:trPr>
          <w:trHeight w:val="454"/>
        </w:trPr>
        <w:tc>
          <w:tcPr>
            <w:tcW w:w="1809" w:type="dxa"/>
            <w:hideMark/>
          </w:tcPr>
          <w:p w:rsidR="00DF3731" w:rsidRDefault="00DF3731" w:rsidP="002D64ED">
            <w:r>
              <w:t>L</w:t>
            </w:r>
          </w:p>
        </w:tc>
        <w:tc>
          <w:tcPr>
            <w:tcW w:w="6911" w:type="dxa"/>
            <w:hideMark/>
          </w:tcPr>
          <w:p w:rsidR="00DF3731" w:rsidRDefault="00DF3731" w:rsidP="002D64ED">
            <w:r>
              <w:t>litre</w:t>
            </w:r>
          </w:p>
        </w:tc>
      </w:tr>
      <w:tr w:rsidR="00DF3731" w:rsidTr="002D64ED">
        <w:trPr>
          <w:trHeight w:val="454"/>
        </w:trPr>
        <w:tc>
          <w:tcPr>
            <w:tcW w:w="1809" w:type="dxa"/>
            <w:hideMark/>
          </w:tcPr>
          <w:p w:rsidR="00DF3731" w:rsidRDefault="00DF3731" w:rsidP="002D64ED">
            <w:r>
              <w:t xml:space="preserve">PD </w:t>
            </w:r>
          </w:p>
        </w:tc>
        <w:tc>
          <w:tcPr>
            <w:tcW w:w="6911" w:type="dxa"/>
            <w:hideMark/>
          </w:tcPr>
          <w:p w:rsidR="00DF3731" w:rsidRDefault="00DF3731" w:rsidP="002D64ED">
            <w:r>
              <w:t>peritoneal dialysis</w:t>
            </w:r>
          </w:p>
        </w:tc>
      </w:tr>
      <w:tr w:rsidR="00DF3731" w:rsidTr="002D64ED">
        <w:trPr>
          <w:trHeight w:val="454"/>
        </w:trPr>
        <w:tc>
          <w:tcPr>
            <w:tcW w:w="1809" w:type="dxa"/>
            <w:hideMark/>
          </w:tcPr>
          <w:p w:rsidR="00DF3731" w:rsidRDefault="00DF3731" w:rsidP="002D64ED">
            <w:r>
              <w:t>PI</w:t>
            </w:r>
          </w:p>
        </w:tc>
        <w:tc>
          <w:tcPr>
            <w:tcW w:w="6911" w:type="dxa"/>
            <w:hideMark/>
          </w:tcPr>
          <w:p w:rsidR="00DF3731" w:rsidRDefault="00DF3731" w:rsidP="002D64ED">
            <w:r>
              <w:t>Product Information</w:t>
            </w:r>
          </w:p>
        </w:tc>
      </w:tr>
      <w:tr w:rsidR="00DF3731" w:rsidTr="002D64ED">
        <w:trPr>
          <w:trHeight w:val="454"/>
        </w:trPr>
        <w:tc>
          <w:tcPr>
            <w:tcW w:w="1809" w:type="dxa"/>
            <w:hideMark/>
          </w:tcPr>
          <w:p w:rsidR="00DF3731" w:rsidRDefault="00DF3731" w:rsidP="002D64ED">
            <w:proofErr w:type="spellStart"/>
            <w:r>
              <w:t>pg</w:t>
            </w:r>
            <w:proofErr w:type="spellEnd"/>
          </w:p>
        </w:tc>
        <w:tc>
          <w:tcPr>
            <w:tcW w:w="6911" w:type="dxa"/>
            <w:hideMark/>
          </w:tcPr>
          <w:p w:rsidR="00DF3731" w:rsidRDefault="00DF3731" w:rsidP="002D64ED">
            <w:proofErr w:type="spellStart"/>
            <w:r>
              <w:t>picogram</w:t>
            </w:r>
            <w:proofErr w:type="spellEnd"/>
          </w:p>
        </w:tc>
      </w:tr>
      <w:tr w:rsidR="00DF3731" w:rsidTr="002D64ED">
        <w:trPr>
          <w:trHeight w:val="454"/>
        </w:trPr>
        <w:tc>
          <w:tcPr>
            <w:tcW w:w="1809" w:type="dxa"/>
            <w:hideMark/>
          </w:tcPr>
          <w:p w:rsidR="00DF3731" w:rsidRDefault="00DF3731" w:rsidP="002D64ED">
            <w:r>
              <w:t>rpm</w:t>
            </w:r>
          </w:p>
        </w:tc>
        <w:tc>
          <w:tcPr>
            <w:tcW w:w="6911" w:type="dxa"/>
            <w:hideMark/>
          </w:tcPr>
          <w:p w:rsidR="00DF3731" w:rsidRDefault="00DF3731" w:rsidP="002D64ED">
            <w:r>
              <w:t>revolutions per minute</w:t>
            </w:r>
          </w:p>
        </w:tc>
      </w:tr>
      <w:tr w:rsidR="00DF3731" w:rsidTr="002D64ED">
        <w:trPr>
          <w:trHeight w:val="454"/>
        </w:trPr>
        <w:tc>
          <w:tcPr>
            <w:tcW w:w="1809" w:type="dxa"/>
            <w:hideMark/>
          </w:tcPr>
          <w:p w:rsidR="00DF3731" w:rsidRDefault="00DF3731" w:rsidP="002D64ED">
            <w:r>
              <w:t>SD</w:t>
            </w:r>
          </w:p>
        </w:tc>
        <w:tc>
          <w:tcPr>
            <w:tcW w:w="6911" w:type="dxa"/>
            <w:hideMark/>
          </w:tcPr>
          <w:p w:rsidR="00DF3731" w:rsidRDefault="00DF3731" w:rsidP="002D64ED">
            <w:r>
              <w:t>standard deviation</w:t>
            </w:r>
          </w:p>
        </w:tc>
      </w:tr>
      <w:tr w:rsidR="00DF3731" w:rsidTr="002D64ED">
        <w:trPr>
          <w:trHeight w:val="454"/>
        </w:trPr>
        <w:tc>
          <w:tcPr>
            <w:tcW w:w="1809" w:type="dxa"/>
            <w:hideMark/>
          </w:tcPr>
          <w:p w:rsidR="00DF3731" w:rsidRDefault="00DF3731" w:rsidP="002D64ED">
            <w:proofErr w:type="spellStart"/>
            <w:r>
              <w:t>tds</w:t>
            </w:r>
            <w:proofErr w:type="spellEnd"/>
          </w:p>
        </w:tc>
        <w:tc>
          <w:tcPr>
            <w:tcW w:w="6911" w:type="dxa"/>
            <w:hideMark/>
          </w:tcPr>
          <w:p w:rsidR="00DF3731" w:rsidRDefault="00DF3731" w:rsidP="002D64ED">
            <w:proofErr w:type="spellStart"/>
            <w:r>
              <w:t>ter</w:t>
            </w:r>
            <w:proofErr w:type="spellEnd"/>
            <w:r>
              <w:t xml:space="preserve"> die </w:t>
            </w:r>
            <w:proofErr w:type="spellStart"/>
            <w:r>
              <w:t>sumendum</w:t>
            </w:r>
            <w:proofErr w:type="spellEnd"/>
            <w:r>
              <w:t xml:space="preserve"> (three times daily)</w:t>
            </w:r>
          </w:p>
        </w:tc>
      </w:tr>
      <w:tr w:rsidR="00DF3731" w:rsidTr="002D64ED">
        <w:trPr>
          <w:trHeight w:val="454"/>
        </w:trPr>
        <w:tc>
          <w:tcPr>
            <w:tcW w:w="1809" w:type="dxa"/>
            <w:hideMark/>
          </w:tcPr>
          <w:p w:rsidR="00DF3731" w:rsidRDefault="00DF3731" w:rsidP="002D64ED">
            <w:r>
              <w:t>TGA</w:t>
            </w:r>
          </w:p>
        </w:tc>
        <w:tc>
          <w:tcPr>
            <w:tcW w:w="6911" w:type="dxa"/>
            <w:hideMark/>
          </w:tcPr>
          <w:p w:rsidR="00DF3731" w:rsidRDefault="00DF3731" w:rsidP="002D64ED">
            <w:r>
              <w:t>Therapeutic Goods Administration</w:t>
            </w:r>
          </w:p>
        </w:tc>
      </w:tr>
      <w:tr w:rsidR="00DF3731" w:rsidTr="002D64ED">
        <w:trPr>
          <w:trHeight w:val="454"/>
        </w:trPr>
        <w:tc>
          <w:tcPr>
            <w:tcW w:w="1809" w:type="dxa"/>
            <w:hideMark/>
          </w:tcPr>
          <w:p w:rsidR="00DF3731" w:rsidRDefault="00DF3731" w:rsidP="002D64ED">
            <w:r>
              <w:t>TGO</w:t>
            </w:r>
          </w:p>
        </w:tc>
        <w:tc>
          <w:tcPr>
            <w:tcW w:w="6911" w:type="dxa"/>
            <w:hideMark/>
          </w:tcPr>
          <w:p w:rsidR="00DF3731" w:rsidRDefault="00DF3731" w:rsidP="002D64ED">
            <w:r>
              <w:t>Therapeutic Goods Order</w:t>
            </w:r>
          </w:p>
        </w:tc>
      </w:tr>
      <w:tr w:rsidR="00DF3731" w:rsidTr="002D64ED">
        <w:trPr>
          <w:trHeight w:val="454"/>
        </w:trPr>
        <w:tc>
          <w:tcPr>
            <w:tcW w:w="1809" w:type="dxa"/>
            <w:hideMark/>
          </w:tcPr>
          <w:p w:rsidR="00DF3731" w:rsidRDefault="00DF3731" w:rsidP="002D64ED">
            <w:r>
              <w:t>T/R</w:t>
            </w:r>
          </w:p>
        </w:tc>
        <w:tc>
          <w:tcPr>
            <w:tcW w:w="6911" w:type="dxa"/>
            <w:hideMark/>
          </w:tcPr>
          <w:p w:rsidR="00DF3731" w:rsidRDefault="00DF3731" w:rsidP="002D64ED">
            <w:r>
              <w:t>test to reference ratio</w:t>
            </w:r>
          </w:p>
        </w:tc>
      </w:tr>
      <w:tr w:rsidR="00DF3731" w:rsidTr="002D64ED">
        <w:trPr>
          <w:trHeight w:val="454"/>
        </w:trPr>
        <w:tc>
          <w:tcPr>
            <w:tcW w:w="1809" w:type="dxa"/>
            <w:hideMark/>
          </w:tcPr>
          <w:p w:rsidR="00DF3731" w:rsidRDefault="00DF3731" w:rsidP="002D64ED">
            <w:r>
              <w:t>US(A)</w:t>
            </w:r>
          </w:p>
        </w:tc>
        <w:tc>
          <w:tcPr>
            <w:tcW w:w="6911" w:type="dxa"/>
            <w:hideMark/>
          </w:tcPr>
          <w:p w:rsidR="00DF3731" w:rsidRDefault="00DF3731" w:rsidP="002D64ED">
            <w:r>
              <w:t>United States of America</w:t>
            </w:r>
          </w:p>
        </w:tc>
      </w:tr>
      <w:tr w:rsidR="00DF3731" w:rsidTr="002D64ED">
        <w:trPr>
          <w:trHeight w:val="454"/>
        </w:trPr>
        <w:tc>
          <w:tcPr>
            <w:tcW w:w="1809" w:type="dxa"/>
            <w:hideMark/>
          </w:tcPr>
          <w:p w:rsidR="00DF3731" w:rsidRDefault="00DF3731" w:rsidP="002D64ED">
            <w:pPr>
              <w:rPr>
                <w:kern w:val="16"/>
                <w:szCs w:val="24"/>
              </w:rPr>
            </w:pPr>
            <w:r>
              <w:t>µm</w:t>
            </w:r>
          </w:p>
        </w:tc>
        <w:tc>
          <w:tcPr>
            <w:tcW w:w="6911" w:type="dxa"/>
            <w:hideMark/>
          </w:tcPr>
          <w:p w:rsidR="00DF3731" w:rsidRDefault="00DF3731" w:rsidP="002D64ED">
            <w:pPr>
              <w:rPr>
                <w:kern w:val="16"/>
                <w:szCs w:val="24"/>
              </w:rPr>
            </w:pPr>
            <w:r>
              <w:t>micrometre</w:t>
            </w:r>
          </w:p>
        </w:tc>
      </w:tr>
    </w:tbl>
    <w:p w:rsidR="00FD119B" w:rsidRDefault="00FD119B" w:rsidP="00FD119B"/>
    <w:p w:rsidR="00FD119B" w:rsidRPr="00FD119B" w:rsidRDefault="00FD119B" w:rsidP="00FD119B">
      <w:pPr>
        <w:spacing w:before="0" w:after="200" w:line="0" w:lineRule="auto"/>
        <w:rPr>
          <w:b/>
          <w:i/>
          <w:sz w:val="24"/>
          <w:szCs w:val="24"/>
        </w:rPr>
      </w:pPr>
      <w:r w:rsidRPr="00FD119B">
        <w:rPr>
          <w:b/>
          <w:i/>
          <w:sz w:val="24"/>
          <w:szCs w:val="24"/>
        </w:rPr>
        <w:br w:type="page"/>
      </w:r>
    </w:p>
    <w:p w:rsidR="008E7846" w:rsidRDefault="00F53C07" w:rsidP="002D64ED">
      <w:pPr>
        <w:pStyle w:val="Heading2"/>
      </w:pPr>
      <w:bookmarkStart w:id="9" w:name="_Toc434909869"/>
      <w:r>
        <w:lastRenderedPageBreak/>
        <w:t>I.</w:t>
      </w:r>
      <w:r w:rsidR="008E7846">
        <w:t xml:space="preserve"> Introduction to product submission</w:t>
      </w:r>
      <w:bookmarkEnd w:id="3"/>
      <w:bookmarkEnd w:id="0"/>
      <w:bookmarkEnd w:id="9"/>
    </w:p>
    <w:p w:rsidR="008E7846" w:rsidRDefault="008E7846" w:rsidP="008E7846">
      <w:pPr>
        <w:pStyle w:val="Heading3"/>
        <w:rPr>
          <w:lang w:eastAsia="en-AU"/>
        </w:rPr>
      </w:pPr>
      <w:bookmarkStart w:id="10" w:name="_Toc247691502"/>
      <w:bookmarkStart w:id="11" w:name="_Toc314842483"/>
      <w:bookmarkStart w:id="12" w:name="_Toc434909870"/>
      <w:r>
        <w:rPr>
          <w:lang w:eastAsia="en-AU"/>
        </w:rPr>
        <w:t>Submission details</w:t>
      </w:r>
      <w:bookmarkEnd w:id="10"/>
      <w:bookmarkEnd w:id="11"/>
      <w:bookmarkEnd w:id="12"/>
    </w:p>
    <w:tbl>
      <w:tblPr>
        <w:tblW w:w="9214" w:type="dxa"/>
        <w:tblInd w:w="108" w:type="dxa"/>
        <w:tblLook w:val="01E0" w:firstRow="1" w:lastRow="1" w:firstColumn="1" w:lastColumn="1" w:noHBand="0" w:noVBand="0"/>
      </w:tblPr>
      <w:tblGrid>
        <w:gridCol w:w="2907"/>
        <w:gridCol w:w="6307"/>
      </w:tblGrid>
      <w:tr w:rsidR="008E7846" w:rsidRPr="003D1E62" w:rsidTr="00DE150A">
        <w:trPr>
          <w:trHeight w:hRule="exact" w:val="454"/>
        </w:trPr>
        <w:tc>
          <w:tcPr>
            <w:tcW w:w="2907" w:type="dxa"/>
          </w:tcPr>
          <w:p w:rsidR="008E7846" w:rsidRPr="003D1E62" w:rsidRDefault="001B5C90" w:rsidP="001B5C90">
            <w:pPr>
              <w:rPr>
                <w:i/>
              </w:rPr>
            </w:pPr>
            <w:r>
              <w:rPr>
                <w:i/>
              </w:rPr>
              <w:t>Type of s</w:t>
            </w:r>
            <w:r w:rsidR="008E7846" w:rsidRPr="003D1E62">
              <w:rPr>
                <w:i/>
              </w:rPr>
              <w:t>ubmission</w:t>
            </w:r>
            <w:r>
              <w:rPr>
                <w:i/>
              </w:rPr>
              <w:t>:</w:t>
            </w:r>
          </w:p>
        </w:tc>
        <w:tc>
          <w:tcPr>
            <w:tcW w:w="6307" w:type="dxa"/>
          </w:tcPr>
          <w:p w:rsidR="008E7846" w:rsidRPr="003D1E62" w:rsidRDefault="00700987" w:rsidP="001B5C90">
            <w:r>
              <w:rPr>
                <w:rFonts w:asciiTheme="minorHAnsi" w:hAnsiTheme="minorHAnsi"/>
              </w:rPr>
              <w:t>New generic</w:t>
            </w:r>
          </w:p>
        </w:tc>
      </w:tr>
      <w:tr w:rsidR="008E7846" w:rsidRPr="003D1E62" w:rsidTr="00DE150A">
        <w:trPr>
          <w:trHeight w:hRule="exact" w:val="454"/>
        </w:trPr>
        <w:tc>
          <w:tcPr>
            <w:tcW w:w="2907" w:type="dxa"/>
          </w:tcPr>
          <w:p w:rsidR="008E7846" w:rsidRPr="003D1E62" w:rsidRDefault="008F7658" w:rsidP="008F7658">
            <w:r>
              <w:rPr>
                <w:i/>
              </w:rPr>
              <w:t>TGA d</w:t>
            </w:r>
            <w:r w:rsidR="008E7846" w:rsidRPr="003D1E62">
              <w:rPr>
                <w:i/>
              </w:rPr>
              <w:t>ecision</w:t>
            </w:r>
            <w:r w:rsidR="008E7846" w:rsidRPr="003D1E62">
              <w:t>:</w:t>
            </w:r>
          </w:p>
        </w:tc>
        <w:tc>
          <w:tcPr>
            <w:tcW w:w="6307" w:type="dxa"/>
          </w:tcPr>
          <w:p w:rsidR="008E7846" w:rsidRPr="003D1E62" w:rsidRDefault="00700987" w:rsidP="00700987">
            <w:r>
              <w:t>R</w:t>
            </w:r>
            <w:r w:rsidR="008E7846" w:rsidRPr="003D1E62">
              <w:t>ejected</w:t>
            </w:r>
          </w:p>
        </w:tc>
      </w:tr>
      <w:tr w:rsidR="008E7846" w:rsidRPr="003D1E62" w:rsidTr="00DE150A">
        <w:trPr>
          <w:trHeight w:hRule="exact" w:val="454"/>
        </w:trPr>
        <w:tc>
          <w:tcPr>
            <w:tcW w:w="2907" w:type="dxa"/>
          </w:tcPr>
          <w:p w:rsidR="008E7846" w:rsidRPr="003D1E62" w:rsidRDefault="008E7846" w:rsidP="001B5C90">
            <w:pPr>
              <w:rPr>
                <w:i/>
              </w:rPr>
            </w:pPr>
            <w:r w:rsidRPr="003D1E62">
              <w:rPr>
                <w:i/>
              </w:rPr>
              <w:t xml:space="preserve">Date of </w:t>
            </w:r>
            <w:r w:rsidR="008F7658">
              <w:rPr>
                <w:i/>
              </w:rPr>
              <w:t xml:space="preserve">initial TGA </w:t>
            </w:r>
            <w:r w:rsidR="001B5C90">
              <w:rPr>
                <w:i/>
              </w:rPr>
              <w:t>d</w:t>
            </w:r>
            <w:r w:rsidRPr="003D1E62">
              <w:rPr>
                <w:i/>
              </w:rPr>
              <w:t>ecision</w:t>
            </w:r>
            <w:r w:rsidR="001A2EFD">
              <w:rPr>
                <w:rStyle w:val="FootnoteReference"/>
                <w:i/>
              </w:rPr>
              <w:footnoteReference w:id="1"/>
            </w:r>
            <w:r w:rsidRPr="003D1E62">
              <w:rPr>
                <w:i/>
              </w:rPr>
              <w:t>:</w:t>
            </w:r>
          </w:p>
        </w:tc>
        <w:tc>
          <w:tcPr>
            <w:tcW w:w="6307" w:type="dxa"/>
          </w:tcPr>
          <w:p w:rsidR="008F7658" w:rsidRPr="003D1E62" w:rsidRDefault="008F7658" w:rsidP="002D64ED">
            <w:r>
              <w:t>13 February 2015</w:t>
            </w:r>
          </w:p>
        </w:tc>
      </w:tr>
      <w:tr w:rsidR="008408A6" w:rsidRPr="003D1E62" w:rsidTr="00DE150A">
        <w:trPr>
          <w:trHeight w:hRule="exact" w:val="454"/>
        </w:trPr>
        <w:tc>
          <w:tcPr>
            <w:tcW w:w="2907" w:type="dxa"/>
          </w:tcPr>
          <w:p w:rsidR="008408A6" w:rsidRPr="003D1E62" w:rsidRDefault="008408A6" w:rsidP="001B5C90">
            <w:pPr>
              <w:rPr>
                <w:i/>
              </w:rPr>
            </w:pPr>
            <w:r w:rsidRPr="008F7658">
              <w:rPr>
                <w:i/>
              </w:rPr>
              <w:t>Date of final TGA decision</w:t>
            </w:r>
            <w:r>
              <w:rPr>
                <w:i/>
              </w:rPr>
              <w:t>:</w:t>
            </w:r>
          </w:p>
        </w:tc>
        <w:tc>
          <w:tcPr>
            <w:tcW w:w="6307" w:type="dxa"/>
          </w:tcPr>
          <w:p w:rsidR="008408A6" w:rsidRDefault="008408A6" w:rsidP="001B5C90">
            <w:r>
              <w:t>30 June 2015</w:t>
            </w:r>
          </w:p>
        </w:tc>
      </w:tr>
      <w:tr w:rsidR="000325C5" w:rsidRPr="003D1E62" w:rsidTr="00DE150A">
        <w:trPr>
          <w:trHeight w:hRule="exact" w:val="454"/>
        </w:trPr>
        <w:tc>
          <w:tcPr>
            <w:tcW w:w="2907" w:type="dxa"/>
          </w:tcPr>
          <w:p w:rsidR="000325C5" w:rsidRPr="008F7658" w:rsidRDefault="000325C5" w:rsidP="001B5C90">
            <w:pPr>
              <w:rPr>
                <w:i/>
              </w:rPr>
            </w:pPr>
            <w:r>
              <w:rPr>
                <w:i/>
              </w:rPr>
              <w:t>AAT* decision</w:t>
            </w:r>
          </w:p>
        </w:tc>
        <w:tc>
          <w:tcPr>
            <w:tcW w:w="6307" w:type="dxa"/>
          </w:tcPr>
          <w:p w:rsidR="000325C5" w:rsidRDefault="000325C5" w:rsidP="001B5C90">
            <w:r>
              <w:rPr>
                <w:rStyle w:val="FootnoteReference"/>
              </w:rPr>
              <w:footnoteReference w:id="2"/>
            </w:r>
          </w:p>
        </w:tc>
      </w:tr>
      <w:tr w:rsidR="008E7846" w:rsidRPr="00487162" w:rsidTr="00DE150A">
        <w:tc>
          <w:tcPr>
            <w:tcW w:w="2907" w:type="dxa"/>
          </w:tcPr>
          <w:p w:rsidR="008E7846" w:rsidRPr="00487162" w:rsidRDefault="001B5C90" w:rsidP="00E45619">
            <w:pPr>
              <w:rPr>
                <w:i/>
              </w:rPr>
            </w:pPr>
            <w:r>
              <w:rPr>
                <w:i/>
              </w:rPr>
              <w:t>Active ingredient(s):</w:t>
            </w:r>
          </w:p>
        </w:tc>
        <w:tc>
          <w:tcPr>
            <w:tcW w:w="6307" w:type="dxa"/>
          </w:tcPr>
          <w:p w:rsidR="008E7846" w:rsidRPr="00487162" w:rsidRDefault="00700987" w:rsidP="00E45619">
            <w:proofErr w:type="spellStart"/>
            <w:r>
              <w:rPr>
                <w:rFonts w:asciiTheme="minorHAnsi" w:hAnsiTheme="minorHAnsi"/>
              </w:rPr>
              <w:t>Sevelamer</w:t>
            </w:r>
            <w:proofErr w:type="spellEnd"/>
            <w:r>
              <w:rPr>
                <w:rFonts w:asciiTheme="minorHAnsi" w:hAnsiTheme="minorHAnsi"/>
              </w:rPr>
              <w:t xml:space="preserve"> hydrochloride</w:t>
            </w:r>
          </w:p>
        </w:tc>
      </w:tr>
      <w:tr w:rsidR="008E7846" w:rsidRPr="00487162" w:rsidTr="00DE150A">
        <w:tc>
          <w:tcPr>
            <w:tcW w:w="2907" w:type="dxa"/>
          </w:tcPr>
          <w:p w:rsidR="008E7846" w:rsidRPr="00487162" w:rsidRDefault="008E7846" w:rsidP="001B5C90">
            <w:pPr>
              <w:rPr>
                <w:i/>
              </w:rPr>
            </w:pPr>
            <w:r w:rsidRPr="00487162">
              <w:rPr>
                <w:i/>
              </w:rPr>
              <w:t>Product</w:t>
            </w:r>
            <w:r w:rsidR="001B5C90">
              <w:rPr>
                <w:i/>
              </w:rPr>
              <w:t xml:space="preserve"> name(s):</w:t>
            </w:r>
          </w:p>
        </w:tc>
        <w:tc>
          <w:tcPr>
            <w:tcW w:w="6307" w:type="dxa"/>
          </w:tcPr>
          <w:p w:rsidR="008E7846" w:rsidRPr="00487162" w:rsidRDefault="00700987" w:rsidP="00E45619">
            <w:proofErr w:type="spellStart"/>
            <w:r>
              <w:rPr>
                <w:rFonts w:asciiTheme="minorHAnsi" w:hAnsiTheme="minorHAnsi"/>
              </w:rPr>
              <w:t>Sevelamer</w:t>
            </w:r>
            <w:proofErr w:type="spellEnd"/>
            <w:r>
              <w:rPr>
                <w:rFonts w:asciiTheme="minorHAnsi" w:hAnsiTheme="minorHAnsi"/>
              </w:rPr>
              <w:t xml:space="preserve"> GPPL, </w:t>
            </w:r>
            <w:proofErr w:type="spellStart"/>
            <w:r>
              <w:rPr>
                <w:rFonts w:asciiTheme="minorHAnsi" w:hAnsiTheme="minorHAnsi"/>
              </w:rPr>
              <w:t>Sevelamer</w:t>
            </w:r>
            <w:proofErr w:type="spellEnd"/>
            <w:r>
              <w:rPr>
                <w:rFonts w:asciiTheme="minorHAnsi" w:hAnsiTheme="minorHAnsi"/>
              </w:rPr>
              <w:t xml:space="preserve"> </w:t>
            </w:r>
            <w:proofErr w:type="spellStart"/>
            <w:r>
              <w:rPr>
                <w:rFonts w:asciiTheme="minorHAnsi" w:hAnsiTheme="minorHAnsi"/>
              </w:rPr>
              <w:t>GxP</w:t>
            </w:r>
            <w:proofErr w:type="spellEnd"/>
            <w:r>
              <w:rPr>
                <w:rFonts w:asciiTheme="minorHAnsi" w:hAnsiTheme="minorHAnsi"/>
              </w:rPr>
              <w:t xml:space="preserve">, </w:t>
            </w:r>
            <w:proofErr w:type="spellStart"/>
            <w:r>
              <w:rPr>
                <w:rFonts w:asciiTheme="minorHAnsi" w:hAnsiTheme="minorHAnsi"/>
              </w:rPr>
              <w:t>Seveligand</w:t>
            </w:r>
            <w:proofErr w:type="spellEnd"/>
            <w:r>
              <w:rPr>
                <w:rFonts w:asciiTheme="minorHAnsi" w:hAnsiTheme="minorHAnsi"/>
              </w:rPr>
              <w:t xml:space="preserve">, </w:t>
            </w:r>
            <w:proofErr w:type="spellStart"/>
            <w:r>
              <w:rPr>
                <w:rFonts w:asciiTheme="minorHAnsi" w:hAnsiTheme="minorHAnsi"/>
              </w:rPr>
              <w:t>Phosligand</w:t>
            </w:r>
            <w:proofErr w:type="spellEnd"/>
            <w:r>
              <w:rPr>
                <w:rFonts w:asciiTheme="minorHAnsi" w:hAnsiTheme="minorHAnsi"/>
              </w:rPr>
              <w:t>, APO-</w:t>
            </w:r>
            <w:proofErr w:type="spellStart"/>
            <w:r>
              <w:rPr>
                <w:rFonts w:asciiTheme="minorHAnsi" w:hAnsiTheme="minorHAnsi"/>
              </w:rPr>
              <w:t>Sevelamer</w:t>
            </w:r>
            <w:proofErr w:type="spellEnd"/>
            <w:r>
              <w:rPr>
                <w:rFonts w:asciiTheme="minorHAnsi" w:hAnsiTheme="minorHAnsi"/>
              </w:rPr>
              <w:t>, APOTEX-</w:t>
            </w:r>
            <w:proofErr w:type="spellStart"/>
            <w:r>
              <w:rPr>
                <w:rFonts w:asciiTheme="minorHAnsi" w:hAnsiTheme="minorHAnsi"/>
              </w:rPr>
              <w:t>Sevelamer</w:t>
            </w:r>
            <w:proofErr w:type="spellEnd"/>
            <w:r>
              <w:rPr>
                <w:rFonts w:asciiTheme="minorHAnsi" w:hAnsiTheme="minorHAnsi"/>
              </w:rPr>
              <w:t>,</w:t>
            </w:r>
            <w:r w:rsidR="000325C5">
              <w:rPr>
                <w:rFonts w:asciiTheme="minorHAnsi" w:hAnsiTheme="minorHAnsi"/>
              </w:rPr>
              <w:t xml:space="preserve"> </w:t>
            </w:r>
            <w:proofErr w:type="spellStart"/>
            <w:r>
              <w:rPr>
                <w:rFonts w:asciiTheme="minorHAnsi" w:hAnsiTheme="minorHAnsi"/>
              </w:rPr>
              <w:t>Chemmart</w:t>
            </w:r>
            <w:proofErr w:type="spellEnd"/>
            <w:r>
              <w:rPr>
                <w:rFonts w:asciiTheme="minorHAnsi" w:hAnsiTheme="minorHAnsi"/>
              </w:rPr>
              <w:t xml:space="preserve"> </w:t>
            </w:r>
            <w:proofErr w:type="spellStart"/>
            <w:r>
              <w:rPr>
                <w:rFonts w:asciiTheme="minorHAnsi" w:hAnsiTheme="minorHAnsi"/>
              </w:rPr>
              <w:t>Sevelamer</w:t>
            </w:r>
            <w:proofErr w:type="spellEnd"/>
            <w:r>
              <w:rPr>
                <w:rFonts w:asciiTheme="minorHAnsi" w:hAnsiTheme="minorHAnsi"/>
              </w:rPr>
              <w:t xml:space="preserve">, </w:t>
            </w:r>
            <w:proofErr w:type="spellStart"/>
            <w:r>
              <w:rPr>
                <w:rFonts w:asciiTheme="minorHAnsi" w:hAnsiTheme="minorHAnsi"/>
              </w:rPr>
              <w:t>GenRx</w:t>
            </w:r>
            <w:proofErr w:type="spellEnd"/>
            <w:r>
              <w:rPr>
                <w:rFonts w:asciiTheme="minorHAnsi" w:hAnsiTheme="minorHAnsi"/>
              </w:rPr>
              <w:t xml:space="preserve"> </w:t>
            </w:r>
            <w:proofErr w:type="spellStart"/>
            <w:r>
              <w:rPr>
                <w:rFonts w:asciiTheme="minorHAnsi" w:hAnsiTheme="minorHAnsi"/>
              </w:rPr>
              <w:t>Sevelamer</w:t>
            </w:r>
            <w:proofErr w:type="spellEnd"/>
            <w:r>
              <w:rPr>
                <w:rFonts w:asciiTheme="minorHAnsi" w:hAnsiTheme="minorHAnsi"/>
              </w:rPr>
              <w:t xml:space="preserve">, Terry White Chemists </w:t>
            </w:r>
            <w:proofErr w:type="spellStart"/>
            <w:r>
              <w:rPr>
                <w:rFonts w:asciiTheme="minorHAnsi" w:hAnsiTheme="minorHAnsi"/>
              </w:rPr>
              <w:t>Sevelamer</w:t>
            </w:r>
            <w:proofErr w:type="spellEnd"/>
          </w:p>
        </w:tc>
      </w:tr>
      <w:tr w:rsidR="008E7846" w:rsidRPr="00487162" w:rsidTr="00DE150A">
        <w:trPr>
          <w:trHeight w:val="510"/>
        </w:trPr>
        <w:tc>
          <w:tcPr>
            <w:tcW w:w="2907" w:type="dxa"/>
          </w:tcPr>
          <w:p w:rsidR="008E7846" w:rsidRPr="00487162" w:rsidRDefault="008E7846" w:rsidP="000325C5">
            <w:pPr>
              <w:rPr>
                <w:i/>
              </w:rPr>
            </w:pPr>
            <w:r w:rsidRPr="00487162">
              <w:rPr>
                <w:i/>
              </w:rPr>
              <w:t xml:space="preserve">Sponsor’s </w:t>
            </w:r>
            <w:r w:rsidR="001B5C90">
              <w:rPr>
                <w:i/>
              </w:rPr>
              <w:t>n</w:t>
            </w:r>
            <w:r w:rsidRPr="00487162">
              <w:rPr>
                <w:i/>
              </w:rPr>
              <w:t xml:space="preserve">ame and </w:t>
            </w:r>
            <w:r w:rsidR="001B5C90">
              <w:rPr>
                <w:i/>
              </w:rPr>
              <w:t>a</w:t>
            </w:r>
            <w:r w:rsidRPr="00487162">
              <w:rPr>
                <w:i/>
              </w:rPr>
              <w:t>ddress:</w:t>
            </w:r>
          </w:p>
        </w:tc>
        <w:tc>
          <w:tcPr>
            <w:tcW w:w="6307" w:type="dxa"/>
          </w:tcPr>
          <w:p w:rsidR="008E7846" w:rsidRPr="00487162" w:rsidRDefault="000325C5" w:rsidP="00DE150A">
            <w:pPr>
              <w:autoSpaceDE w:val="0"/>
              <w:autoSpaceDN w:val="0"/>
              <w:adjustRightInd w:val="0"/>
              <w:spacing w:before="0" w:after="0" w:line="240" w:lineRule="auto"/>
            </w:pPr>
            <w:r>
              <w:t>Generic Partners Pty Ltd</w:t>
            </w:r>
            <w:r w:rsidR="00DE150A">
              <w:br/>
            </w:r>
            <w:r>
              <w:t>191 Riversdale Rd</w:t>
            </w:r>
            <w:r w:rsidR="00DE150A">
              <w:br/>
            </w:r>
            <w:r>
              <w:t>Hawthorn</w:t>
            </w:r>
            <w:r w:rsidR="00DE150A">
              <w:t xml:space="preserve"> </w:t>
            </w:r>
            <w:r>
              <w:t xml:space="preserve"> VIC</w:t>
            </w:r>
            <w:r w:rsidR="00DE150A">
              <w:t xml:space="preserve"> </w:t>
            </w:r>
            <w:r>
              <w:t xml:space="preserve"> 3122</w:t>
            </w:r>
          </w:p>
        </w:tc>
      </w:tr>
      <w:tr w:rsidR="008E7846" w:rsidRPr="00487162" w:rsidTr="00DE150A">
        <w:tc>
          <w:tcPr>
            <w:tcW w:w="2907" w:type="dxa"/>
          </w:tcPr>
          <w:p w:rsidR="008E7846" w:rsidRPr="00487162" w:rsidRDefault="001B5C90" w:rsidP="00E45619">
            <w:pPr>
              <w:rPr>
                <w:i/>
              </w:rPr>
            </w:pPr>
            <w:r>
              <w:rPr>
                <w:i/>
              </w:rPr>
              <w:t>Dose form(s):</w:t>
            </w:r>
          </w:p>
        </w:tc>
        <w:tc>
          <w:tcPr>
            <w:tcW w:w="6307" w:type="dxa"/>
          </w:tcPr>
          <w:p w:rsidR="008E7846" w:rsidRPr="00487162" w:rsidRDefault="00700987" w:rsidP="00700987">
            <w:r>
              <w:t>Film coated tablet</w:t>
            </w:r>
          </w:p>
        </w:tc>
      </w:tr>
      <w:tr w:rsidR="008E7846" w:rsidRPr="00487162" w:rsidTr="00DE150A">
        <w:tc>
          <w:tcPr>
            <w:tcW w:w="2907" w:type="dxa"/>
          </w:tcPr>
          <w:p w:rsidR="008E7846" w:rsidRPr="00487162" w:rsidRDefault="00DE150A" w:rsidP="00E45619">
            <w:pPr>
              <w:rPr>
                <w:i/>
              </w:rPr>
            </w:pPr>
            <w:r>
              <w:rPr>
                <w:i/>
              </w:rPr>
              <w:t>Strength(s):</w:t>
            </w:r>
          </w:p>
        </w:tc>
        <w:tc>
          <w:tcPr>
            <w:tcW w:w="6307" w:type="dxa"/>
          </w:tcPr>
          <w:p w:rsidR="008E7846" w:rsidRPr="00E8019C" w:rsidRDefault="00DE150A" w:rsidP="00E8019C">
            <w:r>
              <w:t>800mg</w:t>
            </w:r>
          </w:p>
        </w:tc>
      </w:tr>
      <w:tr w:rsidR="008E7846" w:rsidRPr="008408A6" w:rsidTr="00DE150A">
        <w:tc>
          <w:tcPr>
            <w:tcW w:w="2907" w:type="dxa"/>
          </w:tcPr>
          <w:p w:rsidR="008E7846" w:rsidRPr="00487162" w:rsidRDefault="008E7846" w:rsidP="00E45619">
            <w:pPr>
              <w:rPr>
                <w:i/>
              </w:rPr>
            </w:pPr>
            <w:r w:rsidRPr="00487162">
              <w:rPr>
                <w:i/>
              </w:rPr>
              <w:t>Container(s):</w:t>
            </w:r>
          </w:p>
        </w:tc>
        <w:tc>
          <w:tcPr>
            <w:tcW w:w="6307" w:type="dxa"/>
          </w:tcPr>
          <w:p w:rsidR="008E7846" w:rsidRPr="008408A6" w:rsidRDefault="008408A6" w:rsidP="008408A6">
            <w:r w:rsidRPr="008408A6">
              <w:t>High Density Polyethylene (</w:t>
            </w:r>
            <w:r w:rsidR="00BF490C" w:rsidRPr="008408A6">
              <w:t>HDPE</w:t>
            </w:r>
            <w:r w:rsidRPr="008408A6">
              <w:t>)</w:t>
            </w:r>
            <w:r w:rsidR="00BF490C" w:rsidRPr="008408A6">
              <w:t xml:space="preserve"> bottles</w:t>
            </w:r>
            <w:r w:rsidRPr="008408A6">
              <w:t xml:space="preserve"> and </w:t>
            </w:r>
            <w:r w:rsidR="00DE150A">
              <w:t>Foil blister packs</w:t>
            </w:r>
          </w:p>
        </w:tc>
      </w:tr>
      <w:tr w:rsidR="008E7846" w:rsidRPr="00487162" w:rsidTr="00DE150A">
        <w:tc>
          <w:tcPr>
            <w:tcW w:w="2907" w:type="dxa"/>
          </w:tcPr>
          <w:p w:rsidR="008E7846" w:rsidRPr="00487162" w:rsidRDefault="008E7846" w:rsidP="00E45619">
            <w:pPr>
              <w:rPr>
                <w:i/>
              </w:rPr>
            </w:pPr>
            <w:r w:rsidRPr="00487162">
              <w:rPr>
                <w:i/>
              </w:rPr>
              <w:t>Pack size(s):</w:t>
            </w:r>
          </w:p>
        </w:tc>
        <w:tc>
          <w:tcPr>
            <w:tcW w:w="6307" w:type="dxa"/>
          </w:tcPr>
          <w:p w:rsidR="008E7846" w:rsidRPr="00E8019C" w:rsidRDefault="00BF490C" w:rsidP="00E8019C">
            <w:r w:rsidRPr="00E8019C">
              <w:t>180 tablets in bottle; 30 or 180 tablets in blister pack</w:t>
            </w:r>
          </w:p>
        </w:tc>
      </w:tr>
      <w:tr w:rsidR="008E7846" w:rsidRPr="00487162" w:rsidTr="00DE150A">
        <w:tc>
          <w:tcPr>
            <w:tcW w:w="2907" w:type="dxa"/>
          </w:tcPr>
          <w:p w:rsidR="008E7846" w:rsidRPr="00487162" w:rsidRDefault="008E7846" w:rsidP="001B5C90">
            <w:pPr>
              <w:rPr>
                <w:i/>
              </w:rPr>
            </w:pPr>
            <w:r w:rsidRPr="00487162">
              <w:rPr>
                <w:i/>
              </w:rPr>
              <w:t xml:space="preserve">Approved </w:t>
            </w:r>
            <w:r w:rsidR="001B5C90">
              <w:rPr>
                <w:i/>
              </w:rPr>
              <w:t>t</w:t>
            </w:r>
            <w:r w:rsidRPr="00487162">
              <w:rPr>
                <w:i/>
              </w:rPr>
              <w:t>herapeutic use:</w:t>
            </w:r>
          </w:p>
        </w:tc>
        <w:tc>
          <w:tcPr>
            <w:tcW w:w="6307" w:type="dxa"/>
          </w:tcPr>
          <w:p w:rsidR="008E7846" w:rsidRPr="00E8019C" w:rsidRDefault="00BF490C" w:rsidP="00E8019C">
            <w:r w:rsidRPr="00E8019C">
              <w:t>Not applicable</w:t>
            </w:r>
            <w:r w:rsidR="008408A6">
              <w:t>.</w:t>
            </w:r>
          </w:p>
        </w:tc>
      </w:tr>
      <w:tr w:rsidR="008E7846" w:rsidRPr="00487162" w:rsidTr="00DE150A">
        <w:tc>
          <w:tcPr>
            <w:tcW w:w="2907" w:type="dxa"/>
          </w:tcPr>
          <w:p w:rsidR="008E7846" w:rsidRPr="00487162" w:rsidRDefault="008E7846" w:rsidP="00E45619">
            <w:pPr>
              <w:rPr>
                <w:i/>
              </w:rPr>
            </w:pPr>
            <w:r w:rsidRPr="00487162">
              <w:rPr>
                <w:i/>
              </w:rPr>
              <w:t>Route(s) of administration:</w:t>
            </w:r>
          </w:p>
        </w:tc>
        <w:tc>
          <w:tcPr>
            <w:tcW w:w="6307" w:type="dxa"/>
          </w:tcPr>
          <w:p w:rsidR="008E7846" w:rsidRPr="00E8019C" w:rsidRDefault="00700987" w:rsidP="00E8019C">
            <w:r w:rsidRPr="00E8019C">
              <w:t>Oral (PO)</w:t>
            </w:r>
          </w:p>
        </w:tc>
      </w:tr>
      <w:tr w:rsidR="008E7846" w:rsidRPr="00487162" w:rsidTr="00DE150A">
        <w:tc>
          <w:tcPr>
            <w:tcW w:w="2907" w:type="dxa"/>
          </w:tcPr>
          <w:p w:rsidR="008E7846" w:rsidRPr="00487162" w:rsidRDefault="008E7846" w:rsidP="00E45619">
            <w:pPr>
              <w:rPr>
                <w:i/>
              </w:rPr>
            </w:pPr>
            <w:r w:rsidRPr="00487162">
              <w:rPr>
                <w:i/>
              </w:rPr>
              <w:t>Dosage:</w:t>
            </w:r>
          </w:p>
        </w:tc>
        <w:tc>
          <w:tcPr>
            <w:tcW w:w="6307" w:type="dxa"/>
          </w:tcPr>
          <w:p w:rsidR="008E7846" w:rsidRPr="00E8019C" w:rsidRDefault="00BF490C" w:rsidP="00E8019C">
            <w:r w:rsidRPr="000325C5">
              <w:t>Not applicable</w:t>
            </w:r>
          </w:p>
        </w:tc>
      </w:tr>
      <w:tr w:rsidR="008E7846" w:rsidRPr="00487162" w:rsidTr="00DE150A">
        <w:tc>
          <w:tcPr>
            <w:tcW w:w="2907" w:type="dxa"/>
          </w:tcPr>
          <w:p w:rsidR="008E7846" w:rsidRPr="00487162" w:rsidRDefault="008E7846" w:rsidP="001B5C90">
            <w:pPr>
              <w:rPr>
                <w:i/>
              </w:rPr>
            </w:pPr>
            <w:r w:rsidRPr="00487162">
              <w:rPr>
                <w:i/>
              </w:rPr>
              <w:t xml:space="preserve">ARTG </w:t>
            </w:r>
            <w:r w:rsidR="001B5C90">
              <w:rPr>
                <w:i/>
              </w:rPr>
              <w:t>n</w:t>
            </w:r>
            <w:r w:rsidRPr="00487162">
              <w:rPr>
                <w:i/>
              </w:rPr>
              <w:t>umber (s)</w:t>
            </w:r>
            <w:r w:rsidR="001B5C90">
              <w:rPr>
                <w:i/>
              </w:rPr>
              <w:t>:</w:t>
            </w:r>
          </w:p>
        </w:tc>
        <w:tc>
          <w:tcPr>
            <w:tcW w:w="6307" w:type="dxa"/>
          </w:tcPr>
          <w:p w:rsidR="008F7658" w:rsidRPr="00E8019C" w:rsidRDefault="00BF490C" w:rsidP="00E8019C">
            <w:r w:rsidRPr="00E8019C">
              <w:t>Not applicable</w:t>
            </w:r>
          </w:p>
        </w:tc>
      </w:tr>
    </w:tbl>
    <w:p w:rsidR="008408A6" w:rsidRPr="008408A6" w:rsidRDefault="008408A6" w:rsidP="00DE150A">
      <w:pPr>
        <w:pStyle w:val="TableDescription"/>
        <w:rPr>
          <w:b/>
        </w:rPr>
      </w:pPr>
      <w:bookmarkStart w:id="13" w:name="_Toc247691503"/>
      <w:bookmarkStart w:id="14" w:name="_Toc314842484"/>
      <w:r>
        <w:t>*</w:t>
      </w:r>
      <w:r w:rsidRPr="008408A6">
        <w:t>AAT</w:t>
      </w:r>
      <w:r w:rsidRPr="008408A6">
        <w:rPr>
          <w:b/>
        </w:rPr>
        <w:t>=</w:t>
      </w:r>
      <w:r w:rsidRPr="008408A6">
        <w:rPr>
          <w:rStyle w:val="Heading1Char"/>
          <w:rFonts w:eastAsia="Cambria" w:cs="Arial"/>
          <w:b w:val="0"/>
          <w:color w:val="222222"/>
          <w:sz w:val="18"/>
          <w:szCs w:val="18"/>
        </w:rPr>
        <w:t xml:space="preserve"> </w:t>
      </w:r>
      <w:r w:rsidRPr="008408A6">
        <w:rPr>
          <w:rStyle w:val="Emphasis"/>
          <w:rFonts w:cs="Arial"/>
          <w:b w:val="0"/>
          <w:color w:val="222222"/>
          <w:sz w:val="18"/>
          <w:szCs w:val="18"/>
        </w:rPr>
        <w:t>Administrative Appeals Tribunal</w:t>
      </w:r>
    </w:p>
    <w:p w:rsidR="008E7846" w:rsidRDefault="008E7846" w:rsidP="00DE150A">
      <w:pPr>
        <w:pStyle w:val="Heading3"/>
      </w:pPr>
      <w:bookmarkStart w:id="15" w:name="_Toc434909871"/>
      <w:r>
        <w:t>Product background</w:t>
      </w:r>
      <w:bookmarkEnd w:id="13"/>
      <w:bookmarkEnd w:id="14"/>
      <w:bookmarkEnd w:id="15"/>
    </w:p>
    <w:p w:rsidR="00414604" w:rsidRDefault="00940A89" w:rsidP="00414604">
      <w:pPr>
        <w:rPr>
          <w:sz w:val="24"/>
        </w:rPr>
      </w:pPr>
      <w:r w:rsidRPr="00940A89">
        <w:t xml:space="preserve">This </w:t>
      </w:r>
      <w:proofErr w:type="spellStart"/>
      <w:r w:rsidRPr="00940A89">
        <w:t>AusPAR</w:t>
      </w:r>
      <w:proofErr w:type="spellEnd"/>
      <w:r w:rsidRPr="00940A89">
        <w:t xml:space="preserve"> describes the </w:t>
      </w:r>
      <w:bookmarkStart w:id="16" w:name="_Toc314842485"/>
      <w:bookmarkStart w:id="17" w:name="_Toc247691504"/>
      <w:r w:rsidR="00700987">
        <w:t xml:space="preserve">application by Generic Partners Pty Ltd to register the first generic </w:t>
      </w:r>
      <w:proofErr w:type="spellStart"/>
      <w:r w:rsidR="00700987">
        <w:t>sevelamer</w:t>
      </w:r>
      <w:proofErr w:type="spellEnd"/>
      <w:r w:rsidR="00700987">
        <w:t xml:space="preserve"> product of the reference product </w:t>
      </w:r>
      <w:proofErr w:type="spellStart"/>
      <w:r w:rsidR="00700987">
        <w:t>Renagel</w:t>
      </w:r>
      <w:proofErr w:type="spellEnd"/>
      <w:r w:rsidR="00700987">
        <w:t xml:space="preserve"> by Genzyme Australasia Pty </w:t>
      </w:r>
      <w:r w:rsidR="00700987" w:rsidRPr="00EA04BB">
        <w:t>Ltd</w:t>
      </w:r>
      <w:r w:rsidR="00EA04BB" w:rsidRPr="00EA04BB">
        <w:t xml:space="preserve"> which contain 800 mg of </w:t>
      </w:r>
      <w:proofErr w:type="spellStart"/>
      <w:r w:rsidR="00EA04BB" w:rsidRPr="00EA04BB">
        <w:t>sevelamer</w:t>
      </w:r>
      <w:proofErr w:type="spellEnd"/>
      <w:r w:rsidR="00EA04BB" w:rsidRPr="00EA04BB">
        <w:t xml:space="preserve"> hydrochloride</w:t>
      </w:r>
      <w:r w:rsidR="00700987" w:rsidRPr="00EA04BB">
        <w:t>.</w:t>
      </w:r>
      <w:r w:rsidR="000325C5" w:rsidRPr="00EA04BB">
        <w:t xml:space="preserve"> </w:t>
      </w:r>
      <w:r w:rsidR="00414604" w:rsidRPr="00EA04BB">
        <w:rPr>
          <w:szCs w:val="24"/>
        </w:rPr>
        <w:t xml:space="preserve">The application originally also included a 400 mg strength tablet but this </w:t>
      </w:r>
      <w:r w:rsidR="00250CFC">
        <w:rPr>
          <w:szCs w:val="24"/>
        </w:rPr>
        <w:t>was</w:t>
      </w:r>
      <w:r w:rsidR="00414604" w:rsidRPr="00EA04BB">
        <w:rPr>
          <w:szCs w:val="24"/>
        </w:rPr>
        <w:t xml:space="preserve"> withdrawn. </w:t>
      </w:r>
      <w:r w:rsidR="00EA04BB" w:rsidRPr="00EA04BB">
        <w:rPr>
          <w:szCs w:val="24"/>
        </w:rPr>
        <w:t>T</w:t>
      </w:r>
      <w:r w:rsidR="00EA04BB" w:rsidRPr="00EA04BB">
        <w:t>herefore this submission is to register only the 800 mg tablet as a generic product.</w:t>
      </w:r>
    </w:p>
    <w:p w:rsidR="00CB227D" w:rsidRDefault="00CB227D" w:rsidP="00DE150A">
      <w:proofErr w:type="spellStart"/>
      <w:r w:rsidRPr="00EA04BB">
        <w:t>Sevelamer</w:t>
      </w:r>
      <w:proofErr w:type="spellEnd"/>
      <w:r w:rsidRPr="00EA04BB">
        <w:t xml:space="preserve"> is indicated for the management of </w:t>
      </w:r>
      <w:proofErr w:type="spellStart"/>
      <w:r w:rsidRPr="00EA04BB">
        <w:t>hyperphosphataemia</w:t>
      </w:r>
      <w:proofErr w:type="spellEnd"/>
      <w:r w:rsidRPr="00EA04BB">
        <w:t xml:space="preserve"> in adult patients with Stage 4 and 5 chronic kidney </w:t>
      </w:r>
      <w:proofErr w:type="gramStart"/>
      <w:r w:rsidRPr="00EA04BB">
        <w:t>disease</w:t>
      </w:r>
      <w:proofErr w:type="gramEnd"/>
      <w:r w:rsidR="00EA04BB" w:rsidRPr="00EA04BB">
        <w:t xml:space="preserve"> (see belo</w:t>
      </w:r>
      <w:r w:rsidR="00586D85">
        <w:t>w</w:t>
      </w:r>
      <w:r w:rsidR="00EA04BB" w:rsidRPr="00EA04BB">
        <w:t>)</w:t>
      </w:r>
      <w:r w:rsidRPr="00EA04BB">
        <w:t xml:space="preserve">. It acts by binding phosphate in the </w:t>
      </w:r>
      <w:r w:rsidRPr="00EA04BB">
        <w:lastRenderedPageBreak/>
        <w:t xml:space="preserve">dietary tract, thereby lowering the phosphorus concentration in the serum. </w:t>
      </w:r>
      <w:proofErr w:type="spellStart"/>
      <w:r w:rsidRPr="00EA04BB">
        <w:t>Sevelamer</w:t>
      </w:r>
      <w:proofErr w:type="spellEnd"/>
      <w:r w:rsidRPr="00EA04BB">
        <w:t xml:space="preserve"> decreases the incidence of </w:t>
      </w:r>
      <w:proofErr w:type="spellStart"/>
      <w:r w:rsidRPr="00EA04BB">
        <w:t>hypercalcaemic</w:t>
      </w:r>
      <w:proofErr w:type="spellEnd"/>
      <w:r w:rsidRPr="00EA04BB">
        <w:t xml:space="preserve"> episodes as compared to patients using calcium based phosphate binders alone, probably because the product itself does not contain calcium. </w:t>
      </w:r>
      <w:proofErr w:type="spellStart"/>
      <w:r w:rsidRPr="00EA04BB">
        <w:t>Sevelamer</w:t>
      </w:r>
      <w:proofErr w:type="spellEnd"/>
      <w:r w:rsidRPr="00EA04BB">
        <w:t xml:space="preserve"> treatment also results in a lowering of low-density lipoprotein (LDL) and total serum cholesterol levels by increasing faecal excretion of bile acids.</w:t>
      </w:r>
    </w:p>
    <w:p w:rsidR="00700987" w:rsidRPr="00414604" w:rsidRDefault="00414604" w:rsidP="00DE150A">
      <w:pPr>
        <w:rPr>
          <w:b/>
        </w:rPr>
      </w:pPr>
      <w:r w:rsidRPr="00414604">
        <w:t xml:space="preserve">The sponsor has proposed the same indications as for </w:t>
      </w:r>
      <w:proofErr w:type="spellStart"/>
      <w:r w:rsidRPr="00414604">
        <w:t>R</w:t>
      </w:r>
      <w:r w:rsidR="00700987" w:rsidRPr="00414604">
        <w:t>enagel</w:t>
      </w:r>
      <w:proofErr w:type="spellEnd"/>
      <w:r w:rsidRPr="00414604">
        <w:t>:</w:t>
      </w:r>
    </w:p>
    <w:p w:rsidR="00700987" w:rsidRPr="00414604" w:rsidRDefault="00700987" w:rsidP="00414604">
      <w:pPr>
        <w:ind w:left="360"/>
        <w:rPr>
          <w:i/>
        </w:rPr>
      </w:pPr>
      <w:proofErr w:type="spellStart"/>
      <w:r w:rsidRPr="00414604">
        <w:rPr>
          <w:i/>
        </w:rPr>
        <w:t>Sevelamer</w:t>
      </w:r>
      <w:proofErr w:type="spellEnd"/>
      <w:r w:rsidRPr="00414604">
        <w:rPr>
          <w:i/>
        </w:rPr>
        <w:t xml:space="preserve"> is indicated for the management of </w:t>
      </w:r>
      <w:proofErr w:type="spellStart"/>
      <w:r w:rsidRPr="00414604">
        <w:rPr>
          <w:i/>
        </w:rPr>
        <w:t>hyperphosphataemia</w:t>
      </w:r>
      <w:proofErr w:type="spellEnd"/>
      <w:r w:rsidRPr="00414604">
        <w:rPr>
          <w:i/>
        </w:rPr>
        <w:t xml:space="preserve"> in adult patients with </w:t>
      </w:r>
      <w:r w:rsidR="008021F8">
        <w:rPr>
          <w:i/>
        </w:rPr>
        <w:t>Stage 4</w:t>
      </w:r>
      <w:r w:rsidRPr="00414604">
        <w:rPr>
          <w:i/>
        </w:rPr>
        <w:t xml:space="preserve"> and 5 chronic kidney </w:t>
      </w:r>
      <w:proofErr w:type="gramStart"/>
      <w:r w:rsidRPr="00414604">
        <w:rPr>
          <w:i/>
        </w:rPr>
        <w:t>disease</w:t>
      </w:r>
      <w:proofErr w:type="gramEnd"/>
      <w:r w:rsidRPr="00414604">
        <w:rPr>
          <w:i/>
        </w:rPr>
        <w:t>.</w:t>
      </w:r>
    </w:p>
    <w:p w:rsidR="00700987" w:rsidRPr="00414604" w:rsidRDefault="00414604" w:rsidP="00414604">
      <w:pPr>
        <w:jc w:val="both"/>
        <w:rPr>
          <w:rFonts w:asciiTheme="minorHAnsi" w:hAnsiTheme="minorHAnsi"/>
        </w:rPr>
      </w:pPr>
      <w:r w:rsidRPr="00414604">
        <w:rPr>
          <w:rFonts w:asciiTheme="minorHAnsi" w:hAnsiTheme="minorHAnsi"/>
        </w:rPr>
        <w:t xml:space="preserve">The proposed dosage is also the same as that for </w:t>
      </w:r>
      <w:proofErr w:type="spellStart"/>
      <w:r w:rsidR="00700987" w:rsidRPr="00414604">
        <w:rPr>
          <w:rFonts w:asciiTheme="minorHAnsi" w:hAnsiTheme="minorHAnsi"/>
        </w:rPr>
        <w:t>Renagel</w:t>
      </w:r>
      <w:proofErr w:type="spellEnd"/>
      <w:r w:rsidR="00700987" w:rsidRPr="00414604">
        <w:rPr>
          <w:rFonts w:asciiTheme="minorHAnsi" w:hAnsiTheme="minorHAnsi"/>
        </w:rPr>
        <w:t>:</w:t>
      </w:r>
    </w:p>
    <w:p w:rsidR="002D64ED" w:rsidRDefault="00700987" w:rsidP="00DE150A">
      <w:pPr>
        <w:ind w:left="426"/>
        <w:rPr>
          <w:i/>
        </w:rPr>
      </w:pPr>
      <w:r w:rsidRPr="00414604">
        <w:rPr>
          <w:i/>
        </w:rPr>
        <w:t xml:space="preserve">The recommended starting dose for patients not taking a phosphate binder is 800 to 1600 mg, which can be administered as one to two </w:t>
      </w:r>
      <w:proofErr w:type="spellStart"/>
      <w:r w:rsidRPr="00414604">
        <w:rPr>
          <w:i/>
        </w:rPr>
        <w:t>sevelamer</w:t>
      </w:r>
      <w:proofErr w:type="spellEnd"/>
      <w:r w:rsidRPr="00414604">
        <w:rPr>
          <w:i/>
        </w:rPr>
        <w:t xml:space="preserve"> 800 mg tablets with each meal based on serum phosphorus level</w:t>
      </w:r>
      <w:r w:rsidR="002D64ED">
        <w:rPr>
          <w:i/>
        </w:rPr>
        <w:t>.</w:t>
      </w:r>
    </w:p>
    <w:p w:rsidR="00700987" w:rsidRPr="00414604" w:rsidRDefault="00700987" w:rsidP="00DE150A">
      <w:pPr>
        <w:ind w:left="426"/>
        <w:rPr>
          <w:i/>
        </w:rPr>
      </w:pPr>
      <w:r w:rsidRPr="00414604">
        <w:rPr>
          <w:i/>
        </w:rPr>
        <w:t xml:space="preserve">Additional dosing instructions are provided for patients switching from calcium acetate to </w:t>
      </w:r>
      <w:proofErr w:type="spellStart"/>
      <w:r w:rsidRPr="00414604">
        <w:rPr>
          <w:i/>
        </w:rPr>
        <w:t>sevelamer</w:t>
      </w:r>
      <w:proofErr w:type="spellEnd"/>
      <w:r w:rsidRPr="00414604">
        <w:rPr>
          <w:i/>
        </w:rPr>
        <w:t xml:space="preserve"> and for dose titration of </w:t>
      </w:r>
      <w:proofErr w:type="spellStart"/>
      <w:r w:rsidRPr="00414604">
        <w:rPr>
          <w:i/>
        </w:rPr>
        <w:t>sevelamer</w:t>
      </w:r>
      <w:proofErr w:type="spellEnd"/>
      <w:r w:rsidRPr="00414604">
        <w:rPr>
          <w:i/>
        </w:rPr>
        <w:t xml:space="preserve"> based on serum phosphorous levels with the goal of lowering serum phosphorous.</w:t>
      </w:r>
    </w:p>
    <w:p w:rsidR="00843608" w:rsidRDefault="00843608" w:rsidP="00DE150A">
      <w:pPr>
        <w:pStyle w:val="Heading4"/>
      </w:pPr>
      <w:r>
        <w:t xml:space="preserve">Australian </w:t>
      </w:r>
      <w:r w:rsidR="00DE150A">
        <w:t>r</w:t>
      </w:r>
      <w:r>
        <w:t xml:space="preserve">egulatory </w:t>
      </w:r>
      <w:r w:rsidR="00DE150A">
        <w:t>g</w:t>
      </w:r>
      <w:r>
        <w:t>uidance</w:t>
      </w:r>
    </w:p>
    <w:p w:rsidR="00843608" w:rsidRDefault="00843608" w:rsidP="00503002">
      <w:pPr>
        <w:pStyle w:val="Heading5"/>
      </w:pPr>
      <w:r>
        <w:t>TGA guidelines</w:t>
      </w:r>
    </w:p>
    <w:p w:rsidR="00843608" w:rsidRPr="00843608" w:rsidRDefault="00843608" w:rsidP="00DE150A">
      <w:pPr>
        <w:pStyle w:val="ListBullet"/>
      </w:pPr>
      <w:r w:rsidRPr="00843608">
        <w:t>Schedule 9 of the Therapeutic Goods Regulations 1990 Part1 1 Interpretation of table Section 1(1) - definition of a generic product</w:t>
      </w:r>
    </w:p>
    <w:p w:rsidR="00843608" w:rsidRDefault="00843608" w:rsidP="00DE150A">
      <w:pPr>
        <w:pStyle w:val="ListBullet"/>
      </w:pPr>
      <w:r w:rsidRPr="00843608">
        <w:t>Australian Regulatory</w:t>
      </w:r>
      <w:r>
        <w:t xml:space="preserve"> Guidelines for Prescription Medicines Appendix 15 </w:t>
      </w:r>
    </w:p>
    <w:p w:rsidR="00843608" w:rsidRDefault="00843608" w:rsidP="00DE150A">
      <w:pPr>
        <w:pStyle w:val="ListBullet2"/>
      </w:pPr>
      <w:r>
        <w:t xml:space="preserve">Section 2: Products for which </w:t>
      </w:r>
      <w:proofErr w:type="spellStart"/>
      <w:r>
        <w:t>biopharmaceutic</w:t>
      </w:r>
      <w:proofErr w:type="spellEnd"/>
      <w:r>
        <w:t xml:space="preserve"> data are not normally required </w:t>
      </w:r>
    </w:p>
    <w:p w:rsidR="00843608" w:rsidRDefault="00843608" w:rsidP="00843608">
      <w:pPr>
        <w:pStyle w:val="ListBullet2"/>
      </w:pPr>
      <w:r>
        <w:t xml:space="preserve">Section 4: Justification for not submitting </w:t>
      </w:r>
      <w:proofErr w:type="spellStart"/>
      <w:r>
        <w:t>biopharmaceutic</w:t>
      </w:r>
      <w:proofErr w:type="spellEnd"/>
      <w:r>
        <w:t xml:space="preserve"> data </w:t>
      </w:r>
    </w:p>
    <w:p w:rsidR="00843608" w:rsidRDefault="00843608" w:rsidP="00843608">
      <w:pPr>
        <w:pStyle w:val="ListBullet2"/>
      </w:pPr>
      <w:r>
        <w:t xml:space="preserve">Section 7: Choice of the reference product for bioequivalence of generic medicines </w:t>
      </w:r>
    </w:p>
    <w:p w:rsidR="00843608" w:rsidRDefault="00843608" w:rsidP="00DE150A">
      <w:pPr>
        <w:pStyle w:val="ListBullet"/>
      </w:pPr>
      <w:r>
        <w:t>Therapeutic Goods Order No. 78 – Standard for Tablets and Capsules (29/10/2008) Subsection 11(b)</w:t>
      </w:r>
    </w:p>
    <w:p w:rsidR="00843608" w:rsidRDefault="00843608" w:rsidP="00503002">
      <w:pPr>
        <w:pStyle w:val="Heading5"/>
      </w:pPr>
      <w:r>
        <w:t xml:space="preserve">TGA adopted EU </w:t>
      </w:r>
      <w:r w:rsidR="00DE150A">
        <w:t>g</w:t>
      </w:r>
      <w:r>
        <w:t>uidance:</w:t>
      </w:r>
    </w:p>
    <w:p w:rsidR="00843608" w:rsidRPr="00843608" w:rsidRDefault="00843608" w:rsidP="00DE150A">
      <w:pPr>
        <w:pStyle w:val="ListBullet"/>
      </w:pPr>
      <w:r w:rsidRPr="00843608">
        <w:t>Guideline on the Investigation of Bioequivale</w:t>
      </w:r>
      <w:r w:rsidR="00DE150A">
        <w:t>nce (CPMP/EWP/QWP/1401/98 Rev1)</w:t>
      </w:r>
    </w:p>
    <w:p w:rsidR="00843608" w:rsidRDefault="00843608" w:rsidP="00843608">
      <w:pPr>
        <w:pStyle w:val="ListBullet"/>
      </w:pPr>
      <w:r w:rsidRPr="00843608">
        <w:t>Clinical Requirements for Locally Applied, Locally Acting Products, containing Known Constituents (pp</w:t>
      </w:r>
      <w:r>
        <w:t xml:space="preserve"> 193 – 198 of Rules 1998(3C) – 3CC12a</w:t>
      </w:r>
    </w:p>
    <w:p w:rsidR="00DF3FB2" w:rsidRDefault="00DF3FB2" w:rsidP="00DE150A">
      <w:r>
        <w:t xml:space="preserve">In addition to the above guidelines, the sponsor has cited </w:t>
      </w:r>
      <w:r w:rsidR="00586D85">
        <w:t>FDA</w:t>
      </w:r>
      <w:r>
        <w:t xml:space="preserve"> guidance in this submission that is specific to </w:t>
      </w:r>
      <w:proofErr w:type="spellStart"/>
      <w:r>
        <w:t>sevelamer</w:t>
      </w:r>
      <w:proofErr w:type="spellEnd"/>
      <w:r>
        <w:t xml:space="preserve"> and the </w:t>
      </w:r>
      <w:proofErr w:type="spellStart"/>
      <w:r>
        <w:t>biopharmaceutic</w:t>
      </w:r>
      <w:proofErr w:type="spellEnd"/>
      <w:r>
        <w:t xml:space="preserve"> studies required for a generic product. The sponsor refers to a guidance version issued in August 2010 however the current version was issued in August 2011.</w:t>
      </w:r>
    </w:p>
    <w:p w:rsidR="00DF3FB2" w:rsidRDefault="00DF3FB2" w:rsidP="00DE150A">
      <w:pPr>
        <w:pStyle w:val="ListBullet"/>
      </w:pPr>
      <w:r>
        <w:t xml:space="preserve">FDA Draft Guidance on </w:t>
      </w:r>
      <w:proofErr w:type="spellStart"/>
      <w:r>
        <w:t>sevelamer</w:t>
      </w:r>
      <w:proofErr w:type="spellEnd"/>
      <w:r>
        <w:t xml:space="preserve"> hydrochloride, August 2011: </w:t>
      </w:r>
    </w:p>
    <w:p w:rsidR="008E7846" w:rsidRPr="003F31A2" w:rsidRDefault="00386150" w:rsidP="00DE150A">
      <w:pPr>
        <w:pStyle w:val="Heading3"/>
      </w:pPr>
      <w:bookmarkStart w:id="18" w:name="_Toc434909872"/>
      <w:r>
        <w:t>Regulatory s</w:t>
      </w:r>
      <w:r w:rsidR="008E7846">
        <w:t>tatus</w:t>
      </w:r>
      <w:bookmarkEnd w:id="16"/>
      <w:bookmarkEnd w:id="17"/>
      <w:bookmarkEnd w:id="18"/>
    </w:p>
    <w:p w:rsidR="00940A89" w:rsidRPr="00843608" w:rsidRDefault="00E8019C" w:rsidP="00843608">
      <w:bookmarkStart w:id="19" w:name="_Toc247691505"/>
      <w:bookmarkStart w:id="20" w:name="_Toc314842486"/>
      <w:r w:rsidRPr="00843608">
        <w:t xml:space="preserve">This is an application for a new generic. </w:t>
      </w:r>
      <w:r w:rsidR="00843608">
        <w:t xml:space="preserve">The innovator product, </w:t>
      </w:r>
      <w:proofErr w:type="spellStart"/>
      <w:r w:rsidR="00843608" w:rsidRPr="00843608">
        <w:t>Renagel</w:t>
      </w:r>
      <w:proofErr w:type="spellEnd"/>
      <w:r w:rsidR="00843608">
        <w:t>,</w:t>
      </w:r>
      <w:r w:rsidR="00843608" w:rsidRPr="00843608">
        <w:t xml:space="preserve"> </w:t>
      </w:r>
      <w:r w:rsidR="00940A89" w:rsidRPr="00843608">
        <w:t>received initial registration on the Australian Register of Therapeutic Goods (ARTG) on</w:t>
      </w:r>
      <w:r w:rsidR="00843608" w:rsidRPr="00843608">
        <w:t xml:space="preserve"> 28 June 2005.</w:t>
      </w:r>
    </w:p>
    <w:p w:rsidR="00FC5AAB" w:rsidRDefault="00FC5AAB" w:rsidP="00843608">
      <w:r w:rsidRPr="00843608">
        <w:t>At the time the TGA was considering</w:t>
      </w:r>
      <w:r>
        <w:t xml:space="preserve"> this application, a similar application had been approved in Uruguay (2013) and India (2007) for </w:t>
      </w:r>
      <w:r w:rsidRPr="00FC5AAB">
        <w:rPr>
          <w:i/>
        </w:rPr>
        <w:t>Phosphate-binding agent</w:t>
      </w:r>
      <w:r>
        <w:t xml:space="preserve"> </w:t>
      </w:r>
      <w:r w:rsidRPr="00FC5AAB">
        <w:rPr>
          <w:i/>
        </w:rPr>
        <w:t>prescribed for hyper-</w:t>
      </w:r>
      <w:proofErr w:type="spellStart"/>
      <w:r w:rsidRPr="00FC5AAB">
        <w:rPr>
          <w:i/>
        </w:rPr>
        <w:t>phospha</w:t>
      </w:r>
      <w:r>
        <w:rPr>
          <w:i/>
        </w:rPr>
        <w:t>ta</w:t>
      </w:r>
      <w:r w:rsidRPr="00FC5AAB">
        <w:rPr>
          <w:i/>
        </w:rPr>
        <w:t>emia</w:t>
      </w:r>
      <w:proofErr w:type="spellEnd"/>
      <w:r>
        <w:t xml:space="preserve"> and was being considered in Germany.</w:t>
      </w:r>
    </w:p>
    <w:p w:rsidR="00FC5AAB" w:rsidRPr="00940A89" w:rsidRDefault="00FC5AAB" w:rsidP="00940A89">
      <w:r>
        <w:t xml:space="preserve">An application for </w:t>
      </w:r>
      <w:proofErr w:type="spellStart"/>
      <w:r>
        <w:t>Sevelamer</w:t>
      </w:r>
      <w:proofErr w:type="spellEnd"/>
      <w:r>
        <w:t xml:space="preserve"> carbonate </w:t>
      </w:r>
      <w:r w:rsidR="005648DE">
        <w:t>is</w:t>
      </w:r>
      <w:r>
        <w:t xml:space="preserve"> being considered in the USA.</w:t>
      </w:r>
    </w:p>
    <w:p w:rsidR="008E7846" w:rsidRPr="003602A9" w:rsidRDefault="008E7846" w:rsidP="00DE150A">
      <w:pPr>
        <w:pStyle w:val="Heading2"/>
      </w:pPr>
      <w:bookmarkStart w:id="21" w:name="_Toc247691506"/>
      <w:bookmarkStart w:id="22" w:name="_Toc314842487"/>
      <w:bookmarkStart w:id="23" w:name="_Toc434909873"/>
      <w:bookmarkEnd w:id="19"/>
      <w:bookmarkEnd w:id="20"/>
      <w:r>
        <w:lastRenderedPageBreak/>
        <w:t>II. Quality</w:t>
      </w:r>
      <w:bookmarkEnd w:id="1"/>
      <w:r>
        <w:t xml:space="preserve"> findings</w:t>
      </w:r>
      <w:bookmarkEnd w:id="21"/>
      <w:bookmarkEnd w:id="22"/>
      <w:bookmarkEnd w:id="23"/>
    </w:p>
    <w:p w:rsidR="00940A89" w:rsidRPr="00940A89" w:rsidRDefault="00940A89" w:rsidP="00DE150A">
      <w:pPr>
        <w:pStyle w:val="Heading3"/>
        <w:rPr>
          <w:rFonts w:ascii="Cambria" w:eastAsia="Cambria" w:hAnsi="Cambria"/>
          <w:b w:val="0"/>
          <w:bCs w:val="0"/>
          <w:i/>
          <w:szCs w:val="22"/>
        </w:rPr>
      </w:pPr>
      <w:bookmarkStart w:id="24" w:name="_Toc247691507"/>
      <w:bookmarkStart w:id="25" w:name="_Toc314842488"/>
      <w:bookmarkStart w:id="26" w:name="_Toc434909874"/>
      <w:r w:rsidRPr="00940A89">
        <w:t>Introduction</w:t>
      </w:r>
      <w:bookmarkEnd w:id="26"/>
      <w:r w:rsidRPr="00940A89">
        <w:t xml:space="preserve"> </w:t>
      </w:r>
    </w:p>
    <w:p w:rsidR="002D64ED" w:rsidRDefault="00700987" w:rsidP="00DE150A">
      <w:proofErr w:type="spellStart"/>
      <w:r>
        <w:t>Sevelamer</w:t>
      </w:r>
      <w:proofErr w:type="spellEnd"/>
      <w:r>
        <w:t xml:space="preserve"> hydrochloride is not systemically absorbed and consequently no </w:t>
      </w:r>
      <w:proofErr w:type="spellStart"/>
      <w:r>
        <w:t>biopharmaceutic</w:t>
      </w:r>
      <w:proofErr w:type="spellEnd"/>
      <w:r>
        <w:t xml:space="preserve"> studies were provided with the submission.</w:t>
      </w:r>
      <w:r w:rsidR="000325C5">
        <w:t xml:space="preserve"> </w:t>
      </w:r>
      <w:r>
        <w:t>Neither have clinical equivalence studies comparing the proposed and innovator products been conducted.</w:t>
      </w:r>
      <w:r w:rsidR="000325C5">
        <w:t xml:space="preserve"> </w:t>
      </w:r>
      <w:r>
        <w:t xml:space="preserve">Rather, studies were conducted in which the </w:t>
      </w:r>
      <w:r w:rsidRPr="00CB227D">
        <w:t>in vitro</w:t>
      </w:r>
      <w:r>
        <w:rPr>
          <w:i/>
        </w:rPr>
        <w:t xml:space="preserve"> </w:t>
      </w:r>
      <w:r>
        <w:t>phosphate binding capacity of the proposed and innovator products were compared</w:t>
      </w:r>
      <w:r w:rsidR="002D64ED">
        <w:t>.</w:t>
      </w:r>
    </w:p>
    <w:p w:rsidR="00700987" w:rsidRDefault="00700987" w:rsidP="00DE150A">
      <w:proofErr w:type="spellStart"/>
      <w:r>
        <w:t>Sevelamer</w:t>
      </w:r>
      <w:proofErr w:type="spellEnd"/>
      <w:r>
        <w:t xml:space="preserve"> hydrochloride and </w:t>
      </w:r>
      <w:proofErr w:type="spellStart"/>
      <w:r>
        <w:t>sevelamer</w:t>
      </w:r>
      <w:proofErr w:type="spellEnd"/>
      <w:r>
        <w:t xml:space="preserve"> hydrochloride tablets are not subject to </w:t>
      </w:r>
      <w:r w:rsidR="00CB227D">
        <w:t>British Pharmacopeia (</w:t>
      </w:r>
      <w:r>
        <w:t>BP</w:t>
      </w:r>
      <w:r w:rsidR="00CB227D">
        <w:t>)</w:t>
      </w:r>
      <w:r>
        <w:t xml:space="preserve"> or </w:t>
      </w:r>
      <w:r w:rsidR="00CB227D">
        <w:t>US Pharmacopeia (</w:t>
      </w:r>
      <w:r>
        <w:t>USP</w:t>
      </w:r>
      <w:r w:rsidR="00CB227D">
        <w:t>)</w:t>
      </w:r>
      <w:r>
        <w:t xml:space="preserve"> monographs; however draft USP monographs are available for both the drug substance and drug product.</w:t>
      </w:r>
    </w:p>
    <w:p w:rsidR="00700987" w:rsidRDefault="00700987" w:rsidP="00DE150A">
      <w:r>
        <w:t>Due to the complexity and nature of the drug substance, the quality control tests and limits applied to the drug substance play an important role in establishing that the drug substance in the proposed generic product is the same as that in the innovator product.</w:t>
      </w:r>
      <w:r w:rsidR="000325C5">
        <w:t xml:space="preserve"> </w:t>
      </w:r>
      <w:r>
        <w:t>The limits proposed for some quality control tests for the drug substance in the proposed generic product are different to those in the draft USP monograph.</w:t>
      </w:r>
    </w:p>
    <w:p w:rsidR="00CB227D" w:rsidRDefault="008E7846" w:rsidP="00DE150A">
      <w:pPr>
        <w:pStyle w:val="Heading3"/>
      </w:pPr>
      <w:bookmarkStart w:id="27" w:name="_Toc434909875"/>
      <w:r w:rsidRPr="008751DC">
        <w:t xml:space="preserve">Drug </w:t>
      </w:r>
      <w:r>
        <w:t>s</w:t>
      </w:r>
      <w:r w:rsidRPr="008751DC">
        <w:t>ubstance</w:t>
      </w:r>
      <w:r>
        <w:t xml:space="preserve"> (active ingredient)</w:t>
      </w:r>
      <w:bookmarkEnd w:id="24"/>
      <w:bookmarkEnd w:id="25"/>
      <w:bookmarkEnd w:id="27"/>
    </w:p>
    <w:p w:rsidR="008E7846" w:rsidRDefault="00CB227D" w:rsidP="00CB227D">
      <w:proofErr w:type="spellStart"/>
      <w:r>
        <w:t>Sevelamer</w:t>
      </w:r>
      <w:proofErr w:type="spellEnd"/>
      <w:r>
        <w:t xml:space="preserve"> hydrochloride (</w:t>
      </w:r>
      <w:proofErr w:type="spellStart"/>
      <w:r>
        <w:t>HCl</w:t>
      </w:r>
      <w:proofErr w:type="spellEnd"/>
      <w:r>
        <w:t>) (see structure below) is an insoluble and non-absorbed ion-exchange resin that reduces serum phosphorus concentrations.</w:t>
      </w:r>
    </w:p>
    <w:p w:rsidR="00CB227D" w:rsidRDefault="00CB227D" w:rsidP="00DE150A">
      <w:pPr>
        <w:pStyle w:val="FigureTitle"/>
      </w:pPr>
      <w:r>
        <w:t xml:space="preserve">Figure 1: </w:t>
      </w:r>
      <w:proofErr w:type="spellStart"/>
      <w:r>
        <w:t>Sevelamer</w:t>
      </w:r>
      <w:proofErr w:type="spellEnd"/>
      <w:r>
        <w:t xml:space="preserve"> </w:t>
      </w:r>
      <w:proofErr w:type="spellStart"/>
      <w:r>
        <w:t>HCl</w:t>
      </w:r>
      <w:proofErr w:type="spellEnd"/>
      <w:r>
        <w:t xml:space="preserve"> structure</w:t>
      </w:r>
    </w:p>
    <w:p w:rsidR="00700987" w:rsidRDefault="00700987" w:rsidP="00CB227D">
      <w:pPr>
        <w:spacing w:after="240"/>
        <w:rPr>
          <w:rFonts w:ascii="Times New Roman" w:hAnsi="Times New Roman"/>
          <w:sz w:val="24"/>
          <w:szCs w:val="20"/>
        </w:rPr>
      </w:pPr>
      <w:r>
        <w:rPr>
          <w:noProof/>
          <w:lang w:eastAsia="en-AU"/>
        </w:rPr>
        <w:drawing>
          <wp:inline distT="0" distB="0" distL="0" distR="0" wp14:anchorId="23C0649E" wp14:editId="26E0C37D">
            <wp:extent cx="2390775" cy="2247900"/>
            <wp:effectExtent l="0" t="0" r="9525" b="0"/>
            <wp:docPr id="2" name="Picture 2" descr="Sevelamer HC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lum bright="-20000" contrast="40000"/>
                      <a:extLst>
                        <a:ext uri="{28A0092B-C50C-407E-A947-70E740481C1C}">
                          <a14:useLocalDpi xmlns:a14="http://schemas.microsoft.com/office/drawing/2010/main" val="0"/>
                        </a:ext>
                      </a:extLst>
                    </a:blip>
                    <a:srcRect/>
                    <a:stretch>
                      <a:fillRect/>
                    </a:stretch>
                  </pic:blipFill>
                  <pic:spPr bwMode="auto">
                    <a:xfrm>
                      <a:off x="0" y="0"/>
                      <a:ext cx="2390775" cy="2247900"/>
                    </a:xfrm>
                    <a:prstGeom prst="rect">
                      <a:avLst/>
                    </a:prstGeom>
                    <a:noFill/>
                    <a:ln>
                      <a:noFill/>
                    </a:ln>
                  </pic:spPr>
                </pic:pic>
              </a:graphicData>
            </a:graphic>
          </wp:inline>
        </w:drawing>
      </w:r>
    </w:p>
    <w:p w:rsidR="002D64ED" w:rsidRDefault="00700987" w:rsidP="00806140">
      <w:pPr>
        <w:rPr>
          <w:szCs w:val="24"/>
        </w:rPr>
      </w:pPr>
      <w:r>
        <w:t>It contains multiple amine groups separated by one carbon from the polymer backbone.</w:t>
      </w:r>
      <w:r w:rsidR="000325C5">
        <w:t xml:space="preserve"> </w:t>
      </w:r>
      <w:r>
        <w:t xml:space="preserve">These amines become partially </w:t>
      </w:r>
      <w:r>
        <w:rPr>
          <w:szCs w:val="24"/>
        </w:rPr>
        <w:t>protonated in the intestine and interact with phosphate molecules through ionic and hydrogen bonding.</w:t>
      </w:r>
      <w:r w:rsidR="000325C5">
        <w:rPr>
          <w:szCs w:val="24"/>
        </w:rPr>
        <w:t xml:space="preserve"> </w:t>
      </w:r>
      <w:r>
        <w:rPr>
          <w:szCs w:val="24"/>
        </w:rPr>
        <w:t xml:space="preserve">The extent of cross-linking in the drug substance is very sensitive to the manufacturing conditions </w:t>
      </w:r>
      <w:r w:rsidR="00CB227D">
        <w:rPr>
          <w:szCs w:val="24"/>
        </w:rPr>
        <w:t>and this</w:t>
      </w:r>
      <w:r>
        <w:rPr>
          <w:szCs w:val="24"/>
        </w:rPr>
        <w:t xml:space="preserve"> makes it difficult to match the relevant therapeutic properties of the drug substance between different manufacturers</w:t>
      </w:r>
      <w:r w:rsidR="002D64ED">
        <w:rPr>
          <w:szCs w:val="24"/>
        </w:rPr>
        <w:t>.</w:t>
      </w:r>
    </w:p>
    <w:p w:rsidR="002D64ED" w:rsidRDefault="00700987" w:rsidP="00806140">
      <w:r>
        <w:rPr>
          <w:szCs w:val="24"/>
        </w:rPr>
        <w:t>Key aspects of the drug substance</w:t>
      </w:r>
      <w:r>
        <w:t xml:space="preserve"> quality control are the tests and limits applied: identification; phosphate binding capacity; chloride content; swell index; total </w:t>
      </w:r>
      <w:proofErr w:type="spellStart"/>
      <w:r>
        <w:t>titratable</w:t>
      </w:r>
      <w:proofErr w:type="spellEnd"/>
      <w:r>
        <w:t xml:space="preserve"> amines; water soluble oligomers; </w:t>
      </w:r>
      <w:proofErr w:type="spellStart"/>
      <w:r>
        <w:t>allylamine</w:t>
      </w:r>
      <w:proofErr w:type="spellEnd"/>
      <w:r>
        <w:t xml:space="preserve"> content; </w:t>
      </w:r>
      <w:proofErr w:type="spellStart"/>
      <w:r>
        <w:t>epichlorohydrin</w:t>
      </w:r>
      <w:proofErr w:type="spellEnd"/>
      <w:r>
        <w:t xml:space="preserve"> content and particle size.</w:t>
      </w:r>
      <w:r w:rsidR="000325C5">
        <w:t xml:space="preserve"> </w:t>
      </w:r>
      <w:r>
        <w:t xml:space="preserve">The limits for phosphate binding capacity and total </w:t>
      </w:r>
      <w:proofErr w:type="spellStart"/>
      <w:r>
        <w:t>titratable</w:t>
      </w:r>
      <w:proofErr w:type="spellEnd"/>
      <w:r>
        <w:t xml:space="preserve"> amines are akin to assay tests whilst the tests for water soluble oligomers, </w:t>
      </w:r>
      <w:proofErr w:type="spellStart"/>
      <w:r>
        <w:t>allylamine</w:t>
      </w:r>
      <w:proofErr w:type="spellEnd"/>
      <w:r>
        <w:t xml:space="preserve"> content and </w:t>
      </w:r>
      <w:proofErr w:type="spellStart"/>
      <w:r>
        <w:t>epichlorohydrin</w:t>
      </w:r>
      <w:proofErr w:type="spellEnd"/>
      <w:r>
        <w:t xml:space="preserve"> give an indication of impurity levels in the drug substance</w:t>
      </w:r>
      <w:r w:rsidR="002D64ED">
        <w:t>.</w:t>
      </w:r>
    </w:p>
    <w:p w:rsidR="002D64ED" w:rsidRDefault="00700987" w:rsidP="00806140">
      <w:r>
        <w:lastRenderedPageBreak/>
        <w:t xml:space="preserve">The limits and tests for identification, chloride content, water soluble oligomers, </w:t>
      </w:r>
      <w:proofErr w:type="spellStart"/>
      <w:r>
        <w:t>allylamine</w:t>
      </w:r>
      <w:proofErr w:type="spellEnd"/>
      <w:r>
        <w:t xml:space="preserve"> content, </w:t>
      </w:r>
      <w:proofErr w:type="spellStart"/>
      <w:r>
        <w:t>epichlorohydrin</w:t>
      </w:r>
      <w:proofErr w:type="spellEnd"/>
      <w:r>
        <w:t xml:space="preserve"> content and particle size are in line or tighter than those specified in the draft USP monograph for </w:t>
      </w:r>
      <w:proofErr w:type="spellStart"/>
      <w:r>
        <w:t>sevelamer</w:t>
      </w:r>
      <w:proofErr w:type="spellEnd"/>
      <w:r>
        <w:t xml:space="preserve"> hydrochloride.</w:t>
      </w:r>
      <w:r w:rsidR="000325C5">
        <w:t xml:space="preserve"> </w:t>
      </w:r>
      <w:r>
        <w:t>All of the tests have been adequately described and were adequately validated</w:t>
      </w:r>
      <w:r w:rsidR="002D64ED">
        <w:t>.</w:t>
      </w:r>
    </w:p>
    <w:p w:rsidR="002D64ED" w:rsidRDefault="00700987" w:rsidP="00806140">
      <w:r w:rsidRPr="00D004AA">
        <w:t xml:space="preserve">The level of total </w:t>
      </w:r>
      <w:proofErr w:type="spellStart"/>
      <w:r w:rsidRPr="00D004AA">
        <w:t>titratable</w:t>
      </w:r>
      <w:proofErr w:type="spellEnd"/>
      <w:r w:rsidRPr="00D004AA">
        <w:t xml:space="preserve"> amines in the drug substance is a surrogate assay parameter and also provides an indirect measure of its phosphate binding capacity.</w:t>
      </w:r>
      <w:r w:rsidR="000325C5" w:rsidRPr="00D004AA">
        <w:t xml:space="preserve"> </w:t>
      </w:r>
      <w:r w:rsidRPr="00DC5E9C">
        <w:t xml:space="preserve">The most recently proposed </w:t>
      </w:r>
      <w:proofErr w:type="spellStart"/>
      <w:r w:rsidRPr="00DC5E9C">
        <w:t>titratable</w:t>
      </w:r>
      <w:proofErr w:type="spellEnd"/>
      <w:r w:rsidRPr="00DC5E9C">
        <w:t xml:space="preserve"> amine limit for the drug substance (and drug product) is 9.6-12.9 </w:t>
      </w:r>
      <w:proofErr w:type="spellStart"/>
      <w:r w:rsidRPr="00DC5E9C">
        <w:t>mmol</w:t>
      </w:r>
      <w:proofErr w:type="spellEnd"/>
      <w:r w:rsidRPr="00DC5E9C">
        <w:t>/g.</w:t>
      </w:r>
      <w:r w:rsidR="00B94B54">
        <w:rPr>
          <w:rStyle w:val="FootnoteReference"/>
        </w:rPr>
        <w:footnoteReference w:id="3"/>
      </w:r>
      <w:r w:rsidR="00B94B54">
        <w:t xml:space="preserve">. </w:t>
      </w:r>
      <w:r w:rsidRPr="00D004AA">
        <w:t>The proposed limit is looser that that specified in the draft USP drug substance monograph. This indicates that the proposed drug substance may have fewer free amine sites compared with the innovator drug substance capable of functioning in an ion-exchange capacity</w:t>
      </w:r>
      <w:r w:rsidR="002D64ED">
        <w:t>.</w:t>
      </w:r>
    </w:p>
    <w:p w:rsidR="002D64ED" w:rsidRDefault="00700987" w:rsidP="00D91930">
      <w:r w:rsidRPr="00D004AA">
        <w:t xml:space="preserve">In the company’s response to the </w:t>
      </w:r>
      <w:r w:rsidR="00CB227D" w:rsidRPr="00D004AA">
        <w:t>TGA’s Pharmaceutical Subcommittee (</w:t>
      </w:r>
      <w:r w:rsidRPr="00D004AA">
        <w:t>PSC</w:t>
      </w:r>
      <w:r w:rsidR="00CB227D" w:rsidRPr="00D004AA">
        <w:t>)</w:t>
      </w:r>
      <w:r w:rsidRPr="00D004AA">
        <w:t xml:space="preserve"> minutes a comparison of the total </w:t>
      </w:r>
      <w:proofErr w:type="spellStart"/>
      <w:r w:rsidRPr="00D004AA">
        <w:t>titratable</w:t>
      </w:r>
      <w:proofErr w:type="spellEnd"/>
      <w:r w:rsidRPr="00D004AA">
        <w:t xml:space="preserve"> amines and phosphate binding capacity of the drug substance used in the proposed and innovator products was provided</w:t>
      </w:r>
      <w:r w:rsidR="002D64ED">
        <w:t>.</w:t>
      </w:r>
    </w:p>
    <w:p w:rsidR="00700987" w:rsidRPr="00D004AA" w:rsidRDefault="00700987" w:rsidP="00806140">
      <w:r w:rsidRPr="00D004AA">
        <w:t>If any conclusion can be drawn from this information it may be that the proposed drug substance has marginally fewer free amine sites as compared with the innovator drug substance capable of functioning in an ion-exchange capacity.</w:t>
      </w:r>
    </w:p>
    <w:p w:rsidR="002D64ED" w:rsidRDefault="00700987" w:rsidP="00806140">
      <w:r w:rsidRPr="00D004AA">
        <w:t xml:space="preserve">The </w:t>
      </w:r>
      <w:proofErr w:type="spellStart"/>
      <w:r w:rsidRPr="00B94B54">
        <w:t>titratable</w:t>
      </w:r>
      <w:proofErr w:type="spellEnd"/>
      <w:r w:rsidRPr="00B94B54">
        <w:t xml:space="preserve"> amines</w:t>
      </w:r>
      <w:r w:rsidRPr="00F91859">
        <w:t xml:space="preserve"> </w:t>
      </w:r>
      <w:r w:rsidR="00AD14E5">
        <w:t xml:space="preserve">levels are </w:t>
      </w:r>
      <w:r w:rsidRPr="00F91859">
        <w:t>reflected in the phosphate binding capacities of the drug substance.</w:t>
      </w:r>
      <w:r w:rsidR="000325C5" w:rsidRPr="00F91859">
        <w:t xml:space="preserve"> </w:t>
      </w:r>
      <w:r w:rsidR="00634E4D">
        <w:t>T</w:t>
      </w:r>
      <w:r w:rsidRPr="00F91859">
        <w:t xml:space="preserve">he phosphate binding capacity of the proposed drug substance is </w:t>
      </w:r>
      <w:r w:rsidRPr="00B94B54">
        <w:t>5.15</w:t>
      </w:r>
      <w:r w:rsidR="006804DF" w:rsidRPr="00B94B54">
        <w:t xml:space="preserve"> to </w:t>
      </w:r>
      <w:r w:rsidRPr="00B94B54">
        <w:t xml:space="preserve">5.89 </w:t>
      </w:r>
      <w:proofErr w:type="spellStart"/>
      <w:r w:rsidRPr="00B94B54">
        <w:t>mmol</w:t>
      </w:r>
      <w:proofErr w:type="spellEnd"/>
      <w:r w:rsidRPr="00B94B54">
        <w:t xml:space="preserve">/g </w:t>
      </w:r>
      <w:proofErr w:type="gramStart"/>
      <w:r w:rsidRPr="00B94B54">
        <w:t xml:space="preserve">(5.39 </w:t>
      </w:r>
      <w:proofErr w:type="spellStart"/>
      <w:r w:rsidRPr="00B94B54">
        <w:t>mmol</w:t>
      </w:r>
      <w:proofErr w:type="spellEnd"/>
      <w:r w:rsidRPr="00B94B54">
        <w:t>/g)</w:t>
      </w:r>
      <w:proofErr w:type="gramEnd"/>
      <w:r w:rsidR="00634E4D">
        <w:t>,</w:t>
      </w:r>
      <w:r w:rsidR="00B94B54">
        <w:rPr>
          <w:rStyle w:val="FootnoteReference"/>
        </w:rPr>
        <w:footnoteReference w:id="4"/>
      </w:r>
      <w:r w:rsidR="00634E4D">
        <w:t xml:space="preserve"> </w:t>
      </w:r>
      <w:r w:rsidRPr="00D004AA">
        <w:t xml:space="preserve">whereas the values for the innovator drug substance show levels twixt 5.62 and 6.00 </w:t>
      </w:r>
      <w:proofErr w:type="spellStart"/>
      <w:r w:rsidRPr="00D004AA">
        <w:t>mmol</w:t>
      </w:r>
      <w:proofErr w:type="spellEnd"/>
      <w:r w:rsidRPr="00D004AA">
        <w:t xml:space="preserve"> (average 5.81 </w:t>
      </w:r>
      <w:proofErr w:type="spellStart"/>
      <w:r w:rsidRPr="00D004AA">
        <w:t>mmol</w:t>
      </w:r>
      <w:proofErr w:type="spellEnd"/>
      <w:r w:rsidRPr="00D004AA">
        <w:t>/g).</w:t>
      </w:r>
      <w:r w:rsidR="000325C5" w:rsidRPr="00D004AA">
        <w:t xml:space="preserve"> </w:t>
      </w:r>
      <w:r w:rsidRPr="00D004AA">
        <w:t>The differences might appear marginal, however in the absence of an acceptable phosphate binding study and a clinical study using the proposed generic, these may impact on the efficacy of the proposed generic product</w:t>
      </w:r>
      <w:r w:rsidR="002D64ED">
        <w:t>.</w:t>
      </w:r>
    </w:p>
    <w:p w:rsidR="00700987" w:rsidRPr="00D004AA" w:rsidRDefault="00700987" w:rsidP="00806140">
      <w:r w:rsidRPr="00D004AA">
        <w:t xml:space="preserve">The </w:t>
      </w:r>
      <w:r w:rsidRPr="00B94B54">
        <w:t>swell index</w:t>
      </w:r>
      <w:r w:rsidRPr="00F91859">
        <w:t xml:space="preserve"> of the drug substance is proportional to the extent of cross-linking, which is</w:t>
      </w:r>
      <w:r w:rsidRPr="00AD14E5">
        <w:t xml:space="preserve"> inversely related to the free amine content.</w:t>
      </w:r>
      <w:r w:rsidR="000325C5" w:rsidRPr="00AD14E5">
        <w:t xml:space="preserve"> </w:t>
      </w:r>
      <w:r w:rsidRPr="00AD14E5">
        <w:t>The free amine content is directly related to the drug substance phosphate binding capacity.</w:t>
      </w:r>
      <w:r w:rsidR="000325C5" w:rsidRPr="00F91859">
        <w:t xml:space="preserve"> </w:t>
      </w:r>
      <w:r w:rsidRPr="00F91859">
        <w:t>Consequently, the swell index limit for the proposed drug substance should be aligned with the limit for the innovator product.</w:t>
      </w:r>
      <w:r w:rsidR="000325C5" w:rsidRPr="00F91859">
        <w:t xml:space="preserve"> </w:t>
      </w:r>
      <w:r w:rsidRPr="00F91859">
        <w:t>The most recently proposed swell index limit for the drug substance is 6.9</w:t>
      </w:r>
      <w:r w:rsidR="006804DF" w:rsidRPr="00B94B54">
        <w:t xml:space="preserve"> to </w:t>
      </w:r>
      <w:r w:rsidRPr="00B94B54">
        <w:t>9.4.</w:t>
      </w:r>
      <w:r w:rsidR="000325C5" w:rsidRPr="00B94B54">
        <w:t xml:space="preserve"> </w:t>
      </w:r>
      <w:r w:rsidRPr="00B94B54">
        <w:t>The limit specified in the draft USP monograph is 6.2</w:t>
      </w:r>
      <w:r w:rsidR="006804DF" w:rsidRPr="00B94B54">
        <w:t xml:space="preserve"> to </w:t>
      </w:r>
      <w:r w:rsidRPr="00B94B54">
        <w:t>8.4</w:t>
      </w:r>
      <w:r w:rsidR="00B94B54">
        <w:t>.</w:t>
      </w:r>
      <w:r w:rsidR="00B94B54">
        <w:rPr>
          <w:rStyle w:val="FootnoteReference"/>
        </w:rPr>
        <w:footnoteReference w:id="5"/>
      </w:r>
    </w:p>
    <w:p w:rsidR="002D64ED" w:rsidRDefault="00700987" w:rsidP="00806140">
      <w:r w:rsidRPr="00D004AA">
        <w:t>The company states that the differences between the proposed drug substance and innovator drug substance do not lead to differences in the phosphate binding capacities.</w:t>
      </w:r>
      <w:r w:rsidR="000325C5" w:rsidRPr="00D004AA">
        <w:t xml:space="preserve"> </w:t>
      </w:r>
      <w:r w:rsidRPr="00D004AA">
        <w:t xml:space="preserve">The draft USP </w:t>
      </w:r>
      <w:proofErr w:type="spellStart"/>
      <w:r w:rsidRPr="00D004AA">
        <w:t>sevelamer</w:t>
      </w:r>
      <w:proofErr w:type="spellEnd"/>
      <w:r w:rsidRPr="00D004AA">
        <w:t xml:space="preserve"> hydrochloride monograph does not include a limit for this parameter, however the company’s most recently proposed limits in the drug substance and drug product specification (5.2</w:t>
      </w:r>
      <w:r w:rsidR="006804DF" w:rsidRPr="00D004AA">
        <w:t xml:space="preserve"> to </w:t>
      </w:r>
      <w:r w:rsidRPr="00D004AA">
        <w:t xml:space="preserve">6.2 </w:t>
      </w:r>
      <w:proofErr w:type="spellStart"/>
      <w:r w:rsidRPr="00D004AA">
        <w:t>mmol</w:t>
      </w:r>
      <w:proofErr w:type="spellEnd"/>
      <w:r w:rsidRPr="00D004AA">
        <w:t>/g) are close to what the TGA has previously indicated would b</w:t>
      </w:r>
      <w:r w:rsidR="00BF490C" w:rsidRPr="00D004AA">
        <w:t>e acceptable (5.2</w:t>
      </w:r>
      <w:r w:rsidR="006804DF" w:rsidRPr="00D004AA">
        <w:t xml:space="preserve"> to </w:t>
      </w:r>
      <w:r w:rsidR="00BF490C" w:rsidRPr="00D004AA">
        <w:t xml:space="preserve">6.4 </w:t>
      </w:r>
      <w:proofErr w:type="spellStart"/>
      <w:r w:rsidR="00BF490C" w:rsidRPr="00D004AA">
        <w:t>mmol</w:t>
      </w:r>
      <w:proofErr w:type="spellEnd"/>
      <w:r w:rsidR="00BF490C" w:rsidRPr="00D004AA">
        <w:t>/g)</w:t>
      </w:r>
      <w:r w:rsidR="002D64ED">
        <w:t>.</w:t>
      </w:r>
    </w:p>
    <w:p w:rsidR="008E7846" w:rsidRDefault="008E7846" w:rsidP="00DE150A">
      <w:pPr>
        <w:pStyle w:val="Heading3"/>
      </w:pPr>
      <w:bookmarkStart w:id="28" w:name="_Toc247691508"/>
      <w:bookmarkStart w:id="29" w:name="_Toc314842490"/>
      <w:bookmarkStart w:id="30" w:name="_Toc434909876"/>
      <w:r w:rsidRPr="00D004AA">
        <w:t>Drug product</w:t>
      </w:r>
      <w:bookmarkEnd w:id="28"/>
      <w:bookmarkEnd w:id="29"/>
      <w:bookmarkEnd w:id="30"/>
    </w:p>
    <w:p w:rsidR="002D64ED" w:rsidRDefault="00BF490C" w:rsidP="00806140">
      <w:r>
        <w:t>A conventional wet-granulation immediate release formulation is proposed.</w:t>
      </w:r>
      <w:r w:rsidR="000325C5">
        <w:t xml:space="preserve"> </w:t>
      </w:r>
      <w:r>
        <w:t xml:space="preserve">The active represents about 71% of the total tablet weight and the other excipients include mannitol, purified water, </w:t>
      </w:r>
      <w:r w:rsidR="00586D85">
        <w:t>ethyl cellulose</w:t>
      </w:r>
      <w:r>
        <w:t xml:space="preserve">, silica, stearic acid and a clear </w:t>
      </w:r>
      <w:proofErr w:type="spellStart"/>
      <w:r>
        <w:t>Opadry</w:t>
      </w:r>
      <w:proofErr w:type="spellEnd"/>
      <w:r>
        <w:t xml:space="preserve"> film coating.</w:t>
      </w:r>
      <w:r w:rsidR="000325C5">
        <w:t xml:space="preserve"> </w:t>
      </w:r>
      <w:r>
        <w:t>The manufacturing process follows the steps: drug substance hydration; wet granulation (with isopropyl alcohol), milling, blending, compression and aqueous film coating</w:t>
      </w:r>
      <w:r w:rsidR="002D64ED">
        <w:t>.</w:t>
      </w:r>
    </w:p>
    <w:p w:rsidR="002D64ED" w:rsidRDefault="00BF490C" w:rsidP="00806140">
      <w:r>
        <w:lastRenderedPageBreak/>
        <w:t>The quality of the drug product is controlled by a specification that includes appropriate limits for average tablet weight and uniformity of weight as well as residual solvent (isopropyl alcohol) and disintegration.</w:t>
      </w:r>
      <w:r w:rsidR="000325C5">
        <w:t xml:space="preserve"> </w:t>
      </w:r>
      <w:r>
        <w:t xml:space="preserve">Impurities are controlled by the limit for soluble oligomers and the limit for </w:t>
      </w:r>
      <w:proofErr w:type="spellStart"/>
      <w:r>
        <w:t>allylamine</w:t>
      </w:r>
      <w:proofErr w:type="spellEnd"/>
      <w:r>
        <w:t xml:space="preserve"> and these are in line with those specified in the draft USP monograph</w:t>
      </w:r>
      <w:r w:rsidR="002D64ED">
        <w:t>.</w:t>
      </w:r>
    </w:p>
    <w:p w:rsidR="002D64ED" w:rsidRDefault="00BF490C" w:rsidP="00806140">
      <w:r>
        <w:t>The limits most recently proposed for the key parameters that are predictive of the ability of the drug product to bind phosphate (free amine level and phosphate binding capacity) have been matched to the corresponding limits in the drug substance</w:t>
      </w:r>
      <w:r w:rsidR="002D64ED">
        <w:t>.</w:t>
      </w:r>
    </w:p>
    <w:p w:rsidR="002D64ED" w:rsidRDefault="00BF490C" w:rsidP="00806140">
      <w:r>
        <w:t>Accelerated and long-term stability data were provided to support the proposed shelf life of 24 months for the unopened product when stored below 25ºC and protected from moisture.</w:t>
      </w:r>
      <w:r w:rsidR="000325C5">
        <w:t xml:space="preserve"> </w:t>
      </w:r>
      <w:r>
        <w:t>No photo</w:t>
      </w:r>
      <w:r w:rsidR="00586D85">
        <w:t xml:space="preserve"> </w:t>
      </w:r>
      <w:r>
        <w:t>stability testing was conducted and consequently the sponsor will be asked to include a ‘protect from light’ instruction on the labels and in the PI.</w:t>
      </w:r>
      <w:r w:rsidR="000325C5">
        <w:t xml:space="preserve"> </w:t>
      </w:r>
      <w:r>
        <w:t>Appropriate in-use stability data were provided for the HDPE bottle presentations</w:t>
      </w:r>
      <w:r w:rsidR="002D64ED">
        <w:t>.</w:t>
      </w:r>
    </w:p>
    <w:p w:rsidR="00BF490C" w:rsidRPr="006804DF" w:rsidRDefault="00806140" w:rsidP="006804DF">
      <w:pPr>
        <w:pStyle w:val="Heading4"/>
      </w:pPr>
      <w:r w:rsidRPr="006804DF">
        <w:t>In</w:t>
      </w:r>
      <w:r w:rsidR="006804DF" w:rsidRPr="006804DF">
        <w:t xml:space="preserve"> </w:t>
      </w:r>
      <w:r w:rsidR="00BF490C" w:rsidRPr="006804DF">
        <w:t>vitro comparison between the proposed and innovator products</w:t>
      </w:r>
    </w:p>
    <w:p w:rsidR="00BF490C" w:rsidRDefault="00BF490C" w:rsidP="00BF490C">
      <w:pPr>
        <w:rPr>
          <w:rFonts w:ascii="Times New Roman" w:hAnsi="Times New Roman"/>
          <w:sz w:val="24"/>
          <w:szCs w:val="20"/>
        </w:rPr>
      </w:pPr>
      <w:proofErr w:type="spellStart"/>
      <w:r>
        <w:t>Sevelamer</w:t>
      </w:r>
      <w:proofErr w:type="spellEnd"/>
      <w:r>
        <w:t xml:space="preserve"> hydrochloride is not systemically absorbed and consequently no bioequivalence studies were performed for the proposed product.</w:t>
      </w:r>
    </w:p>
    <w:p w:rsidR="002D64ED" w:rsidRDefault="00BF490C" w:rsidP="00BF490C">
      <w:r>
        <w:t xml:space="preserve">An equilibrium and kinetic </w:t>
      </w:r>
      <w:r w:rsidRPr="00E07105">
        <w:t>in vitro</w:t>
      </w:r>
      <w:r>
        <w:t xml:space="preserve"> phosphate kinetic study (ARL/E11/R01) was conducted which examined the proposed 800 mg tablets with an innovator reference product (800 mg </w:t>
      </w:r>
      <w:proofErr w:type="spellStart"/>
      <w:r>
        <w:t>Renagel</w:t>
      </w:r>
      <w:proofErr w:type="spellEnd"/>
      <w:r>
        <w:t xml:space="preserve"> </w:t>
      </w:r>
      <w:proofErr w:type="spellStart"/>
      <w:r>
        <w:t>sevelamer</w:t>
      </w:r>
      <w:proofErr w:type="spellEnd"/>
      <w:r>
        <w:t xml:space="preserve"> hydrochloride).</w:t>
      </w:r>
      <w:r w:rsidR="000325C5">
        <w:t xml:space="preserve"> </w:t>
      </w:r>
      <w:r>
        <w:t>The use of an overseas reference product is considered acceptable in this instance</w:t>
      </w:r>
      <w:r w:rsidR="002D64ED">
        <w:t>.</w:t>
      </w:r>
    </w:p>
    <w:p w:rsidR="002D64ED" w:rsidRDefault="00BF490C" w:rsidP="00BF490C">
      <w:r>
        <w:t xml:space="preserve">The equilibrium binding portion of the study was conducted by incubating the test and reference products for 2 hours at 37ºC with eight different phosphate concentrations (1 </w:t>
      </w:r>
      <w:proofErr w:type="spellStart"/>
      <w:r>
        <w:t>mM</w:t>
      </w:r>
      <w:proofErr w:type="spellEnd"/>
      <w:r>
        <w:t xml:space="preserve"> to 40 </w:t>
      </w:r>
      <w:proofErr w:type="spellStart"/>
      <w:r>
        <w:t>mM</w:t>
      </w:r>
      <w:proofErr w:type="spellEnd"/>
      <w:r>
        <w:t>) with and without acid pre-treatment.</w:t>
      </w:r>
      <w:r w:rsidR="000325C5">
        <w:t xml:space="preserve"> </w:t>
      </w:r>
      <w:r>
        <w:t>Equivalence between the test (T) and reference (R) products was to be concluded if the 90% confidence interval for the T/R ratio for the capacity constant (</w:t>
      </w:r>
      <w:proofErr w:type="gramStart"/>
      <w:r>
        <w:t>k</w:t>
      </w:r>
      <w:r>
        <w:rPr>
          <w:vertAlign w:val="subscript"/>
        </w:rPr>
        <w:t>2</w:t>
      </w:r>
      <w:proofErr w:type="gramEnd"/>
      <w:r>
        <w:t>) was within 80 to 120%.</w:t>
      </w:r>
      <w:r w:rsidR="000325C5">
        <w:t xml:space="preserve"> </w:t>
      </w:r>
      <w:r>
        <w:t xml:space="preserve">This requirement is in line with the current FDA guidance document about </w:t>
      </w:r>
      <w:proofErr w:type="spellStart"/>
      <w:r>
        <w:t>sevelamer</w:t>
      </w:r>
      <w:proofErr w:type="spellEnd"/>
      <w:r>
        <w:t xml:space="preserve"> hydrochloride</w:t>
      </w:r>
      <w:r w:rsidR="002D64ED">
        <w:t>.</w:t>
      </w:r>
    </w:p>
    <w:p w:rsidR="00BF490C" w:rsidRDefault="00BF490C" w:rsidP="00BF490C">
      <w:pPr>
        <w:rPr>
          <w:szCs w:val="24"/>
        </w:rPr>
      </w:pPr>
      <w:r>
        <w:t>However, the phosphate concentration range chosen for the equilibrium study</w:t>
      </w:r>
      <w:r>
        <w:rPr>
          <w:szCs w:val="24"/>
        </w:rPr>
        <w:t xml:space="preserve"> did not encompass the maximum binding of phosphate (as required by the current FDA Draft Guidance on </w:t>
      </w:r>
      <w:proofErr w:type="spellStart"/>
      <w:r>
        <w:rPr>
          <w:szCs w:val="24"/>
        </w:rPr>
        <w:t>sevelamer</w:t>
      </w:r>
      <w:proofErr w:type="spellEnd"/>
      <w:r>
        <w:rPr>
          <w:szCs w:val="24"/>
        </w:rPr>
        <w:t xml:space="preserve"> hydrochloride).</w:t>
      </w:r>
      <w:r w:rsidR="000325C5">
        <w:rPr>
          <w:szCs w:val="24"/>
        </w:rPr>
        <w:t xml:space="preserve"> </w:t>
      </w:r>
      <w:r>
        <w:rPr>
          <w:szCs w:val="24"/>
        </w:rPr>
        <w:t>The company has stated that this is because the study was designed against an older version of the FDA guidance document (August 2010).</w:t>
      </w:r>
      <w:r w:rsidR="000325C5">
        <w:rPr>
          <w:szCs w:val="24"/>
        </w:rPr>
        <w:t xml:space="preserve"> </w:t>
      </w:r>
      <w:r>
        <w:rPr>
          <w:szCs w:val="24"/>
        </w:rPr>
        <w:t>The TGA was concerned about the impact that this design flaw might have on the conclusion of equivalence between the proposed and innovator products.</w:t>
      </w:r>
    </w:p>
    <w:p w:rsidR="002D64ED" w:rsidRDefault="00BF490C" w:rsidP="00BF490C">
      <w:pPr>
        <w:spacing w:after="240"/>
      </w:pPr>
      <w:r>
        <w:rPr>
          <w:szCs w:val="24"/>
        </w:rPr>
        <w:t xml:space="preserve">To allay these concerns the company provided a bridging study </w:t>
      </w:r>
      <w:r>
        <w:t xml:space="preserve">which examined phosphate binding at maximum phosphate concentration levels (up to 70 </w:t>
      </w:r>
      <w:proofErr w:type="spellStart"/>
      <w:r>
        <w:t>mM</w:t>
      </w:r>
      <w:proofErr w:type="spellEnd"/>
      <w:r>
        <w:t>; 2 replicates only).</w:t>
      </w:r>
      <w:r w:rsidR="000325C5">
        <w:t xml:space="preserve"> </w:t>
      </w:r>
      <w:r>
        <w:t xml:space="preserve">The </w:t>
      </w:r>
      <w:proofErr w:type="gramStart"/>
      <w:r>
        <w:t>k</w:t>
      </w:r>
      <w:r>
        <w:rPr>
          <w:vertAlign w:val="subscript"/>
        </w:rPr>
        <w:t>2</w:t>
      </w:r>
      <w:proofErr w:type="gramEnd"/>
      <w:r w:rsidR="000325C5">
        <w:rPr>
          <w:vertAlign w:val="subscript"/>
        </w:rPr>
        <w:t xml:space="preserve"> </w:t>
      </w:r>
      <w:r>
        <w:t>values for the test and reference products in this study appear to be similar (and slightly higher than the values derived in the initial study</w:t>
      </w:r>
      <w:r w:rsidRPr="00B94B54">
        <w:t xml:space="preserve">), </w:t>
      </w:r>
      <w:r w:rsidRPr="006229C6">
        <w:t>however 90% confidence intervals for the T/R ratios were not calculated</w:t>
      </w:r>
      <w:r w:rsidRPr="00B94B54">
        <w:t>.</w:t>
      </w:r>
      <w:r w:rsidR="000325C5" w:rsidRPr="00B94B54">
        <w:t xml:space="preserve"> </w:t>
      </w:r>
      <w:r w:rsidRPr="00B94B54">
        <w:t>The significance</w:t>
      </w:r>
      <w:r>
        <w:t xml:space="preserve"> of these </w:t>
      </w:r>
      <w:r w:rsidRPr="00E07105">
        <w:t>results in demonstrating equivalence between the test and reference products remains unclear</w:t>
      </w:r>
      <w:r w:rsidR="002D64ED">
        <w:t>.</w:t>
      </w:r>
    </w:p>
    <w:p w:rsidR="008E7846" w:rsidRDefault="008E7846" w:rsidP="00DE150A">
      <w:pPr>
        <w:pStyle w:val="Heading3"/>
      </w:pPr>
      <w:bookmarkStart w:id="31" w:name="_Toc314842492"/>
      <w:bookmarkStart w:id="32" w:name="_Toc434909877"/>
      <w:r>
        <w:t>Advisory committee considerations</w:t>
      </w:r>
      <w:bookmarkEnd w:id="31"/>
      <w:bookmarkEnd w:id="32"/>
    </w:p>
    <w:p w:rsidR="002D64ED" w:rsidRDefault="00BF490C" w:rsidP="00806140">
      <w:r>
        <w:t>Details of this submission were presented at the 156</w:t>
      </w:r>
      <w:r>
        <w:rPr>
          <w:vertAlign w:val="superscript"/>
        </w:rPr>
        <w:t>th</w:t>
      </w:r>
      <w:r>
        <w:t xml:space="preserve"> meeting of </w:t>
      </w:r>
      <w:r w:rsidR="00E07105">
        <w:t>the TGA’s Pharmaceutical Subcommittee (</w:t>
      </w:r>
      <w:r>
        <w:t>PSC</w:t>
      </w:r>
      <w:r w:rsidR="00E07105">
        <w:t>)</w:t>
      </w:r>
      <w:r>
        <w:t xml:space="preserve"> in May 2014.</w:t>
      </w:r>
      <w:r w:rsidR="000325C5">
        <w:t xml:space="preserve"> </w:t>
      </w:r>
      <w:r>
        <w:t xml:space="preserve">This was after the first round evaluation but before the </w:t>
      </w:r>
      <w:r w:rsidR="00E07105">
        <w:t>sponsor’s response to the TGA’s consolidated request for further information</w:t>
      </w:r>
      <w:r>
        <w:t xml:space="preserve"> was received. Based on the first round report the PSC advised that the differences between the proposed drug substance and the innovator’s product (less </w:t>
      </w:r>
      <w:proofErr w:type="spellStart"/>
      <w:r>
        <w:t>titratable</w:t>
      </w:r>
      <w:proofErr w:type="spellEnd"/>
      <w:r>
        <w:t xml:space="preserve"> amines and increased cross-linking) suggest the proposed drug substance is therefore different from the proposed USP monograph.</w:t>
      </w:r>
      <w:r w:rsidR="000325C5">
        <w:t xml:space="preserve"> </w:t>
      </w:r>
      <w:r>
        <w:t>The PSC also agreed with the evaluator that there were concerns with the conduct of the phosphate binding study</w:t>
      </w:r>
      <w:r w:rsidR="002D64ED">
        <w:t>.</w:t>
      </w:r>
    </w:p>
    <w:p w:rsidR="00700987" w:rsidRDefault="00E07105" w:rsidP="00723EFB">
      <w:pPr>
        <w:pStyle w:val="Heading4"/>
      </w:pPr>
      <w:r>
        <w:lastRenderedPageBreak/>
        <w:t>Recommendation No 2347</w:t>
      </w:r>
    </w:p>
    <w:p w:rsidR="00700987" w:rsidRPr="00E07105" w:rsidRDefault="00700987" w:rsidP="00E07105">
      <w:pPr>
        <w:rPr>
          <w:i/>
        </w:rPr>
      </w:pPr>
      <w:r w:rsidRPr="00E07105">
        <w:rPr>
          <w:i/>
        </w:rPr>
        <w:t xml:space="preserve">The PSC considered the submission by Generic Partners Pty Ltd to register </w:t>
      </w:r>
      <w:proofErr w:type="spellStart"/>
      <w:r w:rsidR="00E07105" w:rsidRPr="00E07105">
        <w:rPr>
          <w:i/>
        </w:rPr>
        <w:t>Sevelamer</w:t>
      </w:r>
      <w:proofErr w:type="spellEnd"/>
      <w:r w:rsidR="00E07105" w:rsidRPr="00E07105">
        <w:rPr>
          <w:i/>
        </w:rPr>
        <w:t xml:space="preserve"> GPPL, </w:t>
      </w:r>
      <w:proofErr w:type="spellStart"/>
      <w:r w:rsidR="00E07105" w:rsidRPr="00E07105">
        <w:rPr>
          <w:i/>
        </w:rPr>
        <w:t>Sevelamer</w:t>
      </w:r>
      <w:proofErr w:type="spellEnd"/>
      <w:r w:rsidR="00E07105" w:rsidRPr="00E07105">
        <w:rPr>
          <w:i/>
        </w:rPr>
        <w:t xml:space="preserve"> GXP, </w:t>
      </w:r>
      <w:proofErr w:type="spellStart"/>
      <w:r w:rsidR="00E07105" w:rsidRPr="00E07105">
        <w:rPr>
          <w:i/>
        </w:rPr>
        <w:t>Sevelam</w:t>
      </w:r>
      <w:proofErr w:type="spellEnd"/>
      <w:r w:rsidR="00E07105" w:rsidRPr="00E07105">
        <w:rPr>
          <w:i/>
        </w:rPr>
        <w:t xml:space="preserve">, </w:t>
      </w:r>
      <w:proofErr w:type="spellStart"/>
      <w:r w:rsidR="00E07105" w:rsidRPr="00E07105">
        <w:rPr>
          <w:i/>
        </w:rPr>
        <w:t>Sevlar</w:t>
      </w:r>
      <w:proofErr w:type="spellEnd"/>
      <w:r w:rsidR="00E07105" w:rsidRPr="00E07105">
        <w:rPr>
          <w:i/>
        </w:rPr>
        <w:t>, Apo-</w:t>
      </w:r>
      <w:proofErr w:type="spellStart"/>
      <w:r w:rsidR="00E07105" w:rsidRPr="00E07105">
        <w:rPr>
          <w:i/>
        </w:rPr>
        <w:t>Sevelamer</w:t>
      </w:r>
      <w:proofErr w:type="spellEnd"/>
      <w:r w:rsidR="00E07105" w:rsidRPr="00E07105">
        <w:rPr>
          <w:i/>
        </w:rPr>
        <w:t xml:space="preserve">, </w:t>
      </w:r>
      <w:proofErr w:type="spellStart"/>
      <w:r w:rsidR="00E07105" w:rsidRPr="00E07105">
        <w:rPr>
          <w:i/>
        </w:rPr>
        <w:t>Apotex-Sevelamer</w:t>
      </w:r>
      <w:proofErr w:type="spellEnd"/>
      <w:r w:rsidR="00E07105" w:rsidRPr="00E07105">
        <w:rPr>
          <w:i/>
        </w:rPr>
        <w:t xml:space="preserve">, </w:t>
      </w:r>
      <w:proofErr w:type="spellStart"/>
      <w:r w:rsidR="00E07105" w:rsidRPr="00E07105">
        <w:rPr>
          <w:i/>
        </w:rPr>
        <w:t>Chemmart</w:t>
      </w:r>
      <w:proofErr w:type="spellEnd"/>
      <w:r w:rsidR="00E07105" w:rsidRPr="00E07105">
        <w:rPr>
          <w:i/>
        </w:rPr>
        <w:t xml:space="preserve"> </w:t>
      </w:r>
      <w:proofErr w:type="spellStart"/>
      <w:r w:rsidR="00E07105" w:rsidRPr="00E07105">
        <w:rPr>
          <w:i/>
        </w:rPr>
        <w:t>Sevelamer</w:t>
      </w:r>
      <w:proofErr w:type="spellEnd"/>
      <w:r w:rsidR="00E07105" w:rsidRPr="00E07105">
        <w:rPr>
          <w:i/>
        </w:rPr>
        <w:t xml:space="preserve">, </w:t>
      </w:r>
      <w:proofErr w:type="spellStart"/>
      <w:r w:rsidR="00E07105" w:rsidRPr="00E07105">
        <w:rPr>
          <w:i/>
        </w:rPr>
        <w:t>Genrx</w:t>
      </w:r>
      <w:proofErr w:type="spellEnd"/>
      <w:r w:rsidR="00E07105" w:rsidRPr="00E07105">
        <w:rPr>
          <w:i/>
        </w:rPr>
        <w:t xml:space="preserve"> </w:t>
      </w:r>
      <w:proofErr w:type="spellStart"/>
      <w:r w:rsidR="00E07105" w:rsidRPr="00E07105">
        <w:rPr>
          <w:i/>
        </w:rPr>
        <w:t>Sevelamer</w:t>
      </w:r>
      <w:proofErr w:type="spellEnd"/>
      <w:r w:rsidR="00E07105" w:rsidRPr="00E07105">
        <w:rPr>
          <w:i/>
        </w:rPr>
        <w:t xml:space="preserve"> and Terry White Chemists </w:t>
      </w:r>
      <w:proofErr w:type="spellStart"/>
      <w:r w:rsidR="00E07105" w:rsidRPr="00E07105">
        <w:rPr>
          <w:i/>
        </w:rPr>
        <w:t>Sevelamer</w:t>
      </w:r>
      <w:proofErr w:type="spellEnd"/>
      <w:r w:rsidRPr="00E07105">
        <w:rPr>
          <w:i/>
        </w:rPr>
        <w:t xml:space="preserve"> film coated tablets, containing 400 mg and 800 mg of </w:t>
      </w:r>
      <w:proofErr w:type="spellStart"/>
      <w:r w:rsidRPr="00E07105">
        <w:rPr>
          <w:i/>
        </w:rPr>
        <w:t>sevelamer</w:t>
      </w:r>
      <w:proofErr w:type="spellEnd"/>
      <w:r w:rsidRPr="00E07105">
        <w:rPr>
          <w:i/>
        </w:rPr>
        <w:t xml:space="preserve"> hydrochloride. This is a new generic medicine.</w:t>
      </w:r>
    </w:p>
    <w:p w:rsidR="00700987" w:rsidRPr="00E07105" w:rsidRDefault="00700987" w:rsidP="00E07105">
      <w:pPr>
        <w:rPr>
          <w:i/>
        </w:rPr>
      </w:pPr>
      <w:r w:rsidRPr="00E07105">
        <w:rPr>
          <w:i/>
        </w:rPr>
        <w:t xml:space="preserve">The Committee endorsed the questions raised by the TGA in relation to pharmaceutic and </w:t>
      </w:r>
      <w:proofErr w:type="spellStart"/>
      <w:r w:rsidRPr="00E07105">
        <w:rPr>
          <w:i/>
        </w:rPr>
        <w:t>biopharmaceutic</w:t>
      </w:r>
      <w:proofErr w:type="spellEnd"/>
      <w:r w:rsidRPr="00E07105">
        <w:rPr>
          <w:i/>
        </w:rPr>
        <w:t xml:space="preserve"> aspects of the submission.</w:t>
      </w:r>
    </w:p>
    <w:p w:rsidR="00700987" w:rsidRPr="00E07105" w:rsidRDefault="00700987" w:rsidP="00E07105">
      <w:pPr>
        <w:rPr>
          <w:i/>
        </w:rPr>
      </w:pPr>
      <w:r w:rsidRPr="00E07105">
        <w:rPr>
          <w:i/>
        </w:rPr>
        <w:t xml:space="preserve">The PSC concluded that the proposed submission is not acceptable on </w:t>
      </w:r>
      <w:proofErr w:type="spellStart"/>
      <w:r w:rsidRPr="00E07105">
        <w:rPr>
          <w:i/>
        </w:rPr>
        <w:t>biopharmaceutic</w:t>
      </w:r>
      <w:proofErr w:type="spellEnd"/>
      <w:r w:rsidRPr="00E07105">
        <w:rPr>
          <w:i/>
        </w:rPr>
        <w:t xml:space="preserve"> grounds. The </w:t>
      </w:r>
      <w:proofErr w:type="spellStart"/>
      <w:r w:rsidRPr="00E07105">
        <w:rPr>
          <w:i/>
        </w:rPr>
        <w:t>biopharmaceutic</w:t>
      </w:r>
      <w:proofErr w:type="spellEnd"/>
      <w:r w:rsidRPr="00E07105">
        <w:rPr>
          <w:i/>
        </w:rPr>
        <w:t xml:space="preserve"> characterisation of the drug product suggested differences with the innovator sufficient as to prevent its designation as a generic. In conjunction with the issues with phosphate binding due to the phosphate concentration range chosen for determining maximum phosphate binding capacity in the kinetic studies which failed to provide support for comparability.</w:t>
      </w:r>
    </w:p>
    <w:p w:rsidR="002D64ED" w:rsidRDefault="00700987" w:rsidP="00E07105">
      <w:pPr>
        <w:rPr>
          <w:i/>
        </w:rPr>
      </w:pPr>
      <w:r w:rsidRPr="00E07105">
        <w:rPr>
          <w:i/>
        </w:rPr>
        <w:t>The PSC advised that the absence of data to establish that the innovator product is identical to, or comparable with, the proposed generic product renders this submission unacceptable</w:t>
      </w:r>
      <w:r w:rsidR="002D64ED">
        <w:rPr>
          <w:i/>
        </w:rPr>
        <w:t>.</w:t>
      </w:r>
    </w:p>
    <w:p w:rsidR="00700987" w:rsidRPr="00E07105" w:rsidRDefault="00700987" w:rsidP="00806140">
      <w:pPr>
        <w:rPr>
          <w:i/>
        </w:rPr>
      </w:pPr>
      <w:r w:rsidRPr="00E07105">
        <w:rPr>
          <w:i/>
        </w:rPr>
        <w:t>The PI should be amended to include statements on the following:</w:t>
      </w:r>
    </w:p>
    <w:p w:rsidR="00700987" w:rsidRPr="00E07105" w:rsidRDefault="00700987" w:rsidP="00E07105">
      <w:pPr>
        <w:pStyle w:val="ListBullet"/>
        <w:rPr>
          <w:i/>
        </w:rPr>
      </w:pPr>
      <w:r w:rsidRPr="00E07105">
        <w:rPr>
          <w:i/>
        </w:rPr>
        <w:t xml:space="preserve">A statement on light protection is required as no </w:t>
      </w:r>
      <w:proofErr w:type="spellStart"/>
      <w:r w:rsidRPr="00E07105">
        <w:rPr>
          <w:i/>
        </w:rPr>
        <w:t>photostability</w:t>
      </w:r>
      <w:proofErr w:type="spellEnd"/>
      <w:r w:rsidRPr="00E07105">
        <w:rPr>
          <w:i/>
        </w:rPr>
        <w:t xml:space="preserve"> data are available.</w:t>
      </w:r>
    </w:p>
    <w:p w:rsidR="00700987" w:rsidRPr="00E07105" w:rsidRDefault="00700987" w:rsidP="00E07105">
      <w:pPr>
        <w:pStyle w:val="ListBullet"/>
        <w:rPr>
          <w:i/>
        </w:rPr>
      </w:pPr>
      <w:r w:rsidRPr="00E07105">
        <w:rPr>
          <w:i/>
        </w:rPr>
        <w:t>Many parts of the PI need to be corrected</w:t>
      </w:r>
      <w:r w:rsidR="00E07105" w:rsidRPr="00E07105">
        <w:rPr>
          <w:i/>
        </w:rPr>
        <w:t>:</w:t>
      </w:r>
    </w:p>
    <w:p w:rsidR="00700987" w:rsidRPr="00E07105" w:rsidRDefault="00700987" w:rsidP="00806140">
      <w:pPr>
        <w:pStyle w:val="ListBullet2"/>
        <w:rPr>
          <w:i/>
        </w:rPr>
      </w:pPr>
      <w:r w:rsidRPr="00E07105">
        <w:rPr>
          <w:i/>
        </w:rPr>
        <w:t>Under ‘Description’ remove spaces between numbers and percentage symbols.</w:t>
      </w:r>
    </w:p>
    <w:p w:rsidR="00700987" w:rsidRPr="00E07105" w:rsidRDefault="00700987" w:rsidP="00806140">
      <w:pPr>
        <w:pStyle w:val="ListBullet2"/>
        <w:rPr>
          <w:i/>
        </w:rPr>
      </w:pPr>
      <w:r w:rsidRPr="00E07105">
        <w:rPr>
          <w:i/>
        </w:rPr>
        <w:t>Under ‘Mechanism of Action’, third paragraph, should read 4.46 (</w:t>
      </w:r>
      <w:proofErr w:type="spellStart"/>
      <w:r w:rsidRPr="00E07105">
        <w:rPr>
          <w:i/>
        </w:rPr>
        <w:t>mmol</w:t>
      </w:r>
      <w:proofErr w:type="spellEnd"/>
      <w:r w:rsidRPr="00E07105">
        <w:rPr>
          <w:i/>
        </w:rPr>
        <w:t>/L</w:t>
      </w:r>
      <w:proofErr w:type="gramStart"/>
      <w:r w:rsidRPr="00E07105">
        <w:rPr>
          <w:i/>
        </w:rPr>
        <w:t>)</w:t>
      </w:r>
      <w:r w:rsidRPr="00586D85">
        <w:rPr>
          <w:i/>
          <w:vertAlign w:val="superscript"/>
        </w:rPr>
        <w:t>2</w:t>
      </w:r>
      <w:proofErr w:type="gramEnd"/>
      <w:r w:rsidRPr="00E07105">
        <w:rPr>
          <w:i/>
        </w:rPr>
        <w:t>, i.e., use a superscript for the square notation.</w:t>
      </w:r>
    </w:p>
    <w:p w:rsidR="00700987" w:rsidRPr="00E07105" w:rsidRDefault="00700987" w:rsidP="00806140">
      <w:pPr>
        <w:pStyle w:val="ListBullet"/>
        <w:rPr>
          <w:i/>
        </w:rPr>
      </w:pPr>
      <w:r w:rsidRPr="00E07105">
        <w:rPr>
          <w:i/>
        </w:rPr>
        <w:t>The Figure 2 caption should be locked with the figure on the same page.</w:t>
      </w:r>
    </w:p>
    <w:p w:rsidR="00700987" w:rsidRPr="00E07105" w:rsidRDefault="00700987" w:rsidP="00806140">
      <w:pPr>
        <w:pStyle w:val="ListBullet"/>
        <w:rPr>
          <w:i/>
        </w:rPr>
      </w:pPr>
      <w:r w:rsidRPr="00E07105">
        <w:rPr>
          <w:i/>
        </w:rPr>
        <w:t>Page 4 of 13, ‘800’ and ‘mg’ should be locked together on the same line.</w:t>
      </w:r>
    </w:p>
    <w:p w:rsidR="00700987" w:rsidRPr="00E07105" w:rsidRDefault="00700987" w:rsidP="00806140">
      <w:pPr>
        <w:pStyle w:val="ListBullet"/>
        <w:rPr>
          <w:i/>
        </w:rPr>
      </w:pPr>
      <w:r w:rsidRPr="00E07105">
        <w:rPr>
          <w:i/>
        </w:rPr>
        <w:t>Page 7 of 13, 4.5’ and ‘g/kg/day’ should be locked together on the same line.</w:t>
      </w:r>
    </w:p>
    <w:p w:rsidR="00700987" w:rsidRPr="00E07105" w:rsidRDefault="00700987" w:rsidP="00806140">
      <w:pPr>
        <w:pStyle w:val="ListBullet"/>
        <w:rPr>
          <w:i/>
        </w:rPr>
      </w:pPr>
      <w:r w:rsidRPr="00E07105">
        <w:rPr>
          <w:i/>
        </w:rPr>
        <w:t>Page 8 of 13, for consistency, if ‘in vitro’ is in italics (preferred) then so should ‘in vivo’.</w:t>
      </w:r>
    </w:p>
    <w:p w:rsidR="00700987" w:rsidRPr="00E07105" w:rsidRDefault="00700987" w:rsidP="00806140">
      <w:pPr>
        <w:pStyle w:val="ListBullet"/>
        <w:rPr>
          <w:i/>
        </w:rPr>
      </w:pPr>
      <w:r w:rsidRPr="00E07105">
        <w:rPr>
          <w:i/>
        </w:rPr>
        <w:t xml:space="preserve">Page 12 of </w:t>
      </w:r>
      <w:proofErr w:type="gramStart"/>
      <w:r w:rsidRPr="00E07105">
        <w:rPr>
          <w:i/>
        </w:rPr>
        <w:t>13,</w:t>
      </w:r>
      <w:proofErr w:type="gramEnd"/>
      <w:r w:rsidRPr="00E07105">
        <w:rPr>
          <w:i/>
        </w:rPr>
        <w:t xml:space="preserve"> lock ‘800’ and ‘mg’ together on the same line, lock ‘8’ and ‘days’ together on the same line.</w:t>
      </w:r>
    </w:p>
    <w:p w:rsidR="00700987" w:rsidRPr="00E07105" w:rsidRDefault="00700987" w:rsidP="00806140">
      <w:pPr>
        <w:rPr>
          <w:i/>
        </w:rPr>
      </w:pPr>
      <w:r w:rsidRPr="00E07105">
        <w:rPr>
          <w:i/>
        </w:rPr>
        <w:t xml:space="preserve">The PSC is of the view that the </w:t>
      </w:r>
      <w:proofErr w:type="spellStart"/>
      <w:r w:rsidRPr="00E07105">
        <w:rPr>
          <w:i/>
        </w:rPr>
        <w:t>pKa</w:t>
      </w:r>
      <w:proofErr w:type="spellEnd"/>
      <w:r w:rsidRPr="00E07105">
        <w:rPr>
          <w:i/>
        </w:rPr>
        <w:t xml:space="preserve"> should always be included in the chemistry section or product description whenever the </w:t>
      </w:r>
      <w:proofErr w:type="spellStart"/>
      <w:r w:rsidRPr="00E07105">
        <w:rPr>
          <w:i/>
        </w:rPr>
        <w:t>pKa</w:t>
      </w:r>
      <w:proofErr w:type="spellEnd"/>
      <w:r w:rsidRPr="00E07105">
        <w:rPr>
          <w:i/>
        </w:rPr>
        <w:t xml:space="preserve"> is of physiological relevance.</w:t>
      </w:r>
    </w:p>
    <w:p w:rsidR="008E7846" w:rsidRPr="008751DC" w:rsidRDefault="00806140" w:rsidP="00723EFB">
      <w:pPr>
        <w:pStyle w:val="Heading3"/>
      </w:pPr>
      <w:bookmarkStart w:id="33" w:name="_Toc247691509"/>
      <w:bookmarkStart w:id="34" w:name="_Toc314842493"/>
      <w:bookmarkStart w:id="35" w:name="_Toc434909878"/>
      <w:r>
        <w:t>Q</w:t>
      </w:r>
      <w:r w:rsidR="008E7846">
        <w:t>uality s</w:t>
      </w:r>
      <w:r w:rsidR="008E7846" w:rsidRPr="008751DC">
        <w:t>ummary</w:t>
      </w:r>
      <w:r w:rsidR="008E7846">
        <w:t xml:space="preserve"> and conclusions</w:t>
      </w:r>
      <w:bookmarkEnd w:id="33"/>
      <w:bookmarkEnd w:id="34"/>
      <w:bookmarkEnd w:id="35"/>
    </w:p>
    <w:p w:rsidR="00BF490C" w:rsidRDefault="00BF490C" w:rsidP="00723EFB">
      <w:pPr>
        <w:rPr>
          <w:rFonts w:ascii="Times New Roman" w:hAnsi="Times New Roman"/>
          <w:sz w:val="24"/>
        </w:rPr>
      </w:pPr>
      <w:r>
        <w:t>The drug substance is a cross-linked polymer and the extent of cross-linking is very sensitive to the manufacturing conditions, which makes it difficult to match the relevant therapeutic properties of the drug substance between different manufacturers.</w:t>
      </w:r>
    </w:p>
    <w:p w:rsidR="00BF490C" w:rsidRDefault="00BF490C" w:rsidP="00723EFB">
      <w:r>
        <w:t xml:space="preserve">The level of total </w:t>
      </w:r>
      <w:proofErr w:type="spellStart"/>
      <w:r>
        <w:t>titratable</w:t>
      </w:r>
      <w:proofErr w:type="spellEnd"/>
      <w:r>
        <w:t xml:space="preserve"> amines in the drug substance is a surrogate assay parameter and also provides an indirect measure of its phosphate binding capacity.</w:t>
      </w:r>
      <w:r w:rsidR="000325C5">
        <w:t xml:space="preserve"> </w:t>
      </w:r>
      <w:r>
        <w:t xml:space="preserve">The most recently proposed </w:t>
      </w:r>
      <w:proofErr w:type="spellStart"/>
      <w:r>
        <w:t>titratable</w:t>
      </w:r>
      <w:proofErr w:type="spellEnd"/>
      <w:r>
        <w:t xml:space="preserve"> amine limit for the drug substance (and drug product) is </w:t>
      </w:r>
      <w:proofErr w:type="gramStart"/>
      <w:r>
        <w:t>9.6</w:t>
      </w:r>
      <w:r w:rsidR="00E07105">
        <w:t xml:space="preserve"> to </w:t>
      </w:r>
      <w:r>
        <w:t xml:space="preserve">12.9 </w:t>
      </w:r>
      <w:proofErr w:type="spellStart"/>
      <w:r>
        <w:t>mmol</w:t>
      </w:r>
      <w:proofErr w:type="spellEnd"/>
      <w:r>
        <w:t>/g</w:t>
      </w:r>
      <w:proofErr w:type="gramEnd"/>
      <w:r>
        <w:t>.</w:t>
      </w:r>
      <w:r w:rsidR="000325C5">
        <w:t xml:space="preserve"> </w:t>
      </w:r>
      <w:r>
        <w:t xml:space="preserve">The proposed limit is looser that that specified in the draft USP drug substance monograph </w:t>
      </w:r>
      <w:proofErr w:type="gramStart"/>
      <w:r>
        <w:t>(11.3</w:t>
      </w:r>
      <w:r w:rsidR="00E07105">
        <w:t xml:space="preserve"> to </w:t>
      </w:r>
      <w:r>
        <w:t xml:space="preserve">14.1 </w:t>
      </w:r>
      <w:proofErr w:type="spellStart"/>
      <w:r>
        <w:t>mmol</w:t>
      </w:r>
      <w:proofErr w:type="spellEnd"/>
      <w:r>
        <w:t>/g)</w:t>
      </w:r>
      <w:proofErr w:type="gramEnd"/>
      <w:r>
        <w:t>.</w:t>
      </w:r>
      <w:r w:rsidR="000325C5">
        <w:t xml:space="preserve"> </w:t>
      </w:r>
      <w:r>
        <w:t>This indicates that the proposed drug substance may have fewer free amine sites, compared with the innovator drug substance capable of functioning in an ion-exchange capacity</w:t>
      </w:r>
      <w:r w:rsidR="002D64ED">
        <w:t xml:space="preserve">. </w:t>
      </w:r>
      <w:r w:rsidR="00B94B54">
        <w:t>.</w:t>
      </w:r>
      <w:bookmarkStart w:id="36" w:name="_Ref432494376"/>
      <w:r w:rsidR="00B94B54">
        <w:rPr>
          <w:rStyle w:val="FootnoteReference"/>
        </w:rPr>
        <w:footnoteReference w:id="6"/>
      </w:r>
      <w:bookmarkEnd w:id="36"/>
      <w:r>
        <w:t xml:space="preserve">In the absence of an acceptable phosphate binding study and a clinical study using the proposed generic, the differences in </w:t>
      </w:r>
      <w:r>
        <w:lastRenderedPageBreak/>
        <w:t xml:space="preserve">the </w:t>
      </w:r>
      <w:proofErr w:type="spellStart"/>
      <w:r>
        <w:t>titrable</w:t>
      </w:r>
      <w:proofErr w:type="spellEnd"/>
      <w:r>
        <w:t xml:space="preserve"> amines in the drug substances in the proposed generic and innovator products may impact on the efficacy of the proposed generic product.</w:t>
      </w:r>
    </w:p>
    <w:p w:rsidR="00BF490C" w:rsidRPr="00DC5E9C" w:rsidRDefault="00BF490C" w:rsidP="00DC5E9C">
      <w:pPr>
        <w:shd w:val="clear" w:color="auto" w:fill="FFFFFF" w:themeFill="background1"/>
      </w:pPr>
      <w:r>
        <w:t>The swell index of the drug substance is proportional to the extent of cross-linking, which is inversely related to the free amine content.</w:t>
      </w:r>
      <w:r w:rsidR="000325C5">
        <w:t xml:space="preserve"> </w:t>
      </w:r>
      <w:r>
        <w:t>The free amine content is directly related to the drug substance phosphate binding capacity.</w:t>
      </w:r>
      <w:r w:rsidR="000325C5">
        <w:t xml:space="preserve"> </w:t>
      </w:r>
      <w:r>
        <w:t>Consequently, the swell index limit for the proposed drug substance should be aligned with the limit for the innovator product.</w:t>
      </w:r>
      <w:r w:rsidR="000325C5">
        <w:t xml:space="preserve"> </w:t>
      </w:r>
      <w:r>
        <w:t>The most recently proposed swell index limit for the drug substance is 6.9</w:t>
      </w:r>
      <w:r w:rsidR="00E07105">
        <w:t xml:space="preserve"> to </w:t>
      </w:r>
      <w:r>
        <w:t>9.4.</w:t>
      </w:r>
      <w:r w:rsidR="000325C5">
        <w:t xml:space="preserve"> </w:t>
      </w:r>
      <w:r>
        <w:t xml:space="preserve">The limit </w:t>
      </w:r>
      <w:r w:rsidRPr="00DC5E9C">
        <w:t>specified in the draft USP monograph is 6.2</w:t>
      </w:r>
      <w:r w:rsidR="00E07105" w:rsidRPr="00DC5E9C">
        <w:t xml:space="preserve"> to </w:t>
      </w:r>
      <w:r w:rsidRPr="00DC5E9C">
        <w:t>8.4</w:t>
      </w:r>
      <w:r w:rsidR="00901EB1" w:rsidRPr="00DC5E9C">
        <w:t>.</w:t>
      </w:r>
      <w:r w:rsidR="00B94B54" w:rsidRPr="00DC5E9C">
        <w:rPr>
          <w:vertAlign w:val="superscript"/>
        </w:rPr>
        <w:fldChar w:fldCharType="begin"/>
      </w:r>
      <w:r w:rsidR="00B94B54" w:rsidRPr="00DC5E9C">
        <w:rPr>
          <w:vertAlign w:val="superscript"/>
        </w:rPr>
        <w:instrText xml:space="preserve"> NOTEREF _Ref432494376 \h  \* MERGEFORMAT </w:instrText>
      </w:r>
      <w:r w:rsidR="00B94B54" w:rsidRPr="00DC5E9C">
        <w:rPr>
          <w:vertAlign w:val="superscript"/>
        </w:rPr>
      </w:r>
      <w:r w:rsidR="00B94B54" w:rsidRPr="00DC5E9C">
        <w:rPr>
          <w:vertAlign w:val="superscript"/>
        </w:rPr>
        <w:fldChar w:fldCharType="separate"/>
      </w:r>
      <w:r w:rsidR="00DC5E9C">
        <w:rPr>
          <w:vertAlign w:val="superscript"/>
        </w:rPr>
        <w:t>6</w:t>
      </w:r>
      <w:r w:rsidR="00B94B54" w:rsidRPr="00DC5E9C">
        <w:rPr>
          <w:vertAlign w:val="superscript"/>
        </w:rPr>
        <w:fldChar w:fldCharType="end"/>
      </w:r>
    </w:p>
    <w:p w:rsidR="002D64ED" w:rsidRDefault="00BF490C" w:rsidP="00DC5E9C">
      <w:pPr>
        <w:shd w:val="clear" w:color="auto" w:fill="FFFFFF" w:themeFill="background1"/>
      </w:pPr>
      <w:r w:rsidRPr="00DC5E9C">
        <w:t>Approval</w:t>
      </w:r>
      <w:r w:rsidR="00901EB1" w:rsidRPr="00DC5E9C">
        <w:t xml:space="preserve"> wa</w:t>
      </w:r>
      <w:r w:rsidRPr="00DC5E9C">
        <w:t>s not recommended for this submission as the drug substance in the proposed generic product is different to that in the innovator product and no bridging efficacy study has been performed to alleviate the concern regarding the impact of the difference in drug substances on the efficacy of the generic medicine</w:t>
      </w:r>
      <w:r w:rsidR="002D64ED">
        <w:t>.</w:t>
      </w:r>
    </w:p>
    <w:p w:rsidR="008E7846" w:rsidRDefault="008E7846" w:rsidP="008E7846">
      <w:pPr>
        <w:pStyle w:val="Heading2"/>
      </w:pPr>
      <w:bookmarkStart w:id="37" w:name="_Toc196046439"/>
      <w:bookmarkStart w:id="38" w:name="_Toc247691510"/>
      <w:bookmarkStart w:id="39" w:name="_Toc314842494"/>
      <w:bookmarkStart w:id="40" w:name="_Toc434909879"/>
      <w:r>
        <w:t>III. Nonclinical</w:t>
      </w:r>
      <w:bookmarkEnd w:id="37"/>
      <w:r>
        <w:t xml:space="preserve"> findings</w:t>
      </w:r>
      <w:bookmarkEnd w:id="38"/>
      <w:bookmarkEnd w:id="39"/>
      <w:bookmarkEnd w:id="40"/>
    </w:p>
    <w:p w:rsidR="00940A89" w:rsidRDefault="00940A89" w:rsidP="000E6196">
      <w:bookmarkStart w:id="41" w:name="_Toc247691511"/>
      <w:bookmarkStart w:id="42" w:name="_Toc314842495"/>
      <w:r>
        <w:t>There was no requirement for a nonclinical evaluation in a submission of this type.</w:t>
      </w:r>
    </w:p>
    <w:p w:rsidR="008E7846" w:rsidRPr="00254787" w:rsidRDefault="008E7846" w:rsidP="008E7846">
      <w:pPr>
        <w:pStyle w:val="Heading2"/>
      </w:pPr>
      <w:bookmarkStart w:id="43" w:name="_Toc196046462"/>
      <w:bookmarkStart w:id="44" w:name="_Toc247691516"/>
      <w:bookmarkStart w:id="45" w:name="_Toc314842500"/>
      <w:bookmarkStart w:id="46" w:name="_Toc163441353"/>
      <w:bookmarkStart w:id="47" w:name="_Toc163441348"/>
      <w:bookmarkStart w:id="48" w:name="_Toc434909880"/>
      <w:bookmarkEnd w:id="41"/>
      <w:bookmarkEnd w:id="42"/>
      <w:r>
        <w:t xml:space="preserve">IV. </w:t>
      </w:r>
      <w:r w:rsidRPr="00254787">
        <w:t>Clinical</w:t>
      </w:r>
      <w:bookmarkEnd w:id="43"/>
      <w:r>
        <w:t xml:space="preserve"> </w:t>
      </w:r>
      <w:r w:rsidR="003A7F6C">
        <w:t>f</w:t>
      </w:r>
      <w:r>
        <w:t>indings</w:t>
      </w:r>
      <w:bookmarkEnd w:id="44"/>
      <w:bookmarkEnd w:id="45"/>
      <w:bookmarkEnd w:id="48"/>
    </w:p>
    <w:p w:rsidR="00C80137" w:rsidRDefault="00C80137" w:rsidP="00D425BB">
      <w:bookmarkStart w:id="49" w:name="_Toc196046463"/>
      <w:r>
        <w:t xml:space="preserve">A summary of the </w:t>
      </w:r>
      <w:r w:rsidRPr="00FD70B8">
        <w:t xml:space="preserve">clinical findings is presented in this section. </w:t>
      </w:r>
      <w:r>
        <w:t xml:space="preserve">Further details of these </w:t>
      </w:r>
      <w:r w:rsidRPr="00FD70B8">
        <w:t>clinical findings can be found in Attachment 2.</w:t>
      </w:r>
    </w:p>
    <w:p w:rsidR="008E7846" w:rsidRDefault="008E7846" w:rsidP="008E7846">
      <w:pPr>
        <w:pStyle w:val="Heading3"/>
      </w:pPr>
      <w:bookmarkStart w:id="50" w:name="_Toc247691517"/>
      <w:bookmarkStart w:id="51" w:name="_Toc314842501"/>
      <w:bookmarkStart w:id="52" w:name="_Toc434909881"/>
      <w:r w:rsidRPr="00254787">
        <w:t>Introduction</w:t>
      </w:r>
      <w:bookmarkEnd w:id="49"/>
      <w:bookmarkEnd w:id="50"/>
      <w:bookmarkEnd w:id="51"/>
      <w:bookmarkEnd w:id="52"/>
    </w:p>
    <w:p w:rsidR="00605AD4" w:rsidRPr="00E07105" w:rsidRDefault="00605AD4" w:rsidP="00E07105">
      <w:pPr>
        <w:pStyle w:val="Heading4"/>
      </w:pPr>
      <w:bookmarkStart w:id="53" w:name="_Toc196046464"/>
      <w:bookmarkStart w:id="54" w:name="_Toc247691518"/>
      <w:bookmarkStart w:id="55" w:name="_Toc314842502"/>
      <w:r w:rsidRPr="00605AD4">
        <w:t>Clinical Rationale</w:t>
      </w:r>
    </w:p>
    <w:p w:rsidR="002D64ED" w:rsidRDefault="00DF3731" w:rsidP="00DF3731">
      <w:r>
        <w:t>Chronic kidney disease is defined as either kidney damage or glomerular filtration rate (GFR) &lt;60 mL/min/m</w:t>
      </w:r>
      <w:r>
        <w:rPr>
          <w:vertAlign w:val="superscript"/>
        </w:rPr>
        <w:t xml:space="preserve">2 </w:t>
      </w:r>
      <w:r>
        <w:t xml:space="preserve">for ≥ 3 months. The National Kidney Foundation Kidney Disease Outcomes Quality Initiative (KDOQI) definitions of the stages of chronic kidney disease are presented in Table </w:t>
      </w:r>
      <w:r w:rsidR="00D91930">
        <w:t>1</w:t>
      </w:r>
      <w:r>
        <w:t xml:space="preserve"> below</w:t>
      </w:r>
      <w:r w:rsidR="002D64ED">
        <w:t>.</w:t>
      </w:r>
    </w:p>
    <w:p w:rsidR="00DF3731" w:rsidRDefault="00DF3731" w:rsidP="00E07105">
      <w:pPr>
        <w:pStyle w:val="TableTitle"/>
      </w:pPr>
      <w:bookmarkStart w:id="56" w:name="_Toc386528436"/>
      <w:r>
        <w:t xml:space="preserve">Table </w:t>
      </w:r>
      <w:r w:rsidR="00D91930">
        <w:t>1</w:t>
      </w:r>
      <w:r w:rsidR="00E07105">
        <w:t>:</w:t>
      </w:r>
      <w:r>
        <w:t xml:space="preserve"> Stages of Chronic Kidney Disease</w:t>
      </w:r>
      <w:bookmarkEnd w:id="56"/>
      <w:r>
        <w:t xml:space="preserve"> </w:t>
      </w:r>
    </w:p>
    <w:tbl>
      <w:tblPr>
        <w:tblStyle w:val="TableTGAblue"/>
        <w:tblW w:w="8505" w:type="dxa"/>
        <w:tblInd w:w="108" w:type="dxa"/>
        <w:tblLook w:val="04A0" w:firstRow="1" w:lastRow="0" w:firstColumn="1" w:lastColumn="0" w:noHBand="0" w:noVBand="1"/>
      </w:tblPr>
      <w:tblGrid>
        <w:gridCol w:w="1049"/>
        <w:gridCol w:w="4499"/>
        <w:gridCol w:w="2957"/>
      </w:tblGrid>
      <w:tr w:rsidR="00DF3731" w:rsidTr="00EA04BB">
        <w:trPr>
          <w:cnfStyle w:val="100000000000" w:firstRow="1" w:lastRow="0" w:firstColumn="0" w:lastColumn="0" w:oddVBand="0" w:evenVBand="0" w:oddHBand="0" w:evenHBand="0" w:firstRowFirstColumn="0" w:firstRowLastColumn="0" w:lastRowFirstColumn="0" w:lastRowLastColumn="0"/>
        </w:trPr>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Stage</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Description</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GFR (mL/min/1.73 m</w:t>
            </w:r>
            <w:r w:rsidRPr="00E07105">
              <w:rPr>
                <w:sz w:val="20"/>
                <w:szCs w:val="20"/>
                <w:vertAlign w:val="superscript"/>
              </w:rPr>
              <w:t>2</w:t>
            </w:r>
            <w:r w:rsidRPr="00E07105">
              <w:rPr>
                <w:sz w:val="20"/>
                <w:szCs w:val="20"/>
              </w:rPr>
              <w:t>)</w:t>
            </w:r>
          </w:p>
        </w:tc>
      </w:tr>
      <w:tr w:rsidR="00DF3731" w:rsidTr="00EA04BB">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1</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Kidney damage with normal or increased GFR</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 90</w:t>
            </w:r>
          </w:p>
        </w:tc>
      </w:tr>
      <w:tr w:rsidR="00DF3731" w:rsidTr="00EA04BB">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2</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Kidney damage with mildly decreased GFR</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60-89</w:t>
            </w:r>
          </w:p>
        </w:tc>
      </w:tr>
      <w:tr w:rsidR="00DF3731" w:rsidTr="00EA04BB">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3</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Moderately decreased GFR</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30 - 59</w:t>
            </w:r>
          </w:p>
        </w:tc>
      </w:tr>
      <w:tr w:rsidR="00DF3731" w:rsidTr="00EA04BB">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4</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Severely decreased GFR</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15 - 29</w:t>
            </w:r>
          </w:p>
        </w:tc>
      </w:tr>
      <w:tr w:rsidR="00DF3731" w:rsidTr="00EA04BB">
        <w:tc>
          <w:tcPr>
            <w:tcW w:w="104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5</w:t>
            </w:r>
          </w:p>
        </w:tc>
        <w:tc>
          <w:tcPr>
            <w:tcW w:w="4499"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Kidney failure</w:t>
            </w:r>
          </w:p>
        </w:tc>
        <w:tc>
          <w:tcPr>
            <w:tcW w:w="2957" w:type="dxa"/>
            <w:hideMark/>
          </w:tcPr>
          <w:p w:rsidR="00DF3731" w:rsidRPr="00E07105" w:rsidRDefault="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rPr>
                <w:kern w:val="16"/>
                <w:sz w:val="20"/>
                <w:szCs w:val="20"/>
              </w:rPr>
            </w:pPr>
            <w:r w:rsidRPr="00E07105">
              <w:rPr>
                <w:sz w:val="20"/>
                <w:szCs w:val="20"/>
              </w:rPr>
              <w:t>&lt;15 (or dialysis)</w:t>
            </w:r>
          </w:p>
        </w:tc>
      </w:tr>
    </w:tbl>
    <w:p w:rsidR="00DF3731" w:rsidRDefault="00DF3731" w:rsidP="00843608">
      <w:r>
        <w:t>Apart from GFR, other renal functions that may be affected by chronic kidney disease include action as a filtration barrier to proteins, reabsorption or secretion of water or specific solutes and various endocrine functions. For example renal failure may cause parathyroid hormone excess and/or Vitamin D deficiency with resultant bone disease.</w:t>
      </w:r>
    </w:p>
    <w:p w:rsidR="00DF3731" w:rsidRDefault="00DF3731" w:rsidP="00843608">
      <w:r>
        <w:t xml:space="preserve">Sixty to 70% of intestinal phosphate is absorbed in the gut by two processes: passive diffusion across an electrochemical gradient between cells and via a </w:t>
      </w:r>
      <w:proofErr w:type="spellStart"/>
      <w:r>
        <w:t>transcellular</w:t>
      </w:r>
      <w:proofErr w:type="spellEnd"/>
      <w:r>
        <w:t xml:space="preserve"> </w:t>
      </w:r>
      <w:r w:rsidR="00843608">
        <w:t>sodium ion (</w:t>
      </w:r>
      <w:r>
        <w:t>Na+</w:t>
      </w:r>
      <w:r w:rsidR="00843608">
        <w:t>)</w:t>
      </w:r>
      <w:r>
        <w:t xml:space="preserve"> dependent pathway via a co-transporter. Sixty to 70% of ingested phosphate is </w:t>
      </w:r>
      <w:r>
        <w:lastRenderedPageBreak/>
        <w:t xml:space="preserve">absorbed in the duodenum and jejunum and 30 </w:t>
      </w:r>
      <w:r w:rsidR="00843608">
        <w:t xml:space="preserve">to </w:t>
      </w:r>
      <w:r>
        <w:t>40% in the ileum. Serum phosphorus levels are higher in individuals with decreased renal function and there is evidence to suggest that serum phosphorus levels become abnormal in some patients at a GFR below approximately 60 mL/min/1.73 m</w:t>
      </w:r>
      <w:r>
        <w:rPr>
          <w:vertAlign w:val="superscript"/>
        </w:rPr>
        <w:t>2</w:t>
      </w:r>
      <w:r>
        <w:t>.</w:t>
      </w:r>
    </w:p>
    <w:p w:rsidR="00DF3731" w:rsidRDefault="00DF3731" w:rsidP="00DF3731">
      <w:proofErr w:type="spellStart"/>
      <w:r>
        <w:t>Hyperphosphataemia</w:t>
      </w:r>
      <w:proofErr w:type="spellEnd"/>
      <w:r>
        <w:t xml:space="preserve"> is largely asymptomatic even at high levels. In patients with chronic kidney disease it tends to be chronic.</w:t>
      </w:r>
      <w:r w:rsidR="000325C5">
        <w:t xml:space="preserve"> </w:t>
      </w:r>
      <w:r>
        <w:t>Haemodialysis can remove phosphorus from the serum.</w:t>
      </w:r>
      <w:r w:rsidR="000325C5">
        <w:t xml:space="preserve"> </w:t>
      </w:r>
      <w:r>
        <w:t>Approximately 1000 mg of phosphorus can be removed per 4 h treatment with blood and dialysate flows of 300 mL/min and 500 mL/min respectively.</w:t>
      </w:r>
      <w:r w:rsidR="00B653C1">
        <w:rPr>
          <w:rStyle w:val="FootnoteReference"/>
        </w:rPr>
        <w:footnoteReference w:id="7"/>
      </w:r>
      <w:r>
        <w:t xml:space="preserve"> Most removal occurs early in dialysis.</w:t>
      </w:r>
    </w:p>
    <w:p w:rsidR="00DF3731" w:rsidRDefault="00DF3731" w:rsidP="00DF3731">
      <w:r>
        <w:t>Phosphate is a major mineral component of bone and excess phosphate alters bone pathology by several mechanisms. Phosphate complexes with serum calcium, leading to subnormal serum ionised calcium levels. The lowered calcium stimulates parathyroid hormone release (secondary hyperparathyroidism), as do high phosphate levels alone.</w:t>
      </w:r>
      <w:r w:rsidR="000325C5">
        <w:t xml:space="preserve"> </w:t>
      </w:r>
      <w:r>
        <w:t>Elevated parathyroid hormone levels result in high bone turnover, releasing calcium to normalise the calcium-phosphate imbalance.</w:t>
      </w:r>
    </w:p>
    <w:p w:rsidR="00DF3731" w:rsidRDefault="00DF3731" w:rsidP="00DF3731">
      <w:r>
        <w:t>High phosphate levels also inhibit renal alpha-1 hydroxylase which produces activated Vitamin D. Decreased activated Vitamin D reduces calcium absorption from the gut, decreased renal reabsorption of calcium and impaired bone mineralisation. This is manifest by bone pain and fractures.</w:t>
      </w:r>
    </w:p>
    <w:p w:rsidR="00DF3731" w:rsidRDefault="00DF3731" w:rsidP="00DF3731">
      <w:r>
        <w:t xml:space="preserve">Patients with kidney failure and uncontrolled </w:t>
      </w:r>
      <w:proofErr w:type="spellStart"/>
      <w:r>
        <w:t>hyperphosphataemia</w:t>
      </w:r>
      <w:proofErr w:type="spellEnd"/>
      <w:r>
        <w:t xml:space="preserve"> also develop extensive soft tissue calcifications including in the skin, joints and the eye.</w:t>
      </w:r>
    </w:p>
    <w:p w:rsidR="002D64ED" w:rsidRDefault="00DF3731" w:rsidP="00DF3731">
      <w:r>
        <w:t xml:space="preserve">Vascular calcification is a cause of significant morbidity and mortality as a consequence of chronic uncontrolled </w:t>
      </w:r>
      <w:proofErr w:type="spellStart"/>
      <w:r>
        <w:t>hyperphosphataemia</w:t>
      </w:r>
      <w:proofErr w:type="spellEnd"/>
      <w:r>
        <w:t>. All types of blood vessels as well as the valves and conducting system of the heart can be involved</w:t>
      </w:r>
      <w:r w:rsidR="002D64ED">
        <w:t>.</w:t>
      </w:r>
    </w:p>
    <w:p w:rsidR="00DF3731" w:rsidRDefault="00DF3731" w:rsidP="00DF3731">
      <w:r>
        <w:t>Although dietary restrictions can be useful, additional measures may be required in patients with advanced kidney disease. Phosphate binders have been used to reduce serum phosphate. Phosphate binders containing calcium salts largely replaced aluminium containing products because of the toxicity from absorbed aluminium. However the calcium containing salts have the disadvantage of providing additional calcium and unwanted calcification from absorbed calcium.</w:t>
      </w:r>
    </w:p>
    <w:p w:rsidR="00DF3731" w:rsidRDefault="00DF3731" w:rsidP="00DF3731">
      <w:proofErr w:type="spellStart"/>
      <w:r>
        <w:t>Sevelamer</w:t>
      </w:r>
      <w:proofErr w:type="spellEnd"/>
      <w:r>
        <w:t xml:space="preserve"> hydrochloride is a phosphate binder that does not contain calcium.</w:t>
      </w:r>
    </w:p>
    <w:p w:rsidR="00605AD4" w:rsidRDefault="00605AD4" w:rsidP="00605AD4">
      <w:pPr>
        <w:pStyle w:val="Heading4"/>
      </w:pPr>
      <w:r w:rsidRPr="00605AD4">
        <w:t>Contents of the clinical dossier</w:t>
      </w:r>
    </w:p>
    <w:p w:rsidR="00DF3731" w:rsidRDefault="00DF3731" w:rsidP="00503002">
      <w:pPr>
        <w:pStyle w:val="Heading5"/>
      </w:pPr>
      <w:bookmarkStart w:id="57" w:name="_Toc386528567"/>
      <w:bookmarkStart w:id="58" w:name="_Toc290846234"/>
      <w:r>
        <w:t>Scope of the clinical dossier</w:t>
      </w:r>
      <w:bookmarkEnd w:id="57"/>
      <w:bookmarkEnd w:id="58"/>
    </w:p>
    <w:p w:rsidR="00DF3731" w:rsidRDefault="00DF3731" w:rsidP="00DF3731">
      <w:pPr>
        <w:pStyle w:val="Bullet2"/>
      </w:pPr>
      <w:r>
        <w:t>No clinical trials using generic products for which this application pertains</w:t>
      </w:r>
      <w:r w:rsidR="00806140">
        <w:t>. The following documents were included with the submission:</w:t>
      </w:r>
    </w:p>
    <w:p w:rsidR="002D64ED" w:rsidRDefault="00DF3731" w:rsidP="0039427E">
      <w:pPr>
        <w:pStyle w:val="ListBullet"/>
      </w:pPr>
      <w:r>
        <w:t>In</w:t>
      </w:r>
      <w:r w:rsidR="00184B61">
        <w:t xml:space="preserve"> </w:t>
      </w:r>
      <w:r>
        <w:t>vitro and kinetic studies</w:t>
      </w:r>
      <w:r w:rsidR="002D64ED">
        <w:t>.</w:t>
      </w:r>
    </w:p>
    <w:p w:rsidR="00DF3731" w:rsidRDefault="00DF3731" w:rsidP="0039427E">
      <w:pPr>
        <w:pStyle w:val="ListBullet"/>
      </w:pPr>
      <w:r>
        <w:t xml:space="preserve">Published papers referenced in </w:t>
      </w:r>
      <w:r w:rsidR="0039427E">
        <w:t>sponsor’s Clinical Overview.</w:t>
      </w:r>
    </w:p>
    <w:p w:rsidR="00605AD4" w:rsidRDefault="00605AD4" w:rsidP="00503002">
      <w:pPr>
        <w:pStyle w:val="Heading5"/>
      </w:pPr>
      <w:r w:rsidRPr="00605AD4">
        <w:t>Paediatric data</w:t>
      </w:r>
    </w:p>
    <w:p w:rsidR="002D64ED" w:rsidRDefault="00DF3731" w:rsidP="00DF3731">
      <w:bookmarkStart w:id="59" w:name="_Toc378659100"/>
      <w:bookmarkStart w:id="60" w:name="_Toc378228780"/>
      <w:bookmarkStart w:id="61" w:name="_Toc377566094"/>
      <w:r>
        <w:t>The submission did not include paediatric data</w:t>
      </w:r>
      <w:bookmarkEnd w:id="59"/>
      <w:bookmarkEnd w:id="60"/>
      <w:bookmarkEnd w:id="61"/>
      <w:r w:rsidR="002D64ED">
        <w:t>.</w:t>
      </w:r>
    </w:p>
    <w:p w:rsidR="00DF3731" w:rsidRDefault="00605AD4" w:rsidP="00503002">
      <w:pPr>
        <w:pStyle w:val="Heading5"/>
      </w:pPr>
      <w:r w:rsidRPr="00605AD4">
        <w:t>Good clinical practice</w:t>
      </w:r>
    </w:p>
    <w:p w:rsidR="00DF3731" w:rsidRDefault="00DF3731" w:rsidP="00DF3731">
      <w:pPr>
        <w:rPr>
          <w:rFonts w:eastAsia="Batang"/>
        </w:rPr>
      </w:pPr>
      <w:bookmarkStart w:id="62" w:name="_Toc241374282"/>
      <w:r>
        <w:t>Not applicable</w:t>
      </w:r>
      <w:r w:rsidR="0039427E">
        <w:t>. N</w:t>
      </w:r>
      <w:r>
        <w:t>o clinical trials were conducted by the sponsor in support of this generic formulation.</w:t>
      </w:r>
    </w:p>
    <w:p w:rsidR="008E7846" w:rsidRDefault="008E7846" w:rsidP="00723EFB">
      <w:pPr>
        <w:pStyle w:val="Heading3"/>
      </w:pPr>
      <w:bookmarkStart w:id="63" w:name="_Toc434909882"/>
      <w:bookmarkEnd w:id="62"/>
      <w:r w:rsidRPr="00254787">
        <w:lastRenderedPageBreak/>
        <w:t>Pharmacokinetics</w:t>
      </w:r>
      <w:bookmarkEnd w:id="46"/>
      <w:bookmarkEnd w:id="53"/>
      <w:bookmarkEnd w:id="54"/>
      <w:bookmarkEnd w:id="55"/>
      <w:bookmarkEnd w:id="63"/>
    </w:p>
    <w:p w:rsidR="00B546AF" w:rsidRDefault="00B546AF" w:rsidP="00723EFB">
      <w:pPr>
        <w:pStyle w:val="Heading4"/>
      </w:pPr>
      <w:r>
        <w:t xml:space="preserve">Studies providing </w:t>
      </w:r>
      <w:proofErr w:type="spellStart"/>
      <w:r w:rsidRPr="00B546AF">
        <w:t>pharmacodynamic</w:t>
      </w:r>
      <w:proofErr w:type="spellEnd"/>
      <w:r>
        <w:t xml:space="preserve"> data</w:t>
      </w:r>
    </w:p>
    <w:p w:rsidR="002D64ED" w:rsidRDefault="00835237" w:rsidP="00723EFB">
      <w:r>
        <w:t xml:space="preserve">The sponsor has provided an in vitro equilibrium phosphate </w:t>
      </w:r>
      <w:r w:rsidRPr="00D96AA2">
        <w:t>binding study and a kinetic phosphate binding study, and a justification for not conducting a bioequivalence study. The sponsor has only conducted the in vitro studies using the 800 mg dosage strength but has provided justification for studying only one dosage strength. The sponsor has not used an Australian brand product in in vitro equivalence studies and has provided a justification</w:t>
      </w:r>
      <w:r>
        <w:t xml:space="preserve"> for so doing</w:t>
      </w:r>
      <w:r w:rsidR="002D64ED">
        <w:t>.</w:t>
      </w:r>
    </w:p>
    <w:p w:rsidR="00605AD4" w:rsidRDefault="00605AD4" w:rsidP="00605AD4">
      <w:pPr>
        <w:pStyle w:val="Heading4"/>
      </w:pPr>
      <w:r>
        <w:t>Evaluator’s conclusions on pharmacokinetics</w:t>
      </w:r>
    </w:p>
    <w:p w:rsidR="002D64ED" w:rsidRDefault="00DF3731" w:rsidP="00806140">
      <w:proofErr w:type="spellStart"/>
      <w:r>
        <w:t>Sevelamer</w:t>
      </w:r>
      <w:proofErr w:type="spellEnd"/>
      <w:r>
        <w:t xml:space="preserve"> hydrochloride is a polymer that binds dietary phosphate in the gut. The reference product is not systemically absorbed and therefore bioequivalence studies are not suitable. The sponsor has chosen in vitro studies to establish equivalence between its generic product and the reference product </w:t>
      </w:r>
      <w:proofErr w:type="spellStart"/>
      <w:r>
        <w:t>Renagel</w:t>
      </w:r>
      <w:proofErr w:type="spellEnd"/>
      <w:r>
        <w:t xml:space="preserve">. The studies are based on a draft FDA guidance document on in vitro studies for generic </w:t>
      </w:r>
      <w:proofErr w:type="spellStart"/>
      <w:r>
        <w:t>sevelamer</w:t>
      </w:r>
      <w:proofErr w:type="spellEnd"/>
      <w:r>
        <w:t xml:space="preserve"> hydrochloride compounds. The sponsor has used a non</w:t>
      </w:r>
      <w:r w:rsidR="0039427E">
        <w:t>-</w:t>
      </w:r>
      <w:r>
        <w:t xml:space="preserve">Australian version of the reference </w:t>
      </w:r>
      <w:r w:rsidRPr="00B653C1">
        <w:t xml:space="preserve">product for its studies and has based its justification for so doing on Section 7 of Appendix 15 of the </w:t>
      </w:r>
      <w:r w:rsidR="00B653C1" w:rsidRPr="00B653C1">
        <w:t>Australian Regulatory Guidelines for Prescription Medicines (</w:t>
      </w:r>
      <w:r w:rsidRPr="00B653C1">
        <w:t>ARGPM</w:t>
      </w:r>
      <w:r w:rsidR="00B653C1" w:rsidRPr="00B653C1">
        <w:t>)</w:t>
      </w:r>
      <w:r w:rsidRPr="00B653C1">
        <w:t>. The sponsor has only conducted the FDA recommended studies on the 800 mg dosage strength, although</w:t>
      </w:r>
      <w:r>
        <w:t xml:space="preserve"> there is </w:t>
      </w:r>
      <w:proofErr w:type="gramStart"/>
      <w:r>
        <w:t>a 400</w:t>
      </w:r>
      <w:proofErr w:type="gramEnd"/>
      <w:r>
        <w:t xml:space="preserve"> mg strength of the reference product </w:t>
      </w:r>
      <w:r w:rsidR="0039427E">
        <w:t xml:space="preserve">registered </w:t>
      </w:r>
      <w:r>
        <w:t>on the ARTG</w:t>
      </w:r>
      <w:r w:rsidR="002D64ED">
        <w:t>.</w:t>
      </w:r>
    </w:p>
    <w:p w:rsidR="00DF3731" w:rsidRDefault="00DF3731" w:rsidP="00806140">
      <w:r>
        <w:t xml:space="preserve">The reference product is a large polymer and each molecule forms a particle. The reference product has an average particle size range of 25 </w:t>
      </w:r>
      <w:r w:rsidR="0039427E">
        <w:t>to</w:t>
      </w:r>
      <w:r>
        <w:t xml:space="preserve"> 65 µm. Particle size is important for phosphate binding. The generic product does mention a lower limit for particle size raising the possibility of the presence of water soluble oligomers and monomers present in the formulation that may be systemically absorbed. It is therefore unknown if any systemic absorption would occur after taking this formulation and if so, what the implications for its safety and efficacy may be. From a clinical perspective, an absorption study could address the question of whether or not the generic formulation is absorbed in any potentially meaningful way. Also, the phosphate binding of the individual tablet may vary if there is insufficiently tight control on particle size with resultant differences in efficacy compared with the reference product</w:t>
      </w:r>
      <w:r w:rsidRPr="00B94B54">
        <w:t xml:space="preserve">. </w:t>
      </w:r>
      <w:r w:rsidRPr="00DC5E9C">
        <w:t xml:space="preserve">The issue of limits on the particle size has been identified by the </w:t>
      </w:r>
      <w:r w:rsidR="0039427E" w:rsidRPr="00DC5E9C">
        <w:t>TGA quality</w:t>
      </w:r>
      <w:r w:rsidRPr="00DC5E9C">
        <w:t xml:space="preserve"> evaluator</w:t>
      </w:r>
      <w:r w:rsidR="0039427E" w:rsidRPr="00DC5E9C">
        <w:t xml:space="preserve"> (see above)</w:t>
      </w:r>
      <w:r w:rsidRPr="00DC5E9C">
        <w:t>.</w:t>
      </w:r>
      <w:r w:rsidR="007C13D5">
        <w:rPr>
          <w:rStyle w:val="FootnoteReference"/>
        </w:rPr>
        <w:footnoteReference w:id="8"/>
      </w:r>
    </w:p>
    <w:p w:rsidR="00DF3731" w:rsidRDefault="00DF3731" w:rsidP="00806140">
      <w:r>
        <w:t xml:space="preserve">The reference product is a cross-linked polymer. The cross-linkages are important for phosphate binding and may have importance for the binding of off-target anions such as bicarbonate and low density lipoprotein cholesterol. The sponsor has described the conditions of manufacture at which it considers the generic product is sufficiently similarly cross-linked as compared to the reference product. The generic product is more cross-linked at 13.9 </w:t>
      </w:r>
      <w:r w:rsidR="0039427E">
        <w:t>to</w:t>
      </w:r>
      <w:r>
        <w:t xml:space="preserve"> 15.0% crosslinking as compared to the reference product’s 10.6 </w:t>
      </w:r>
      <w:r w:rsidR="0039427E">
        <w:t>to</w:t>
      </w:r>
      <w:r>
        <w:t xml:space="preserve"> 13.9% cross-linking. The issue of the differences in cross-linking is under consideration by the </w:t>
      </w:r>
      <w:r w:rsidR="0039427E">
        <w:t>quality</w:t>
      </w:r>
      <w:r>
        <w:t xml:space="preserve"> evaluator.</w:t>
      </w:r>
    </w:p>
    <w:p w:rsidR="002D64ED" w:rsidRDefault="00DF3731" w:rsidP="00806140">
      <w:proofErr w:type="spellStart"/>
      <w:r>
        <w:t>Sevelamer</w:t>
      </w:r>
      <w:proofErr w:type="spellEnd"/>
      <w:r>
        <w:t xml:space="preserve"> swells in the presence of physiological fluids and the swelling is important for its phosphate binding. The reference product swells to 6 </w:t>
      </w:r>
      <w:r w:rsidR="0039427E">
        <w:t>to</w:t>
      </w:r>
      <w:r>
        <w:t xml:space="preserve"> 8 times its initial weight and 8 times its volume. The amount of swelling is related to the cross-linking within the molecule. The sponsor has not provided a measure of the swelling of the generic product but as the cross-linking of the generic formulation is different, the swell index is also likely to be different.</w:t>
      </w:r>
      <w:r w:rsidR="000325C5">
        <w:t xml:space="preserve"> </w:t>
      </w:r>
      <w:r>
        <w:t xml:space="preserve">The </w:t>
      </w:r>
      <w:r w:rsidR="0039427E">
        <w:t>quality</w:t>
      </w:r>
      <w:r>
        <w:t xml:space="preserve"> evaluator has identified this issue and additional information has been sought from the sponsor</w:t>
      </w:r>
      <w:r w:rsidR="002D64ED">
        <w:t>.</w:t>
      </w:r>
    </w:p>
    <w:p w:rsidR="002D64ED" w:rsidRDefault="00DF3731" w:rsidP="00723EFB">
      <w:proofErr w:type="spellStart"/>
      <w:r>
        <w:lastRenderedPageBreak/>
        <w:t>Sevelamer</w:t>
      </w:r>
      <w:proofErr w:type="spellEnd"/>
      <w:r>
        <w:t xml:space="preserve"> hydrochloride 800 mg tablets are physically large. The reference product is approximately 19.04 mm x 9.76 mm x 7.6 mm.</w:t>
      </w:r>
      <w:r w:rsidR="000325C5">
        <w:t xml:space="preserve"> </w:t>
      </w:r>
      <w:r>
        <w:t>The final dimensions of the generic product after film coating have not been provided by the sponsor. The tablets have a larger mass than the reference products tested, although that may reflect a difference in the amount of excipient added to the active ingredient. There is concern regarding difficulty swallowing such a large tablet and whether it poses a choking hazard. The final physical dimensions of the generic 400 mg and 400 mg tablets have not been provided</w:t>
      </w:r>
      <w:r w:rsidR="002D64ED">
        <w:t>.</w:t>
      </w:r>
    </w:p>
    <w:p w:rsidR="00DF3731" w:rsidRDefault="00DF3731" w:rsidP="00723EFB">
      <w:r>
        <w:t>The sponsor has provided two vitro studies in support of the generic product.</w:t>
      </w:r>
      <w:r w:rsidR="000325C5">
        <w:t xml:space="preserve"> </w:t>
      </w:r>
      <w:r>
        <w:t>The first is an equilibrium binding study, conducted at 37</w:t>
      </w:r>
      <w:r>
        <w:rPr>
          <w:vertAlign w:val="superscript"/>
        </w:rPr>
        <w:t>o</w:t>
      </w:r>
      <w:r>
        <w:t>C. The characteristics of the phosphate binding are described using a Langmuir isotherm. The affinity constant of the reference product is 25% greater than that of the generic product and suggests a difference between the two products. The binding constants of the reference and generic products, however, are very similar.</w:t>
      </w:r>
    </w:p>
    <w:p w:rsidR="00DF3731" w:rsidRDefault="00DF3731" w:rsidP="00723EFB">
      <w:r>
        <w:t xml:space="preserve">The sponsor also conducted a kinetic in vitro study to show the phosphate binding of the generic and the reference product with time. Both products reached maximal binding within 15 minutes. The reference product has a phosphate binding capacity of 5.57 </w:t>
      </w:r>
      <w:proofErr w:type="spellStart"/>
      <w:r>
        <w:t>mmol</w:t>
      </w:r>
      <w:proofErr w:type="spellEnd"/>
      <w:r>
        <w:t>/g ± 15%. The generic product had a mean phosphate binding capacity of approximately 98% of the reference product at free phosphate concentrations of 1</w:t>
      </w:r>
      <w:r w:rsidR="00B546AF">
        <w:t xml:space="preserve"> </w:t>
      </w:r>
      <w:proofErr w:type="spellStart"/>
      <w:r>
        <w:t>mM</w:t>
      </w:r>
      <w:proofErr w:type="spellEnd"/>
      <w:r>
        <w:t xml:space="preserve"> and pH 4.0 and 7.0. It had similar phosphate binding at free phosphate concentrations of 40</w:t>
      </w:r>
      <w:r w:rsidR="00B546AF">
        <w:t xml:space="preserve"> </w:t>
      </w:r>
      <w:proofErr w:type="spellStart"/>
      <w:r>
        <w:t>mM</w:t>
      </w:r>
      <w:proofErr w:type="spellEnd"/>
      <w:r>
        <w:t xml:space="preserve"> and pH 7.0 and approximately 94% at a pH of 4.0. The clinical significance of the difference at a 40mM concentration and pH 4.0 is unknown</w:t>
      </w:r>
    </w:p>
    <w:p w:rsidR="002D64ED" w:rsidRDefault="00DF3731" w:rsidP="00723EFB">
      <w:r>
        <w:t xml:space="preserve">The equilibrium and kinetic phosphate binding studies were conducted using the 800 mg dosage strength. The sponsor has provided a justification based on Section 4 of Appendix 15 of the ARGPM. There is qualitative proportionality of the active ingredients and excipients between the 400 mg and 800 mg dose forms. The portion of the guidance relating to the dissolution of the product is not relevant to </w:t>
      </w:r>
      <w:proofErr w:type="spellStart"/>
      <w:r>
        <w:t>sevelamer</w:t>
      </w:r>
      <w:proofErr w:type="spellEnd"/>
      <w:r>
        <w:t xml:space="preserve"> because it is insoluble in most solvents. Disintegration data is under evaluation by the </w:t>
      </w:r>
      <w:r w:rsidR="00B546AF">
        <w:t>quality</w:t>
      </w:r>
      <w:r>
        <w:t xml:space="preserve"> evaluator. The sponsor has not addressed the issue of decreased efficacy if the effective dose is decreased</w:t>
      </w:r>
      <w:r w:rsidR="002D64ED">
        <w:t>.</w:t>
      </w:r>
    </w:p>
    <w:p w:rsidR="00DF3731" w:rsidRDefault="00DF3731" w:rsidP="00723EFB">
      <w:r>
        <w:t xml:space="preserve">It is not possible to demonstrate dose proportionality in terms of </w:t>
      </w:r>
      <w:r w:rsidR="00B546AF">
        <w:t>area under the plasma concentration versus time curve (</w:t>
      </w:r>
      <w:r>
        <w:t>AUC</w:t>
      </w:r>
      <w:r w:rsidR="00B546AF">
        <w:t>)</w:t>
      </w:r>
      <w:r>
        <w:t xml:space="preserve"> for a given dose as </w:t>
      </w:r>
      <w:proofErr w:type="spellStart"/>
      <w:r>
        <w:t>sevelamer</w:t>
      </w:r>
      <w:proofErr w:type="spellEnd"/>
      <w:r>
        <w:t xml:space="preserve"> is not absorbed. Because there may be dose titration using the 400 mg dose if it is available and patients may elect to take two 400 mg tablets instead of one 800 mg tablet because of ease of swallowing, the dose-response relationship with increasing dose is of clinical importance.</w:t>
      </w:r>
      <w:r w:rsidR="000325C5">
        <w:t xml:space="preserve"> </w:t>
      </w:r>
      <w:r>
        <w:t xml:space="preserve">Because the results from the </w:t>
      </w:r>
      <w:r w:rsidRPr="00D91930">
        <w:t>study by Burke et al 2007</w:t>
      </w:r>
      <w:bookmarkStart w:id="64" w:name="_Ref430679987"/>
      <w:r w:rsidR="00D91930" w:rsidRPr="00D91930">
        <w:rPr>
          <w:rStyle w:val="FootnoteReference"/>
          <w:rFonts w:cs="Calibri"/>
        </w:rPr>
        <w:footnoteReference w:id="9"/>
      </w:r>
      <w:bookmarkEnd w:id="64"/>
      <w:r w:rsidRPr="00D91930">
        <w:t xml:space="preserve"> did</w:t>
      </w:r>
      <w:r>
        <w:t xml:space="preserve"> not demonstrate this type of proportional dose-response between the 1g </w:t>
      </w:r>
      <w:r w:rsidR="00B546AF">
        <w:t>three times daily (</w:t>
      </w:r>
      <w:proofErr w:type="spellStart"/>
      <w:r>
        <w:t>tds</w:t>
      </w:r>
      <w:proofErr w:type="spellEnd"/>
      <w:r w:rsidR="00B546AF">
        <w:t>)</w:t>
      </w:r>
      <w:r>
        <w:t xml:space="preserve"> and 2.5g </w:t>
      </w:r>
      <w:proofErr w:type="spellStart"/>
      <w:r>
        <w:t>tds</w:t>
      </w:r>
      <w:proofErr w:type="spellEnd"/>
      <w:r>
        <w:t xml:space="preserve"> dosages for urinary and faecal phosphate or LDL cholesterol it is unclear whether two 400 mg tablets would provide the same phosphate binding as one 800 mg tablet and a comment from the sponsor has been requested.</w:t>
      </w:r>
    </w:p>
    <w:p w:rsidR="00DF3731" w:rsidRDefault="00DF3731" w:rsidP="00806140">
      <w:pPr>
        <w:rPr>
          <w:rFonts w:cs="Calibri"/>
        </w:rPr>
      </w:pPr>
      <w:r>
        <w:rPr>
          <w:rFonts w:cs="Calibri"/>
        </w:rPr>
        <w:t xml:space="preserve">Disintegration testing is a requirement of the FDA guidance. It is not known if there would be any clinical implications from the slower disintegration time for the generic formulation, as </w:t>
      </w:r>
      <w:proofErr w:type="spellStart"/>
      <w:r>
        <w:rPr>
          <w:rFonts w:cs="Calibri"/>
        </w:rPr>
        <w:t>sevelamer</w:t>
      </w:r>
      <w:proofErr w:type="spellEnd"/>
      <w:r>
        <w:rPr>
          <w:rFonts w:cs="Calibri"/>
        </w:rPr>
        <w:t xml:space="preserve"> hydrochloride should be taken with meals and is likely to remain in an acid environment for a minimum of 20 </w:t>
      </w:r>
      <w:r w:rsidR="00B546AF">
        <w:rPr>
          <w:rFonts w:cs="Calibri"/>
        </w:rPr>
        <w:t>to</w:t>
      </w:r>
      <w:r>
        <w:rPr>
          <w:rFonts w:cs="Calibri"/>
        </w:rPr>
        <w:t xml:space="preserve"> 30 minutes.</w:t>
      </w:r>
    </w:p>
    <w:p w:rsidR="00DF3731" w:rsidRPr="00DF3731" w:rsidRDefault="00DF3731" w:rsidP="00806140">
      <w:r>
        <w:t xml:space="preserve">The sponsor has chosen to use overseas reference products in preference to Australian reference products and has relied on the guidance from Section 7 of Appendix 15 of the ARTG. The guidance generally refers to products with have measurable pharmacokinetics. The </w:t>
      </w:r>
      <w:r w:rsidR="00B546AF">
        <w:t>quality</w:t>
      </w:r>
      <w:r>
        <w:t xml:space="preserve"> evaluator has evaluated the information provided by the sponsor in support of the use of the overseas product.</w:t>
      </w:r>
    </w:p>
    <w:p w:rsidR="008E7846" w:rsidRDefault="008E7846" w:rsidP="00723EFB">
      <w:pPr>
        <w:pStyle w:val="Heading3"/>
      </w:pPr>
      <w:bookmarkStart w:id="65" w:name="_Toc196046481"/>
      <w:bookmarkStart w:id="66" w:name="_Toc247691520"/>
      <w:bookmarkStart w:id="67" w:name="_Toc314842503"/>
      <w:bookmarkStart w:id="68" w:name="_Toc434909883"/>
      <w:r w:rsidRPr="00254787">
        <w:lastRenderedPageBreak/>
        <w:t>Pharmacodynamics</w:t>
      </w:r>
      <w:bookmarkEnd w:id="47"/>
      <w:bookmarkEnd w:id="65"/>
      <w:bookmarkEnd w:id="66"/>
      <w:bookmarkEnd w:id="67"/>
      <w:bookmarkEnd w:id="68"/>
    </w:p>
    <w:p w:rsidR="00605AD4" w:rsidRDefault="00605AD4" w:rsidP="00723EFB">
      <w:pPr>
        <w:pStyle w:val="Heading4"/>
      </w:pPr>
      <w:r>
        <w:t xml:space="preserve">Studies providing </w:t>
      </w:r>
      <w:proofErr w:type="spellStart"/>
      <w:r w:rsidRPr="00B546AF">
        <w:t>pharmacodynamic</w:t>
      </w:r>
      <w:proofErr w:type="spellEnd"/>
      <w:r>
        <w:t xml:space="preserve"> data</w:t>
      </w:r>
    </w:p>
    <w:p w:rsidR="002D64ED" w:rsidRDefault="00DF3731" w:rsidP="00723EFB">
      <w:r>
        <w:t xml:space="preserve">The sponsor has not provided any </w:t>
      </w:r>
      <w:proofErr w:type="spellStart"/>
      <w:r>
        <w:t>pharmacodynamic</w:t>
      </w:r>
      <w:proofErr w:type="spellEnd"/>
      <w:r>
        <w:t xml:space="preserve"> data for the generic formulation of </w:t>
      </w:r>
      <w:proofErr w:type="spellStart"/>
      <w:r>
        <w:t>sevelamer</w:t>
      </w:r>
      <w:proofErr w:type="spellEnd"/>
      <w:r>
        <w:t xml:space="preserve"> hydrochloride. The sponsor states that on the basis of the presented in vitro studies the generic formulation and the reference product are of sufficient physicochemical similarity that the </w:t>
      </w:r>
      <w:proofErr w:type="spellStart"/>
      <w:r>
        <w:t>pharmacodynamic</w:t>
      </w:r>
      <w:proofErr w:type="spellEnd"/>
      <w:r>
        <w:t xml:space="preserve"> effects of the reference product can be extrapolated to the generic formulation</w:t>
      </w:r>
      <w:r w:rsidR="002D64ED">
        <w:t>.</w:t>
      </w:r>
    </w:p>
    <w:p w:rsidR="00605AD4" w:rsidRDefault="00605AD4" w:rsidP="00723EFB">
      <w:pPr>
        <w:pStyle w:val="Heading4"/>
      </w:pPr>
      <w:r>
        <w:t>Evaluator’s conclusions on pharmacodynamics</w:t>
      </w:r>
    </w:p>
    <w:p w:rsidR="00DF3731" w:rsidRDefault="00DF3731" w:rsidP="00723EFB">
      <w:pPr>
        <w:rPr>
          <w:rFonts w:eastAsia="Batang"/>
        </w:rPr>
      </w:pPr>
      <w:r>
        <w:t xml:space="preserve">The sponsor has not conducted </w:t>
      </w:r>
      <w:proofErr w:type="spellStart"/>
      <w:r>
        <w:t>pharmacodynamic</w:t>
      </w:r>
      <w:proofErr w:type="spellEnd"/>
      <w:r>
        <w:t xml:space="preserve"> studies using the generic formulation.</w:t>
      </w:r>
    </w:p>
    <w:p w:rsidR="002D64ED" w:rsidRDefault="00DF3731" w:rsidP="00806140">
      <w:proofErr w:type="spellStart"/>
      <w:r>
        <w:t>Sevelamer</w:t>
      </w:r>
      <w:proofErr w:type="spellEnd"/>
      <w:r>
        <w:t xml:space="preserve"> hydrochloride exerts its pharmacological effects as an ion-exchange resin in the gut. It is non-selective and while the target anions are phosphate, off-target anions include some with clinical consequences such as interaction with some medications, bicarbonate, bile acids with an associated decrease in levels of fat soluble vitamins including Vitamin D, </w:t>
      </w:r>
      <w:proofErr w:type="spellStart"/>
      <w:r>
        <w:t>levothroxine</w:t>
      </w:r>
      <w:proofErr w:type="spellEnd"/>
      <w:r>
        <w:t xml:space="preserve">, </w:t>
      </w:r>
      <w:proofErr w:type="spellStart"/>
      <w:r>
        <w:t>mycophenolate</w:t>
      </w:r>
      <w:proofErr w:type="spellEnd"/>
      <w:r>
        <w:t xml:space="preserve"> </w:t>
      </w:r>
      <w:proofErr w:type="spellStart"/>
      <w:r>
        <w:t>mofetil</w:t>
      </w:r>
      <w:proofErr w:type="spellEnd"/>
      <w:r>
        <w:t xml:space="preserve">, uric acid, vitamin C and folate. Other negatively charged medications that undergo </w:t>
      </w:r>
      <w:proofErr w:type="spellStart"/>
      <w:r>
        <w:t>enterohepatic</w:t>
      </w:r>
      <w:proofErr w:type="spellEnd"/>
      <w:r>
        <w:t xml:space="preserve"> circulation are potential substrates for binding with </w:t>
      </w:r>
      <w:proofErr w:type="spellStart"/>
      <w:r>
        <w:t>sevelamer</w:t>
      </w:r>
      <w:proofErr w:type="spellEnd"/>
      <w:r w:rsidR="002D64ED">
        <w:t>.</w:t>
      </w:r>
    </w:p>
    <w:p w:rsidR="002D64ED" w:rsidRDefault="00DF3731" w:rsidP="00806140">
      <w:r>
        <w:t xml:space="preserve">The </w:t>
      </w:r>
      <w:r w:rsidR="007A1D60">
        <w:t>quality</w:t>
      </w:r>
      <w:r>
        <w:t xml:space="preserve"> evaluator has raised concerns that the generic and reference products may not be chemically the same, both structurally and in terms of phosphate binding. Of particular interest is whether the geometry of the molecule</w:t>
      </w:r>
      <w:r w:rsidR="00586D85">
        <w:t>,</w:t>
      </w:r>
      <w:r>
        <w:t xml:space="preserve"> its cross-linking and the particle size result in the binding of other anions to a lesser or greater extent as this may have clinical consequences. This is important clinically as the prescriber will generally not know if the patient has been dispensed the reference product or a generic product by their pharmacist</w:t>
      </w:r>
      <w:r w:rsidR="002D64ED">
        <w:t>.</w:t>
      </w:r>
    </w:p>
    <w:p w:rsidR="008E7846" w:rsidRDefault="00605AD4" w:rsidP="00723EFB">
      <w:pPr>
        <w:pStyle w:val="Heading3"/>
      </w:pPr>
      <w:bookmarkStart w:id="69" w:name="_Toc434909884"/>
      <w:r>
        <w:t>Dosage selection for the pivotal studies</w:t>
      </w:r>
      <w:bookmarkEnd w:id="69"/>
    </w:p>
    <w:p w:rsidR="00DF3731" w:rsidRDefault="00DF3731" w:rsidP="00DF3731">
      <w:pPr>
        <w:rPr>
          <w:rFonts w:eastAsia="Batang"/>
        </w:rPr>
      </w:pPr>
      <w:r>
        <w:t>No clinical trials were provided in this application.</w:t>
      </w:r>
    </w:p>
    <w:p w:rsidR="008E7846" w:rsidRPr="00254787" w:rsidRDefault="008E7846" w:rsidP="008E7846">
      <w:pPr>
        <w:pStyle w:val="Heading3"/>
      </w:pPr>
      <w:bookmarkStart w:id="70" w:name="_Toc163441372"/>
      <w:bookmarkStart w:id="71" w:name="_Toc196046485"/>
      <w:bookmarkStart w:id="72" w:name="_Toc247691521"/>
      <w:bookmarkStart w:id="73" w:name="_Toc314842504"/>
      <w:bookmarkStart w:id="74" w:name="_Toc434909885"/>
      <w:r w:rsidRPr="00254787">
        <w:t>Efficacy</w:t>
      </w:r>
      <w:bookmarkEnd w:id="70"/>
      <w:bookmarkEnd w:id="71"/>
      <w:bookmarkEnd w:id="72"/>
      <w:bookmarkEnd w:id="73"/>
      <w:bookmarkEnd w:id="74"/>
    </w:p>
    <w:p w:rsidR="00605AD4" w:rsidRDefault="00605AD4" w:rsidP="00605AD4">
      <w:pPr>
        <w:pStyle w:val="Heading4"/>
      </w:pPr>
      <w:bookmarkStart w:id="75" w:name="_Toc184439992"/>
      <w:bookmarkStart w:id="76" w:name="_Toc184440279"/>
      <w:bookmarkStart w:id="77" w:name="_Toc184444657"/>
      <w:bookmarkStart w:id="78" w:name="_Toc196046487"/>
      <w:r>
        <w:t>Studies providing efficacy data</w:t>
      </w:r>
    </w:p>
    <w:p w:rsidR="00DF3731" w:rsidRDefault="00DF3731" w:rsidP="00DF3731">
      <w:pPr>
        <w:rPr>
          <w:rFonts w:eastAsia="Batang"/>
        </w:rPr>
      </w:pPr>
      <w:r>
        <w:t>The sponsor has not provided any studies investigating the clinical efficacy of the generic formulation.</w:t>
      </w:r>
    </w:p>
    <w:p w:rsidR="008E7846" w:rsidRDefault="00605AD4" w:rsidP="00605AD4">
      <w:pPr>
        <w:pStyle w:val="Heading4"/>
      </w:pPr>
      <w:r>
        <w:t>Evaluator’s conclusions on efficacy</w:t>
      </w:r>
    </w:p>
    <w:p w:rsidR="00DF3731" w:rsidRDefault="00DF3731" w:rsidP="00806140">
      <w:pPr>
        <w:rPr>
          <w:rFonts w:eastAsia="Batang"/>
        </w:rPr>
      </w:pPr>
      <w:r>
        <w:t>The sponsor has not provided any data on the clinical efficacy of the generic formulation.</w:t>
      </w:r>
    </w:p>
    <w:p w:rsidR="00DF3731" w:rsidRDefault="00DF3731" w:rsidP="00806140">
      <w:r>
        <w:t xml:space="preserve">The clinical overview and the references provided support the use of </w:t>
      </w:r>
      <w:proofErr w:type="spellStart"/>
      <w:r>
        <w:t>sevelamer</w:t>
      </w:r>
      <w:proofErr w:type="spellEnd"/>
      <w:r>
        <w:t xml:space="preserve"> hydrochloride as a therapeutic option to decrease serum phosphate, reduce the calcium phosphorus product and reduce </w:t>
      </w:r>
      <w:proofErr w:type="spellStart"/>
      <w:r>
        <w:t>iPTH</w:t>
      </w:r>
      <w:proofErr w:type="spellEnd"/>
      <w:r w:rsidR="007A1D60">
        <w:rPr>
          <w:rStyle w:val="FootnoteReference"/>
        </w:rPr>
        <w:footnoteReference w:id="10"/>
      </w:r>
      <w:r>
        <w:t>. Improvements in these parameters have implications for bone health and cardiovascular disease.</w:t>
      </w:r>
    </w:p>
    <w:p w:rsidR="00DF3731" w:rsidRDefault="00DF3731" w:rsidP="00723EFB">
      <w:r>
        <w:t xml:space="preserve">The basic premise of the sponsor’s submission is that </w:t>
      </w:r>
      <w:r w:rsidRPr="00495699">
        <w:t>o</w:t>
      </w:r>
      <w:r>
        <w:t xml:space="preserve">nly </w:t>
      </w:r>
      <w:r w:rsidR="00750BC3" w:rsidRPr="00DC5E9C">
        <w:t>in</w:t>
      </w:r>
      <w:r w:rsidR="00DC5E9C">
        <w:t xml:space="preserve"> </w:t>
      </w:r>
      <w:r w:rsidRPr="00DC5E9C">
        <w:t xml:space="preserve">vitro </w:t>
      </w:r>
      <w:r>
        <w:t xml:space="preserve">studies are required in support of the registration of the generic formulation. This additional information describing the efficacy of the reference product, although helpful, does not of itself </w:t>
      </w:r>
      <w:r>
        <w:lastRenderedPageBreak/>
        <w:t>demonstrate the therapeutic equivalence of the reference and generic formulations. As there are outstanding concerns regarding the similarity of the physicochemical properties of the generic formulation as compared with the reference product, there is insufficient surety of the therapeutic equivalence of the generic formulation and the reference products. This uncertainty may be overcome with a clinical trial comparing the two formulations.</w:t>
      </w:r>
    </w:p>
    <w:p w:rsidR="008E7846" w:rsidRPr="002E238E" w:rsidRDefault="008E7846" w:rsidP="008E7846">
      <w:pPr>
        <w:pStyle w:val="Heading3"/>
      </w:pPr>
      <w:bookmarkStart w:id="79" w:name="_Toc163441378"/>
      <w:bookmarkStart w:id="80" w:name="_Toc196046495"/>
      <w:bookmarkStart w:id="81" w:name="_Toc247691522"/>
      <w:bookmarkStart w:id="82" w:name="_Toc314842505"/>
      <w:bookmarkStart w:id="83" w:name="_Toc434909886"/>
      <w:bookmarkEnd w:id="75"/>
      <w:bookmarkEnd w:id="76"/>
      <w:bookmarkEnd w:id="77"/>
      <w:bookmarkEnd w:id="78"/>
      <w:r w:rsidRPr="002E238E">
        <w:t>Safety</w:t>
      </w:r>
      <w:bookmarkEnd w:id="79"/>
      <w:bookmarkEnd w:id="80"/>
      <w:bookmarkEnd w:id="81"/>
      <w:bookmarkEnd w:id="82"/>
      <w:bookmarkEnd w:id="83"/>
    </w:p>
    <w:p w:rsidR="00605AD4" w:rsidRDefault="00605AD4" w:rsidP="00605AD4">
      <w:pPr>
        <w:pStyle w:val="Heading4"/>
      </w:pPr>
      <w:bookmarkStart w:id="84" w:name="_Toc247691524"/>
      <w:bookmarkStart w:id="85" w:name="_Toc314842508"/>
      <w:bookmarkStart w:id="86" w:name="_Toc196046504"/>
      <w:bookmarkStart w:id="87" w:name="_Toc163441390"/>
      <w:r w:rsidRPr="00605AD4">
        <w:t>Studies providing safety data</w:t>
      </w:r>
    </w:p>
    <w:p w:rsidR="00DF3731" w:rsidRDefault="00DF3731" w:rsidP="00806140">
      <w:pPr>
        <w:rPr>
          <w:rFonts w:eastAsia="Batang"/>
        </w:rPr>
      </w:pPr>
      <w:r>
        <w:t>The sponsor has not provided any studies evaluating the clinical safety of the generic formulation.</w:t>
      </w:r>
    </w:p>
    <w:p w:rsidR="00605AD4" w:rsidRDefault="00605AD4" w:rsidP="00605AD4">
      <w:pPr>
        <w:pStyle w:val="Heading4"/>
      </w:pPr>
      <w:r w:rsidRPr="00605AD4">
        <w:t>Evaluator’s conclusions on safety</w:t>
      </w:r>
    </w:p>
    <w:p w:rsidR="00DF3731" w:rsidRDefault="00DF3731" w:rsidP="00806140">
      <w:pPr>
        <w:rPr>
          <w:rFonts w:eastAsia="Batang"/>
        </w:rPr>
      </w:pPr>
      <w:r>
        <w:t>The sponsor has not provided any evidence for the clinical safety of the generic formulation.</w:t>
      </w:r>
    </w:p>
    <w:p w:rsidR="002D64ED" w:rsidRDefault="00DF3731" w:rsidP="00806140">
      <w:r>
        <w:t>As mentioned previously, there is at this time some uncertainty regarding the therapeutic equivalence between the reference and generic formulations, including the safety profile</w:t>
      </w:r>
      <w:r w:rsidR="002D64ED">
        <w:t>.</w:t>
      </w:r>
    </w:p>
    <w:p w:rsidR="00DF3731" w:rsidRDefault="00DF3731" w:rsidP="00806140">
      <w:r>
        <w:t xml:space="preserve">As the sponsor has not indicated a lower limit for the particle size concern is raised regarding the presence of </w:t>
      </w:r>
      <w:proofErr w:type="spellStart"/>
      <w:r>
        <w:t>allyl</w:t>
      </w:r>
      <w:proofErr w:type="spellEnd"/>
      <w:r>
        <w:t xml:space="preserve"> amine monomers and small oligomers that may be absorbed. The clinical safety implications of a measurable systemic absorption of a portion of this formulation are unknown but at this time there is no certainty that it is negligible.</w:t>
      </w:r>
    </w:p>
    <w:p w:rsidR="002D64ED" w:rsidRDefault="00DF3731" w:rsidP="00806140">
      <w:r>
        <w:t xml:space="preserve">The size of the 800 mg tablet is a concern. The final physical dimensions of the tablet have not been provided. </w:t>
      </w:r>
      <w:r>
        <w:rPr>
          <w:rFonts w:cs="Calibri"/>
        </w:rPr>
        <w:t>Difficulty swallowing tablets occurs at all ages. Factors affecting swallowing include increasing age due to age related changes in salivary gland, oropharyngeal and/or oesophageal muscle function; certain co-morbidities such as with scleroderma or after stroke and with some medications such as those with anticholinergic effects. Although it is recognised that the issue of large tablet size and potential choking hazard is present in the reference product and that there are warnings already in place in the PI, the generic product should not exceed the dimensions of the reference product for these reasons.</w:t>
      </w:r>
      <w:r w:rsidR="000325C5">
        <w:t xml:space="preserve"> </w:t>
      </w:r>
      <w:r>
        <w:rPr>
          <w:rFonts w:cs="Calibri"/>
        </w:rPr>
        <w:t xml:space="preserve">A large tablet size is also a tolerability concern in that patients who have difficulty swallowing tablets and more likely to miss doses or be completely non-compliant with the therapy. Failure to comply with therapy is associated with possible increased morbidity and mortality. </w:t>
      </w:r>
      <w:r>
        <w:t>There is no clinical information in the submission that addresses the issue of whether swallowing difficulties and the potential choking hazard is are equal to or less than those recognised for the reference product</w:t>
      </w:r>
      <w:r w:rsidR="002D64ED">
        <w:t>.</w:t>
      </w:r>
    </w:p>
    <w:p w:rsidR="002D64ED" w:rsidRDefault="00DF3731" w:rsidP="00806140">
      <w:r>
        <w:t xml:space="preserve">The swell characteristics of the final product have not been provided. The reference swells to 6 </w:t>
      </w:r>
      <w:r w:rsidR="007A1D60">
        <w:t>to</w:t>
      </w:r>
      <w:r>
        <w:t xml:space="preserve"> 8 times its original weight and 8 times its volume. This of itself raises safety concerns around the potential for gastrointestinal tract obstruction including intestinal obstruction and partial obstruction of the oesophagus, especially in patients with ulceration and strictures, and for adverse outcomes if the tablet is lodged outside the gastrointestinal tract. The sponsor has not provided evidence that the generic product does not swell more than the reference product</w:t>
      </w:r>
      <w:r w:rsidR="002D64ED">
        <w:t>.</w:t>
      </w:r>
    </w:p>
    <w:p w:rsidR="00DF3731" w:rsidRDefault="00DF3731" w:rsidP="00806140">
      <w:r>
        <w:t xml:space="preserve">Metabolic acidosis is a safety concern. It is expected that </w:t>
      </w:r>
      <w:proofErr w:type="spellStart"/>
      <w:r>
        <w:t>HCl</w:t>
      </w:r>
      <w:proofErr w:type="spellEnd"/>
      <w:r>
        <w:t xml:space="preserve"> would be liberated from the generic product on binding of phosphate ions as it is with the reference product. It is unknown whether binding of bicarbonate ions in the gut occurs similarly between the reference and generic products.</w:t>
      </w:r>
    </w:p>
    <w:p w:rsidR="002D64ED" w:rsidRDefault="00DF3731" w:rsidP="00806140">
      <w:r>
        <w:lastRenderedPageBreak/>
        <w:t>With the outstanding concerns regarding the physicochemical similarity between the reference and the generic formulation as yet unresolved, the safety profile characterised for the reference product cannot be extrapolated to the generic product with confidence</w:t>
      </w:r>
      <w:r w:rsidR="002D64ED">
        <w:t>.</w:t>
      </w:r>
    </w:p>
    <w:p w:rsidR="00DF3731" w:rsidRDefault="00DF3731" w:rsidP="007A1D60">
      <w:pPr>
        <w:pStyle w:val="Heading4"/>
      </w:pPr>
      <w:r>
        <w:t>Trade names</w:t>
      </w:r>
    </w:p>
    <w:p w:rsidR="002D64ED" w:rsidRDefault="00DF3731" w:rsidP="00DF3731">
      <w:r>
        <w:t>Two of the proposed trade names give cause for concern with regards to look alike and soun</w:t>
      </w:r>
      <w:r w:rsidRPr="00806140">
        <w:t xml:space="preserve">d alike medication errors. The proposed trade name </w:t>
      </w:r>
      <w:proofErr w:type="spellStart"/>
      <w:r w:rsidRPr="00806140">
        <w:t>Sevelam</w:t>
      </w:r>
      <w:proofErr w:type="spellEnd"/>
      <w:r w:rsidRPr="00806140">
        <w:t xml:space="preserve"> looks like </w:t>
      </w:r>
      <w:proofErr w:type="spellStart"/>
      <w:r w:rsidRPr="00806140">
        <w:t>Sevelon</w:t>
      </w:r>
      <w:proofErr w:type="spellEnd"/>
      <w:r w:rsidRPr="00806140">
        <w:t xml:space="preserve">, particularly when handwritten, sounds alike when the emphasis is placed on the first syllable and is </w:t>
      </w:r>
      <w:r w:rsidR="007A1D60">
        <w:t xml:space="preserve">therefore </w:t>
      </w:r>
      <w:r w:rsidRPr="00806140">
        <w:t xml:space="preserve">unacceptable. </w:t>
      </w:r>
      <w:r w:rsidR="007A1D60">
        <w:t>Furthermore,</w:t>
      </w:r>
      <w:r w:rsidRPr="00806140">
        <w:t xml:space="preserve"> the proposed trade name </w:t>
      </w:r>
      <w:proofErr w:type="spellStart"/>
      <w:r w:rsidRPr="00806140">
        <w:t>Sevlar</w:t>
      </w:r>
      <w:proofErr w:type="spellEnd"/>
      <w:r w:rsidRPr="00806140">
        <w:t xml:space="preserve"> both sounds and looks like </w:t>
      </w:r>
      <w:proofErr w:type="spellStart"/>
      <w:r w:rsidRPr="00806140">
        <w:t>Sevikar</w:t>
      </w:r>
      <w:proofErr w:type="spellEnd"/>
      <w:r w:rsidRPr="00806140">
        <w:t xml:space="preserve"> and is unacceptable</w:t>
      </w:r>
      <w:r w:rsidR="002D64ED">
        <w:t>.</w:t>
      </w:r>
    </w:p>
    <w:p w:rsidR="00605AD4" w:rsidRPr="00605AD4" w:rsidRDefault="00605AD4" w:rsidP="00605AD4">
      <w:pPr>
        <w:pStyle w:val="Heading3"/>
        <w:rPr>
          <w:rFonts w:eastAsia="Cambria"/>
        </w:rPr>
      </w:pPr>
      <w:bookmarkStart w:id="88" w:name="_Toc434909887"/>
      <w:r w:rsidRPr="00605AD4">
        <w:rPr>
          <w:rFonts w:eastAsia="Cambria"/>
        </w:rPr>
        <w:t xml:space="preserve">First </w:t>
      </w:r>
      <w:r w:rsidR="00723EFB">
        <w:rPr>
          <w:rFonts w:eastAsia="Cambria"/>
        </w:rPr>
        <w:t>r</w:t>
      </w:r>
      <w:r w:rsidRPr="00605AD4">
        <w:rPr>
          <w:rFonts w:eastAsia="Cambria"/>
        </w:rPr>
        <w:t xml:space="preserve">ound </w:t>
      </w:r>
      <w:r w:rsidR="00723EFB">
        <w:rPr>
          <w:rFonts w:eastAsia="Cambria"/>
        </w:rPr>
        <w:t>b</w:t>
      </w:r>
      <w:r w:rsidRPr="00605AD4">
        <w:rPr>
          <w:rFonts w:eastAsia="Cambria"/>
        </w:rPr>
        <w:t>enefit-</w:t>
      </w:r>
      <w:r w:rsidR="00723EFB">
        <w:rPr>
          <w:rFonts w:eastAsia="Cambria"/>
        </w:rPr>
        <w:t>r</w:t>
      </w:r>
      <w:r w:rsidRPr="00605AD4">
        <w:rPr>
          <w:rFonts w:eastAsia="Cambria"/>
        </w:rPr>
        <w:t xml:space="preserve">isk </w:t>
      </w:r>
      <w:r w:rsidR="00723EFB">
        <w:rPr>
          <w:rFonts w:eastAsia="Cambria"/>
        </w:rPr>
        <w:t>a</w:t>
      </w:r>
      <w:r w:rsidRPr="00605AD4">
        <w:rPr>
          <w:rFonts w:eastAsia="Cambria"/>
        </w:rPr>
        <w:t>ssessment</w:t>
      </w:r>
      <w:bookmarkEnd w:id="88"/>
    </w:p>
    <w:p w:rsidR="00DF3731" w:rsidRDefault="00DF3731" w:rsidP="00806140">
      <w:pPr>
        <w:pStyle w:val="Heading4"/>
      </w:pPr>
      <w:bookmarkStart w:id="89" w:name="_Toc386528604"/>
      <w:bookmarkStart w:id="90" w:name="_Toc290846331"/>
      <w:bookmarkStart w:id="91" w:name="_Toc272414693"/>
      <w:bookmarkStart w:id="92" w:name="_Ref272160836"/>
      <w:bookmarkStart w:id="93" w:name="_Toc241374331"/>
      <w:bookmarkStart w:id="94" w:name="_Toc236802592"/>
      <w:r>
        <w:t>First round assessment of benefits</w:t>
      </w:r>
      <w:bookmarkEnd w:id="89"/>
      <w:bookmarkEnd w:id="90"/>
      <w:bookmarkEnd w:id="91"/>
      <w:bookmarkEnd w:id="92"/>
      <w:bookmarkEnd w:id="93"/>
      <w:bookmarkEnd w:id="94"/>
    </w:p>
    <w:p w:rsidR="00DF3731" w:rsidRDefault="00DF3731" w:rsidP="00DF3731">
      <w:pPr>
        <w:rPr>
          <w:rFonts w:eastAsia="Batang"/>
        </w:rPr>
      </w:pPr>
      <w:r>
        <w:t xml:space="preserve">The benefits of the generic formulation of </w:t>
      </w:r>
      <w:proofErr w:type="spellStart"/>
      <w:r>
        <w:t>sevelamer</w:t>
      </w:r>
      <w:proofErr w:type="spellEnd"/>
      <w:r>
        <w:t xml:space="preserve"> hydrochloride in the proposed usage are:</w:t>
      </w:r>
    </w:p>
    <w:p w:rsidR="00DF3731" w:rsidRDefault="00DF3731" w:rsidP="00806140">
      <w:pPr>
        <w:pStyle w:val="ListBullet"/>
      </w:pPr>
      <w:r>
        <w:t>The presence of an alternative product in the market in the event of a shortage of the reference product</w:t>
      </w:r>
      <w:r w:rsidR="007A1D60">
        <w:t>.</w:t>
      </w:r>
    </w:p>
    <w:p w:rsidR="00DF3731" w:rsidRDefault="00DF3731" w:rsidP="00806140">
      <w:pPr>
        <w:pStyle w:val="ListBullet"/>
      </w:pPr>
      <w:r>
        <w:t>Offers a choice to the consumer</w:t>
      </w:r>
      <w:r w:rsidR="007A1D60">
        <w:t>.</w:t>
      </w:r>
    </w:p>
    <w:p w:rsidR="00DF3731" w:rsidRDefault="00DF3731" w:rsidP="00806140">
      <w:pPr>
        <w:pStyle w:val="ListBullet"/>
      </w:pPr>
      <w:r>
        <w:t>As the 400 mg tablet is not marketed by the sponsor of the reference product, a 400 mg product would offer</w:t>
      </w:r>
      <w:r w:rsidR="000325C5">
        <w:t xml:space="preserve"> </w:t>
      </w:r>
      <w:r>
        <w:t xml:space="preserve">the prescriber options for dose titration. The 400 mg tablet is likely to be smaller than the 800 mg tablet and would be easier to swallow. The sponsor has indicated in the </w:t>
      </w:r>
      <w:r w:rsidR="007A1D60">
        <w:t>Consumer Medicine Information (</w:t>
      </w:r>
      <w:r>
        <w:t>CMI</w:t>
      </w:r>
      <w:r w:rsidR="007A1D60">
        <w:t>)</w:t>
      </w:r>
      <w:r>
        <w:t xml:space="preserve"> that this dosage strength will not be marketed. If this is the case, the potential benefits of this dosage strength would not be realised.</w:t>
      </w:r>
    </w:p>
    <w:p w:rsidR="002D64ED" w:rsidRDefault="00DF3731" w:rsidP="00DF3731">
      <w:r>
        <w:t xml:space="preserve">The physicochemical properties of the generic formulation have not yet been established as sufficiently similar to the reference to accept bioequivalence based on the outcome of the in vitro studies as presented. It is not possible to extrapolate of the known benefits of the reference formulation of </w:t>
      </w:r>
      <w:proofErr w:type="spellStart"/>
      <w:r>
        <w:t>sevelamer</w:t>
      </w:r>
      <w:proofErr w:type="spellEnd"/>
      <w:r>
        <w:t xml:space="preserve"> hydrochloride to the generic formulation with any certainty at this time</w:t>
      </w:r>
      <w:r w:rsidR="002D64ED">
        <w:t>.</w:t>
      </w:r>
    </w:p>
    <w:p w:rsidR="00DF3731" w:rsidRDefault="00DF3731" w:rsidP="00806140">
      <w:pPr>
        <w:pStyle w:val="Heading4"/>
      </w:pPr>
      <w:bookmarkStart w:id="95" w:name="_Toc386528605"/>
      <w:bookmarkStart w:id="96" w:name="_Toc290846332"/>
      <w:bookmarkStart w:id="97" w:name="_Toc272414694"/>
      <w:bookmarkStart w:id="98" w:name="_Ref272160964"/>
      <w:bookmarkStart w:id="99" w:name="_Toc241374334"/>
      <w:bookmarkStart w:id="100" w:name="_Toc236802596"/>
      <w:r>
        <w:t>First round assessment of risks</w:t>
      </w:r>
      <w:bookmarkEnd w:id="95"/>
      <w:bookmarkEnd w:id="96"/>
      <w:bookmarkEnd w:id="97"/>
      <w:bookmarkEnd w:id="98"/>
      <w:bookmarkEnd w:id="99"/>
      <w:bookmarkEnd w:id="100"/>
    </w:p>
    <w:p w:rsidR="00DF3731" w:rsidRDefault="00DF3731" w:rsidP="00DF3731">
      <w:pPr>
        <w:rPr>
          <w:rFonts w:eastAsia="Batang"/>
        </w:rPr>
      </w:pPr>
      <w:r>
        <w:t>The risks of the generic formulation in the proposed usage are:</w:t>
      </w:r>
    </w:p>
    <w:p w:rsidR="00DF3731" w:rsidRDefault="00DF3731" w:rsidP="00806140">
      <w:pPr>
        <w:pStyle w:val="ListBullet"/>
      </w:pPr>
      <w:r>
        <w:t xml:space="preserve">No human data for the generic product to establish that its </w:t>
      </w:r>
      <w:proofErr w:type="spellStart"/>
      <w:r>
        <w:t>pharmacodynamic</w:t>
      </w:r>
      <w:proofErr w:type="spellEnd"/>
      <w:r>
        <w:t>, efficacy and safety characteristics are the same as the reference product</w:t>
      </w:r>
    </w:p>
    <w:p w:rsidR="00DF3731" w:rsidRDefault="00DF3731" w:rsidP="00806140">
      <w:pPr>
        <w:pStyle w:val="ListBullet"/>
      </w:pPr>
      <w:r>
        <w:t xml:space="preserve">No lower limit on particle size and no evidence there are no water soluble monomers or oligomers that could be absorbed and no studies that show there is not absorption in human. The pharmaceutical or toxic actions, if any, of absorbed monomers are unknown. Particle size is also important for efficacy. No in vivo studies have been performed. Efficacy and </w:t>
      </w:r>
      <w:proofErr w:type="spellStart"/>
      <w:r>
        <w:t>pharmacodynamic</w:t>
      </w:r>
      <w:proofErr w:type="spellEnd"/>
      <w:r>
        <w:t xml:space="preserve"> effects of the reference product have not been investigated in human subjects and are unknown for the generic product.</w:t>
      </w:r>
    </w:p>
    <w:p w:rsidR="00DF3731" w:rsidRDefault="00DF3731" w:rsidP="00806140">
      <w:pPr>
        <w:pStyle w:val="ListBullet"/>
      </w:pPr>
      <w:r>
        <w:t>There is a higher percentage of cross-linking in the generic formulation compared with the reference product, with the potential for increased swelling as the two properties are related. Cross-linking that differs from the reference product may result in</w:t>
      </w:r>
      <w:r w:rsidR="000325C5">
        <w:t xml:space="preserve"> </w:t>
      </w:r>
      <w:r>
        <w:t xml:space="preserve">a different capacity to bind dietary phosphate but also may affect drug-drug interactions and interactions with other anions, including bile salts. Swelling has safety </w:t>
      </w:r>
      <w:r>
        <w:lastRenderedPageBreak/>
        <w:t>implications with the potential to cause bowel obstruction, oesophageal obstruction, and airway obstruction if the tablet is inadvertently inhaled.</w:t>
      </w:r>
    </w:p>
    <w:p w:rsidR="00DF3731" w:rsidRDefault="00DF3731" w:rsidP="00806140">
      <w:pPr>
        <w:pStyle w:val="ListBullet"/>
      </w:pPr>
      <w:r>
        <w:t>The proposed tablet size is large. The final dimensions are not provided but the press size for the uncoated 800 mg tablet is 19.00 mm x 9.5 mm x 8 mm. This may pose a choking hazard, particularly in the target population who are often elderly with significant co</w:t>
      </w:r>
      <w:r w:rsidR="000B758C">
        <w:t>-</w:t>
      </w:r>
      <w:r>
        <w:t>morbidities.</w:t>
      </w:r>
    </w:p>
    <w:p w:rsidR="00DF3731" w:rsidRDefault="00DF3731" w:rsidP="00806140">
      <w:pPr>
        <w:pStyle w:val="ListBullet"/>
      </w:pPr>
      <w:r>
        <w:t>Other safety concerns of relevance to the reference product may be of relevance to the generic product, such as metabolic acidosis and the potential for intestinal obstruction and vitamin deficiencies. Whether these occur with a similar frequency and with a similar severity compared to the reference product is unknown and cannot be assumed with certainty.</w:t>
      </w:r>
    </w:p>
    <w:p w:rsidR="00DF3731" w:rsidRDefault="00DF3731" w:rsidP="00806140">
      <w:pPr>
        <w:pStyle w:val="Heading4"/>
      </w:pPr>
      <w:bookmarkStart w:id="101" w:name="_Toc386528606"/>
      <w:bookmarkStart w:id="102" w:name="_Toc290846333"/>
      <w:bookmarkStart w:id="103" w:name="_Toc272414695"/>
      <w:bookmarkStart w:id="104" w:name="_Toc241374335"/>
      <w:bookmarkStart w:id="105" w:name="_Toc236802597"/>
      <w:r>
        <w:t>First round assessment of benefit-risk balance</w:t>
      </w:r>
      <w:bookmarkEnd w:id="101"/>
      <w:bookmarkEnd w:id="102"/>
      <w:bookmarkEnd w:id="103"/>
      <w:bookmarkEnd w:id="104"/>
      <w:bookmarkEnd w:id="105"/>
    </w:p>
    <w:p w:rsidR="002D64ED" w:rsidRDefault="00DF3731" w:rsidP="00DF3731">
      <w:r>
        <w:t>The sponsor has not provided any clinical data from the use of the generic product in this submission but has relied on two in vitro studies to demonstrate bioequivalence of the generic and reference products</w:t>
      </w:r>
      <w:r w:rsidR="002D64ED">
        <w:t>.</w:t>
      </w:r>
    </w:p>
    <w:p w:rsidR="00DF3731" w:rsidRDefault="00DF3731" w:rsidP="00DF3731">
      <w:r>
        <w:t xml:space="preserve">The sponsor has relied on FDA guidance to support its approach to this submission for registration of a generic product. However, the reliance is on a method for establishing bioequivalence for </w:t>
      </w:r>
      <w:proofErr w:type="spellStart"/>
      <w:r>
        <w:t>sevelamer</w:t>
      </w:r>
      <w:proofErr w:type="spellEnd"/>
      <w:r>
        <w:t xml:space="preserve"> hydrochloride. The justification for undertaking these studies alone is contingent upon demonstration of the chemical equivalence of the two formulations. There are concerns raised by the </w:t>
      </w:r>
      <w:r w:rsidR="000B758C">
        <w:t>quality</w:t>
      </w:r>
      <w:r>
        <w:t xml:space="preserve"> evaluator regarding the equivalence of physicochemical properties of the generic product compared with the reference products. Of specific concern are the potential differences in particle size, cross linking and phosphate binding characteristics of the generic product as compared with the reference product. Additional data and clarification will be sought from the sponsor by the </w:t>
      </w:r>
      <w:r w:rsidR="000B758C">
        <w:t>quality</w:t>
      </w:r>
      <w:r>
        <w:t xml:space="preserve"> evaluator.</w:t>
      </w:r>
    </w:p>
    <w:p w:rsidR="002D64ED" w:rsidRDefault="00DF3731" w:rsidP="00DF3731">
      <w:r>
        <w:t>The concern regarding the particle size is relevant for the efficacy of the product. There is evidence in the submission that particle size is related to phosphate binding in a</w:t>
      </w:r>
      <w:r w:rsidR="00DF3FB2">
        <w:t xml:space="preserve"> </w:t>
      </w:r>
      <w:r w:rsidR="000B758C">
        <w:t>nonclinical</w:t>
      </w:r>
      <w:r>
        <w:t xml:space="preserve"> study and controlling the particle to size to be within the same range as that of the reference product would appear to be important for its clinical efficacy of phosphate binding. There is no human data to suggest there are no differences in efficacy between the generic and reference products in the target population. There is currently no lower limit to the particle size, suggesting there may be monomers or small oligomers that may be absorbed. The clinical consequences of this are unknown</w:t>
      </w:r>
      <w:r w:rsidR="002D64ED">
        <w:t>.</w:t>
      </w:r>
    </w:p>
    <w:p w:rsidR="002D64ED" w:rsidRDefault="00DF3731" w:rsidP="00DF3731">
      <w:r>
        <w:t>Cross-linking is important for the geometry of the molecule, its ion binding and its swelling. There is a difference in cross-linking between the generic and reference products. No data has been provided that the generic product swells in the same proportions as the reference product. There are potential safety concerns regarding the swelling of the product particularly if it lodges outside the gastrointestinal tract but also if it draws more fluid from the gut contents than the reference product and is associated with a greater risk of constipation and therefore bowel obstruction</w:t>
      </w:r>
      <w:r w:rsidR="002D64ED">
        <w:t>.</w:t>
      </w:r>
    </w:p>
    <w:p w:rsidR="00DF3731" w:rsidRDefault="00DF3731" w:rsidP="00DF3731">
      <w:r>
        <w:t>The binding of other anions has not been tested and there is concern regarding the physicochemical properties of the generic product compared with the reference product.</w:t>
      </w:r>
      <w:r w:rsidR="000325C5">
        <w:t xml:space="preserve"> </w:t>
      </w:r>
      <w:r>
        <w:t>In the absence of clinical data to suggest otherwise, there is concern regarding potential differences in the binding of other anions.</w:t>
      </w:r>
    </w:p>
    <w:p w:rsidR="00DF3731" w:rsidRDefault="00DF3731" w:rsidP="00DF3731">
      <w:r>
        <w:t xml:space="preserve">The final dimensions of the tablets of the generic product have not been provided. The sizes of the compression moulds of the generic tablets have been provided and the assumption must be made that film coating will add to the size of the tablet. Swallowing difficulties are recognised by the sponsor of the reference product and warnings appear in the PI and CMI for </w:t>
      </w:r>
      <w:proofErr w:type="spellStart"/>
      <w:r>
        <w:t>Renagel</w:t>
      </w:r>
      <w:proofErr w:type="spellEnd"/>
      <w:r>
        <w:t>.</w:t>
      </w:r>
      <w:r w:rsidR="000325C5">
        <w:t xml:space="preserve"> </w:t>
      </w:r>
      <w:r>
        <w:t xml:space="preserve">This is of great concern as the reference product is </w:t>
      </w:r>
      <w:r>
        <w:lastRenderedPageBreak/>
        <w:t>approximately 19mm in maximum dimension and further increases in size will have implications for the safety (potential choking hazard) and tolerability (poor compliance when tablets are difficult to swallow). This concern is increased as the potential for the swelling of the tablet is not quantified.</w:t>
      </w:r>
    </w:p>
    <w:p w:rsidR="002D64ED" w:rsidRDefault="00DF3731" w:rsidP="00DF3731">
      <w:r>
        <w:t xml:space="preserve">The proposed indication is for the reduction of serum phosphate in patients with Stage 4 or 5 chronic kidney </w:t>
      </w:r>
      <w:proofErr w:type="gramStart"/>
      <w:r>
        <w:t>disease</w:t>
      </w:r>
      <w:proofErr w:type="gramEnd"/>
      <w:r>
        <w:t xml:space="preserve">. The target </w:t>
      </w:r>
      <w:r w:rsidRPr="00B653C1">
        <w:t xml:space="preserve">population has </w:t>
      </w:r>
      <w:r w:rsidR="00B653C1" w:rsidRPr="00B653C1">
        <w:t>end stage renal disease (</w:t>
      </w:r>
      <w:r w:rsidRPr="00B653C1">
        <w:t>ESRD</w:t>
      </w:r>
      <w:r w:rsidR="00B653C1" w:rsidRPr="00B653C1">
        <w:t>)</w:t>
      </w:r>
      <w:r w:rsidRPr="00B653C1">
        <w:t>.</w:t>
      </w:r>
      <w:r>
        <w:t xml:space="preserve"> This is a complex metabolic disorde</w:t>
      </w:r>
      <w:r w:rsidR="00184B61">
        <w:t>r</w:t>
      </w:r>
      <w:r>
        <w:t xml:space="preserve"> and multiple therapeutic interventions are required in patient management. It is important that any generic medication not only binds dietary phosphate in the same manner and to the same degree as the reference product but that it has the same interaction with other medications and other ions in order that patients and clinicians can be confident of the interchangeability of the generic and reference products. The behaviour of the polymer in vivo has not been tested in any model</w:t>
      </w:r>
      <w:r w:rsidR="002D64ED">
        <w:t>.</w:t>
      </w:r>
    </w:p>
    <w:p w:rsidR="002D64ED" w:rsidRDefault="00DF3731" w:rsidP="00DF3731">
      <w:r>
        <w:t xml:space="preserve">The potential benefits of an alternative </w:t>
      </w:r>
      <w:proofErr w:type="spellStart"/>
      <w:r>
        <w:t>sevelamer</w:t>
      </w:r>
      <w:proofErr w:type="spellEnd"/>
      <w:r>
        <w:t xml:space="preserve"> hydrochloride product in the market place in terms offering a choice of a 400 mg dosage form with a smaller, potentially easier to swallow tablet and the potential benefits of choice for patients and alternatives in the event of a shortage of the reference product, are outweighed by the concerns outlined above. There are no clinical data to characterise the safety and efficacy of the generic product compared with the reference product and that comparability cannot be assumed</w:t>
      </w:r>
      <w:r w:rsidR="002D64ED">
        <w:t>.</w:t>
      </w:r>
    </w:p>
    <w:p w:rsidR="00DF3731" w:rsidRDefault="00DF3731" w:rsidP="00DF3731">
      <w:pPr>
        <w:autoSpaceDE w:val="0"/>
        <w:autoSpaceDN w:val="0"/>
        <w:adjustRightInd w:val="0"/>
      </w:pPr>
      <w:r>
        <w:t xml:space="preserve">The benefit-risk balance of the generic formulation of </w:t>
      </w:r>
      <w:proofErr w:type="spellStart"/>
      <w:r>
        <w:t>sevelamer</w:t>
      </w:r>
      <w:proofErr w:type="spellEnd"/>
      <w:r>
        <w:t xml:space="preserve"> hydrochloride, given the proposed usage, is unfavourable.</w:t>
      </w:r>
    </w:p>
    <w:p w:rsidR="00605AD4" w:rsidRPr="00806140" w:rsidRDefault="00605AD4" w:rsidP="00723EFB">
      <w:pPr>
        <w:pStyle w:val="Heading3"/>
        <w:rPr>
          <w:rFonts w:eastAsia="Cambria"/>
        </w:rPr>
      </w:pPr>
      <w:bookmarkStart w:id="106" w:name="_Toc434909888"/>
      <w:r w:rsidRPr="00605AD4">
        <w:rPr>
          <w:rFonts w:eastAsia="Cambria"/>
        </w:rPr>
        <w:t xml:space="preserve">First </w:t>
      </w:r>
      <w:r w:rsidR="00723EFB">
        <w:rPr>
          <w:rFonts w:eastAsia="Cambria"/>
        </w:rPr>
        <w:t>r</w:t>
      </w:r>
      <w:r w:rsidRPr="00605AD4">
        <w:rPr>
          <w:rFonts w:eastAsia="Cambria"/>
        </w:rPr>
        <w:t xml:space="preserve">ound </w:t>
      </w:r>
      <w:r w:rsidR="00723EFB">
        <w:rPr>
          <w:rFonts w:eastAsia="Cambria"/>
        </w:rPr>
        <w:t>r</w:t>
      </w:r>
      <w:r w:rsidRPr="00605AD4">
        <w:rPr>
          <w:rFonts w:eastAsia="Cambria"/>
        </w:rPr>
        <w:t xml:space="preserve">ecommendation </w:t>
      </w:r>
      <w:r w:rsidR="00723EFB">
        <w:rPr>
          <w:rFonts w:eastAsia="Cambria"/>
        </w:rPr>
        <w:t>r</w:t>
      </w:r>
      <w:r w:rsidRPr="00605AD4">
        <w:rPr>
          <w:rFonts w:eastAsia="Cambria"/>
        </w:rPr>
        <w:t xml:space="preserve">egarding </w:t>
      </w:r>
      <w:r w:rsidR="00723EFB">
        <w:rPr>
          <w:rFonts w:eastAsia="Cambria"/>
        </w:rPr>
        <w:t>a</w:t>
      </w:r>
      <w:r w:rsidRPr="00605AD4">
        <w:rPr>
          <w:rFonts w:eastAsia="Cambria"/>
        </w:rPr>
        <w:t>uthorisation</w:t>
      </w:r>
      <w:bookmarkEnd w:id="106"/>
    </w:p>
    <w:p w:rsidR="00DF3731" w:rsidRDefault="00DF3731" w:rsidP="00DF3731">
      <w:pPr>
        <w:rPr>
          <w:rFonts w:eastAsia="Batang"/>
        </w:rPr>
      </w:pPr>
      <w:r>
        <w:t>It is recommended that the submission as it stands is rejected. The reasons for this recommendation are as follows:</w:t>
      </w:r>
    </w:p>
    <w:p w:rsidR="00DF3731" w:rsidRDefault="00DF3731" w:rsidP="00806140">
      <w:pPr>
        <w:pStyle w:val="ListBullet"/>
      </w:pPr>
      <w:r>
        <w:t>The lack of specification of particle size in the generic formulation and the lack of mention of a specific lower limit for particle size. There is nonclinical data to show that particle size is important for the therapeutic effect. It is possible that monomers and oligomers within the formulation may be systemically absorbed. The safety outcomes related to these molecules is unknown. There are no clinical data in support of the safety and efficacy of the generic product and to indicate that the concerns regarding particle size are of no clinical consequence.</w:t>
      </w:r>
    </w:p>
    <w:p w:rsidR="00DF3731" w:rsidRDefault="00DF3731" w:rsidP="00806140">
      <w:pPr>
        <w:pStyle w:val="ListBullet"/>
      </w:pPr>
      <w:r>
        <w:t>The difference in cross-linkages in the molecules between the reference and the generic formulations. Cross linkages within the molecule are important for arrangement of binding sites for phosphate. There is an absence of evidence to suggest a difference in molecular geometry is of no clinical consequence. The binding of other anions including bile acids, other drugs and bicarbonate is important for the interchangeability of the generic and reference products. Crosslinking is also related to the swelling of the molecule.</w:t>
      </w:r>
    </w:p>
    <w:p w:rsidR="002D64ED" w:rsidRDefault="00DF3731" w:rsidP="00806140">
      <w:pPr>
        <w:pStyle w:val="ListBullet"/>
      </w:pPr>
      <w:r>
        <w:t>There is missing information regarding the final size of the tablet. A possible increased difficulty swallowing the tablet if the final dimensions are larger than the reference product cannot be ruled out in the absence of this information</w:t>
      </w:r>
      <w:r w:rsidR="002D64ED">
        <w:t>.</w:t>
      </w:r>
    </w:p>
    <w:p w:rsidR="002D64ED" w:rsidRDefault="00DF3731" w:rsidP="00806140">
      <w:pPr>
        <w:pStyle w:val="ListBullet"/>
      </w:pPr>
      <w:r>
        <w:t>The sponsor has not provided clinical data to suggest that the differences in chemical properties between the generic and reference product are of no clinical consequence. The efficacy, safety and tolerability of the generic as compared with the reference product are unknown</w:t>
      </w:r>
      <w:r w:rsidR="002D64ED">
        <w:t>.</w:t>
      </w:r>
    </w:p>
    <w:p w:rsidR="00605AD4" w:rsidRPr="00605AD4" w:rsidRDefault="00605AD4" w:rsidP="00605AD4">
      <w:pPr>
        <w:pStyle w:val="Heading3"/>
        <w:rPr>
          <w:rFonts w:eastAsia="Cambria"/>
        </w:rPr>
      </w:pPr>
      <w:bookmarkStart w:id="107" w:name="_Toc434909889"/>
      <w:r w:rsidRPr="00605AD4">
        <w:rPr>
          <w:rFonts w:eastAsia="Cambria"/>
        </w:rPr>
        <w:lastRenderedPageBreak/>
        <w:t xml:space="preserve">Clinical </w:t>
      </w:r>
      <w:r w:rsidR="00723EFB">
        <w:rPr>
          <w:rFonts w:eastAsia="Cambria"/>
        </w:rPr>
        <w:t>q</w:t>
      </w:r>
      <w:r w:rsidRPr="00605AD4">
        <w:rPr>
          <w:rFonts w:eastAsia="Cambria"/>
        </w:rPr>
        <w:t>uestions</w:t>
      </w:r>
      <w:bookmarkEnd w:id="107"/>
    </w:p>
    <w:p w:rsidR="00DF3731" w:rsidRDefault="00DF3731" w:rsidP="00806140">
      <w:pPr>
        <w:pStyle w:val="Heading4"/>
      </w:pPr>
      <w:bookmarkStart w:id="108" w:name="_Toc386528614"/>
      <w:bookmarkStart w:id="109" w:name="_Toc290846342"/>
      <w:bookmarkStart w:id="110" w:name="_Toc272414702"/>
      <w:r>
        <w:t>Pharmacokinetics</w:t>
      </w:r>
      <w:bookmarkEnd w:id="108"/>
      <w:bookmarkEnd w:id="109"/>
      <w:bookmarkEnd w:id="110"/>
    </w:p>
    <w:p w:rsidR="00DF3731" w:rsidRPr="00723EFB" w:rsidRDefault="00DF3731" w:rsidP="00723EFB">
      <w:pPr>
        <w:pStyle w:val="Numberbullet0"/>
        <w:numPr>
          <w:ilvl w:val="0"/>
          <w:numId w:val="20"/>
        </w:numPr>
        <w:rPr>
          <w:rFonts w:eastAsia="Batang"/>
        </w:rPr>
      </w:pPr>
      <w:r>
        <w:t xml:space="preserve">The sponsor submitted a justification for the use of in vitro studies alone to determine similarity between the generic formulation of </w:t>
      </w:r>
      <w:proofErr w:type="spellStart"/>
      <w:r>
        <w:t>sevelamer</w:t>
      </w:r>
      <w:proofErr w:type="spellEnd"/>
      <w:r>
        <w:t xml:space="preserve"> hydrochloride and the reference product. However, there have been issues raised including possible differences of particle size and particle size distribution, cross-linkages within the molecule and tablet size between the generic and reference formulations.</w:t>
      </w:r>
      <w:r w:rsidR="000325C5">
        <w:t xml:space="preserve"> </w:t>
      </w:r>
      <w:r>
        <w:t>Given these issues, the sponsor is requested to address the following questions below:</w:t>
      </w:r>
    </w:p>
    <w:p w:rsidR="00DF3731" w:rsidRDefault="00DF3731" w:rsidP="00723EFB">
      <w:pPr>
        <w:pStyle w:val="Numberbullet2"/>
      </w:pPr>
      <w:r>
        <w:t>A potential difference between the reference formulation and the generic formulation is the particle size and control for monomers and small oligomers. As there is no description of a control on the lower limit of the particle size and no absorption study in the submission to demonstrate that the generic formulation is not systemically absorbed, then please discuss the basis for the conclusion that there is no systemic absorption of the generic formulation and that it only acts locally within the gastrointestinal tract.</w:t>
      </w:r>
    </w:p>
    <w:p w:rsidR="00DF3731" w:rsidRDefault="00DF3731" w:rsidP="00723EFB">
      <w:pPr>
        <w:pStyle w:val="Numberbullet2"/>
      </w:pPr>
      <w:r>
        <w:t xml:space="preserve">Please indicate upon what basis the </w:t>
      </w:r>
      <w:proofErr w:type="spellStart"/>
      <w:r>
        <w:t>pharmacodynamic</w:t>
      </w:r>
      <w:proofErr w:type="spellEnd"/>
      <w:r>
        <w:t xml:space="preserve"> interactions (drugs and other molecules such as bile salts) described for the reference can be assumed for the generic formulation, given the potential difference in particle size distribution and cross-linkages between the reference formulation and the generic formulation.</w:t>
      </w:r>
    </w:p>
    <w:p w:rsidR="002D64ED" w:rsidRDefault="00DF3731" w:rsidP="00723EFB">
      <w:pPr>
        <w:pStyle w:val="Numberbullet2"/>
      </w:pPr>
      <w:r>
        <w:t xml:space="preserve">In reference to the justification for not including a bioequivalence study the sponsor states that the clinical risk from any ‘slight </w:t>
      </w:r>
      <w:proofErr w:type="spellStart"/>
      <w:r>
        <w:t>bioinequivalence</w:t>
      </w:r>
      <w:proofErr w:type="spellEnd"/>
      <w:r>
        <w:t xml:space="preserve">’ is low based on short term data derived from healthy volunteers. Please define ‘slight </w:t>
      </w:r>
      <w:proofErr w:type="spellStart"/>
      <w:r>
        <w:t>bioinequivalence</w:t>
      </w:r>
      <w:proofErr w:type="spellEnd"/>
      <w:r>
        <w:t>’. Please discuss the clinical consequences of this ‘</w:t>
      </w:r>
      <w:proofErr w:type="spellStart"/>
      <w:r>
        <w:t>bioinequivalence</w:t>
      </w:r>
      <w:proofErr w:type="spellEnd"/>
      <w:r>
        <w:t>’ for the target population, which often has significant co-morbidities and who may take this product over the long term. In this discussion please include a discussion of the clinical efficacy, safety and tolerability of the reference and the generic products</w:t>
      </w:r>
      <w:r w:rsidR="002D64ED">
        <w:t>.</w:t>
      </w:r>
    </w:p>
    <w:p w:rsidR="00DF3731" w:rsidRDefault="00DF3731" w:rsidP="00806140">
      <w:pPr>
        <w:pStyle w:val="Numberbullet0"/>
      </w:pPr>
      <w:r>
        <w:t>A justification is provided for not performing in vitro studies u</w:t>
      </w:r>
      <w:r w:rsidR="000B758C">
        <w:t>sing the 400 mg strength tablet</w:t>
      </w:r>
      <w:r>
        <w:t xml:space="preserve">. In this justification, the dose proportionality of ingested tablets between 800 mg tablet and 400 mg tablets is assumed on the basis of their derivation from a common blend of ingredients. However, </w:t>
      </w:r>
      <w:r w:rsidRPr="00D91930">
        <w:t>in Burke et al 1997</w:t>
      </w:r>
      <w:r w:rsidR="00D91930" w:rsidRPr="00D91930">
        <w:rPr>
          <w:vertAlign w:val="superscript"/>
        </w:rPr>
        <w:fldChar w:fldCharType="begin"/>
      </w:r>
      <w:r w:rsidR="00D91930" w:rsidRPr="00D91930">
        <w:rPr>
          <w:vertAlign w:val="superscript"/>
        </w:rPr>
        <w:instrText xml:space="preserve"> NOTEREF _Ref430679987 \h  \* MERGEFORMAT </w:instrText>
      </w:r>
      <w:r w:rsidR="00D91930" w:rsidRPr="00D91930">
        <w:rPr>
          <w:vertAlign w:val="superscript"/>
        </w:rPr>
      </w:r>
      <w:r w:rsidR="00D91930" w:rsidRPr="00D91930">
        <w:rPr>
          <w:vertAlign w:val="superscript"/>
        </w:rPr>
        <w:fldChar w:fldCharType="separate"/>
      </w:r>
      <w:r w:rsidR="00DC5E9C">
        <w:rPr>
          <w:vertAlign w:val="superscript"/>
        </w:rPr>
        <w:t>9</w:t>
      </w:r>
      <w:r w:rsidR="00D91930" w:rsidRPr="00D91930">
        <w:rPr>
          <w:vertAlign w:val="superscript"/>
        </w:rPr>
        <w:fldChar w:fldCharType="end"/>
      </w:r>
      <w:r w:rsidRPr="00D91930">
        <w:t xml:space="preserve"> a dose</w:t>
      </w:r>
      <w:r>
        <w:t xml:space="preserve"> of 2.5g of </w:t>
      </w:r>
      <w:proofErr w:type="spellStart"/>
      <w:r>
        <w:t>sevelamer</w:t>
      </w:r>
      <w:proofErr w:type="spellEnd"/>
      <w:r>
        <w:t xml:space="preserve"> 500 mg capsules did not bind double the phosphate of a 1.25 g dose, which suggests that there is not a direct linear relationship between phosphate binding and dose. Please discuss the clinical implications of this observation for the generic formulation as patients may choose to take two 400 mg tablets in preference to one 800 mg tablet and to support the registration of a 400 mg strength tablet.</w:t>
      </w:r>
    </w:p>
    <w:p w:rsidR="00DF3731" w:rsidRDefault="00DF3731" w:rsidP="00DF3731">
      <w:pPr>
        <w:pStyle w:val="Heading3"/>
        <w:keepLines w:val="0"/>
        <w:numPr>
          <w:ilvl w:val="2"/>
          <w:numId w:val="0"/>
        </w:numPr>
        <w:tabs>
          <w:tab w:val="num" w:pos="1134"/>
        </w:tabs>
        <w:spacing w:before="0" w:after="120" w:line="240" w:lineRule="auto"/>
        <w:ind w:left="1134" w:hanging="1134"/>
        <w:rPr>
          <w:rFonts w:eastAsia="Batang"/>
        </w:rPr>
      </w:pPr>
      <w:bookmarkStart w:id="111" w:name="_Toc386528615"/>
      <w:bookmarkStart w:id="112" w:name="_Toc290846345"/>
      <w:bookmarkStart w:id="113" w:name="_Toc272414705"/>
      <w:bookmarkStart w:id="114" w:name="_Toc434909890"/>
      <w:r>
        <w:rPr>
          <w:rFonts w:eastAsia="Batang"/>
        </w:rPr>
        <w:t>Safety</w:t>
      </w:r>
      <w:bookmarkEnd w:id="111"/>
      <w:bookmarkEnd w:id="112"/>
      <w:bookmarkEnd w:id="113"/>
      <w:bookmarkEnd w:id="114"/>
    </w:p>
    <w:p w:rsidR="002D64ED" w:rsidRDefault="00DF3731" w:rsidP="00806140">
      <w:pPr>
        <w:pStyle w:val="Numberbullet0"/>
      </w:pPr>
      <w:r>
        <w:t>The reference product carries a warning about choking for its tablet. The sponsor states that the generic 800 mg tablet is pressed into a 19 x 9.5 mm plain mould. Please provide the final physical dimensions of the generic product compared to the Australian reference product and if there are differences in size, shape or swell volume then discuss the clinical consequences for patients, including the potential for choking, and the risks of swelling and tablet size if the tablet is lodged in the airway or in the upper gastrointestinal tract</w:t>
      </w:r>
      <w:r w:rsidR="002D64ED">
        <w:t>.</w:t>
      </w:r>
    </w:p>
    <w:p w:rsidR="00DF3731" w:rsidRDefault="00DF3731" w:rsidP="00DF3731">
      <w:pPr>
        <w:pStyle w:val="Heading3"/>
        <w:keepLines w:val="0"/>
        <w:numPr>
          <w:ilvl w:val="2"/>
          <w:numId w:val="0"/>
        </w:numPr>
        <w:tabs>
          <w:tab w:val="num" w:pos="1134"/>
        </w:tabs>
        <w:spacing w:before="0" w:after="120" w:line="240" w:lineRule="auto"/>
        <w:ind w:left="1134" w:hanging="1134"/>
        <w:rPr>
          <w:rFonts w:eastAsia="Batang"/>
        </w:rPr>
      </w:pPr>
      <w:bookmarkStart w:id="115" w:name="_Toc386528616"/>
      <w:bookmarkStart w:id="116" w:name="_Toc434909891"/>
      <w:r>
        <w:rPr>
          <w:rFonts w:eastAsia="Batang"/>
        </w:rPr>
        <w:t>Other questions</w:t>
      </w:r>
      <w:bookmarkEnd w:id="115"/>
      <w:bookmarkEnd w:id="116"/>
    </w:p>
    <w:p w:rsidR="00DF3731" w:rsidRDefault="000B758C" w:rsidP="00806140">
      <w:pPr>
        <w:pStyle w:val="Numberbullet0"/>
        <w:rPr>
          <w:rFonts w:eastAsia="Batang"/>
        </w:rPr>
      </w:pPr>
      <w:r>
        <w:t>A</w:t>
      </w:r>
      <w:r w:rsidR="00DF3731">
        <w:t>n application for approval for this generic formulation was made in the EU</w:t>
      </w:r>
      <w:r w:rsidR="00184B61">
        <w:t xml:space="preserve"> (</w:t>
      </w:r>
      <w:r w:rsidR="00DF3731">
        <w:t>Germany</w:t>
      </w:r>
      <w:r w:rsidR="00184B61">
        <w:t>)</w:t>
      </w:r>
      <w:r w:rsidR="00DF3731">
        <w:t xml:space="preserve"> in December 2012. Please provide an update on the status of that application. In your response please include information about the following:</w:t>
      </w:r>
    </w:p>
    <w:p w:rsidR="00DF3731" w:rsidRDefault="00DF3731" w:rsidP="00806140">
      <w:pPr>
        <w:pStyle w:val="Numberbullet2"/>
      </w:pPr>
      <w:r>
        <w:lastRenderedPageBreak/>
        <w:t>whether additional data or other information has been requested of the applicant in support of the application in Europe;</w:t>
      </w:r>
      <w:r w:rsidR="000325C5">
        <w:t xml:space="preserve"> </w:t>
      </w:r>
      <w:r>
        <w:t>and/or</w:t>
      </w:r>
    </w:p>
    <w:p w:rsidR="00DF3731" w:rsidRDefault="00DF3731" w:rsidP="00806140">
      <w:pPr>
        <w:pStyle w:val="Numberbullet2"/>
      </w:pPr>
      <w:proofErr w:type="gramStart"/>
      <w:r>
        <w:t>whether</w:t>
      </w:r>
      <w:proofErr w:type="gramEnd"/>
      <w:r>
        <w:t xml:space="preserve"> there has been a requirement to undertake any further in vitro studies, animal studies or human clinical trials to support the application.</w:t>
      </w:r>
    </w:p>
    <w:p w:rsidR="00605AD4" w:rsidRPr="00605AD4" w:rsidRDefault="00DF3731" w:rsidP="00DF3731">
      <w:r>
        <w:t>Where additional information has been requested please provide the questions asked and the responses the sponsor provided. If additional studies have been requested please provide details of the request and a synopsis of the studies the sponsor is planning to conduct.</w:t>
      </w:r>
    </w:p>
    <w:p w:rsidR="00605AD4" w:rsidRDefault="00605AD4" w:rsidP="00605AD4">
      <w:pPr>
        <w:pStyle w:val="Heading3"/>
        <w:rPr>
          <w:rFonts w:eastAsia="Cambria"/>
        </w:rPr>
      </w:pPr>
      <w:bookmarkStart w:id="117" w:name="_Toc434909892"/>
      <w:r w:rsidRPr="00605AD4">
        <w:rPr>
          <w:rFonts w:eastAsia="Cambria"/>
        </w:rPr>
        <w:t xml:space="preserve">Second </w:t>
      </w:r>
      <w:r w:rsidR="00723EFB">
        <w:rPr>
          <w:rFonts w:eastAsia="Cambria"/>
        </w:rPr>
        <w:t>r</w:t>
      </w:r>
      <w:r w:rsidRPr="00605AD4">
        <w:rPr>
          <w:rFonts w:eastAsia="Cambria"/>
        </w:rPr>
        <w:t xml:space="preserve">ound </w:t>
      </w:r>
      <w:r w:rsidR="00723EFB">
        <w:rPr>
          <w:rFonts w:eastAsia="Cambria"/>
        </w:rPr>
        <w:t>e</w:t>
      </w:r>
      <w:r w:rsidRPr="00605AD4">
        <w:rPr>
          <w:rFonts w:eastAsia="Cambria"/>
        </w:rPr>
        <w:t>valuation of clinical data submitted in response to questions</w:t>
      </w:r>
      <w:bookmarkEnd w:id="117"/>
    </w:p>
    <w:p w:rsidR="000B758C" w:rsidRPr="000B758C" w:rsidRDefault="000B758C" w:rsidP="000B758C">
      <w:r>
        <w:t>For details of the sponsor’s responses to the Clinical questions and the clinical evalu</w:t>
      </w:r>
      <w:r w:rsidR="00DC1D1B">
        <w:t>a</w:t>
      </w:r>
      <w:r>
        <w:t>tor’s comments on these responses please see Attachment 2.</w:t>
      </w:r>
    </w:p>
    <w:p w:rsidR="00605AD4" w:rsidRPr="00605AD4" w:rsidRDefault="00605AD4" w:rsidP="00723EFB">
      <w:pPr>
        <w:pStyle w:val="Heading3"/>
        <w:rPr>
          <w:rFonts w:eastAsia="Cambria"/>
        </w:rPr>
      </w:pPr>
      <w:bookmarkStart w:id="118" w:name="_Toc434909893"/>
      <w:r w:rsidRPr="00605AD4">
        <w:rPr>
          <w:rFonts w:eastAsia="Cambria"/>
        </w:rPr>
        <w:t xml:space="preserve">Second </w:t>
      </w:r>
      <w:r w:rsidR="00723EFB">
        <w:rPr>
          <w:rFonts w:eastAsia="Cambria"/>
        </w:rPr>
        <w:t>r</w:t>
      </w:r>
      <w:r w:rsidRPr="00605AD4">
        <w:rPr>
          <w:rFonts w:eastAsia="Cambria"/>
        </w:rPr>
        <w:t xml:space="preserve">ound </w:t>
      </w:r>
      <w:r w:rsidR="00723EFB">
        <w:rPr>
          <w:rFonts w:eastAsia="Cambria"/>
        </w:rPr>
        <w:t>b</w:t>
      </w:r>
      <w:r w:rsidRPr="00605AD4">
        <w:rPr>
          <w:rFonts w:eastAsia="Cambria"/>
        </w:rPr>
        <w:t>enefit-</w:t>
      </w:r>
      <w:r w:rsidR="00723EFB">
        <w:rPr>
          <w:rFonts w:eastAsia="Cambria"/>
        </w:rPr>
        <w:t>r</w:t>
      </w:r>
      <w:r w:rsidRPr="00605AD4">
        <w:rPr>
          <w:rFonts w:eastAsia="Cambria"/>
        </w:rPr>
        <w:t xml:space="preserve">isk </w:t>
      </w:r>
      <w:r w:rsidR="00723EFB">
        <w:rPr>
          <w:rFonts w:eastAsia="Cambria"/>
        </w:rPr>
        <w:t>a</w:t>
      </w:r>
      <w:r w:rsidRPr="00605AD4">
        <w:rPr>
          <w:rFonts w:eastAsia="Cambria"/>
        </w:rPr>
        <w:t>ssessment</w:t>
      </w:r>
      <w:bookmarkEnd w:id="118"/>
    </w:p>
    <w:p w:rsidR="00DF3731" w:rsidRDefault="00DF3731" w:rsidP="00723EFB">
      <w:pPr>
        <w:pStyle w:val="Heading4"/>
      </w:pPr>
      <w:bookmarkStart w:id="119" w:name="_Toc386528627"/>
      <w:bookmarkStart w:id="120" w:name="_Toc290846349"/>
      <w:bookmarkStart w:id="121" w:name="_Toc272414709"/>
      <w:r>
        <w:t>Second round assessment of benefits</w:t>
      </w:r>
      <w:bookmarkEnd w:id="119"/>
      <w:bookmarkEnd w:id="120"/>
      <w:bookmarkEnd w:id="121"/>
    </w:p>
    <w:p w:rsidR="00DF3731" w:rsidRDefault="00DF3731" w:rsidP="00723EFB">
      <w:pPr>
        <w:rPr>
          <w:rFonts w:eastAsia="Batang"/>
        </w:rPr>
      </w:pPr>
      <w:r>
        <w:t xml:space="preserve">After consideration of the responses to clinical questions, the benefits of the generic version of </w:t>
      </w:r>
      <w:proofErr w:type="spellStart"/>
      <w:r>
        <w:t>sevelamer</w:t>
      </w:r>
      <w:proofErr w:type="spellEnd"/>
      <w:r>
        <w:t xml:space="preserve"> hydrochloride in the proposed usage are unchanged from those identified </w:t>
      </w:r>
      <w:r w:rsidR="000B758C">
        <w:t>in the First Round Evaluation</w:t>
      </w:r>
      <w:r>
        <w:t>.</w:t>
      </w:r>
    </w:p>
    <w:p w:rsidR="00DF3731" w:rsidRDefault="00DF3731" w:rsidP="00806140">
      <w:pPr>
        <w:pStyle w:val="Heading4"/>
      </w:pPr>
      <w:bookmarkStart w:id="122" w:name="_Toc386528628"/>
      <w:bookmarkStart w:id="123" w:name="_Toc290846350"/>
      <w:bookmarkStart w:id="124" w:name="_Toc272414710"/>
      <w:r>
        <w:t>Second round assessment of risks</w:t>
      </w:r>
      <w:bookmarkEnd w:id="122"/>
      <w:bookmarkEnd w:id="123"/>
      <w:bookmarkEnd w:id="124"/>
    </w:p>
    <w:p w:rsidR="00DF3731" w:rsidRDefault="00DF3731" w:rsidP="00DF3731">
      <w:pPr>
        <w:rPr>
          <w:rFonts w:eastAsia="Batang"/>
        </w:rPr>
      </w:pPr>
      <w:r>
        <w:t xml:space="preserve">After consideration of the responses to clinical questions, the risks of the generic version of </w:t>
      </w:r>
      <w:proofErr w:type="spellStart"/>
      <w:r>
        <w:t>sevelamer</w:t>
      </w:r>
      <w:proofErr w:type="spellEnd"/>
      <w:r>
        <w:t xml:space="preserve"> hydrochloride in the proposed usage are unchanged except for the following:</w:t>
      </w:r>
    </w:p>
    <w:p w:rsidR="00DF3731" w:rsidRDefault="00DF3731" w:rsidP="00806140">
      <w:pPr>
        <w:pStyle w:val="ListBullet"/>
      </w:pPr>
      <w:r>
        <w:t>The mean final dimensions are 19.0431 mm x 9.534 mm x 8.328 mm. This may pose a choking hazard, particularly in the target population who are often elderly, with significant co</w:t>
      </w:r>
      <w:r w:rsidR="000B758C">
        <w:t>-</w:t>
      </w:r>
      <w:r>
        <w:t>morbidities. Poor compliance or non-compliance may result from difficulty swallowing the tablet. Although the reference product is very large, the generic product is larger in length and thickness.</w:t>
      </w:r>
      <w:r w:rsidR="000325C5">
        <w:t xml:space="preserve"> </w:t>
      </w:r>
      <w:r>
        <w:t>Using the mean physical dimensions of the generic and reference products provided by the sponsor, the volume of the generic product is greater than the reference product (approximately 791.6 mm</w:t>
      </w:r>
      <w:r>
        <w:rPr>
          <w:vertAlign w:val="superscript"/>
        </w:rPr>
        <w:t>3</w:t>
      </w:r>
      <w:r>
        <w:t xml:space="preserve"> and 736.38 mm</w:t>
      </w:r>
      <w:r>
        <w:rPr>
          <w:vertAlign w:val="superscript"/>
        </w:rPr>
        <w:t>3</w:t>
      </w:r>
      <w:r>
        <w:t xml:space="preserve"> respectively)</w:t>
      </w:r>
      <w:r>
        <w:rPr>
          <w:rStyle w:val="FootnoteReference"/>
        </w:rPr>
        <w:footnoteReference w:id="11"/>
      </w:r>
      <w:r>
        <w:t xml:space="preserve"> and the cross-sectional area of the generic is also larger than the reference product (approximately 62.36mm</w:t>
      </w:r>
      <w:r>
        <w:rPr>
          <w:vertAlign w:val="superscript"/>
        </w:rPr>
        <w:t>2</w:t>
      </w:r>
      <w:r>
        <w:t xml:space="preserve"> and 58.28mm</w:t>
      </w:r>
      <w:r>
        <w:rPr>
          <w:vertAlign w:val="superscript"/>
        </w:rPr>
        <w:t>2</w:t>
      </w:r>
      <w:r>
        <w:t>, respectively)</w:t>
      </w:r>
      <w:r>
        <w:rPr>
          <w:rStyle w:val="FootnoteReference"/>
        </w:rPr>
        <w:footnoteReference w:id="12"/>
      </w:r>
      <w:r>
        <w:t>. There is no clinical data to assess the safety and tolerability of the generic product. Whether it is more difficult to swallow and poses a greater choking risk than the reference product is unknown. The sponsor has suggested that it would be willing to consider additional warnings in the PI and CMI regarding this risk, although it is not clear whether this would be sufficient to mitigate any increased risk.</w:t>
      </w:r>
    </w:p>
    <w:p w:rsidR="00DF3731" w:rsidRDefault="00DF3731" w:rsidP="00806140">
      <w:pPr>
        <w:pStyle w:val="ListBullet"/>
      </w:pPr>
      <w:r>
        <w:t>The sponsor has provided additional information regarding the swelling of the product. In the specification provided</w:t>
      </w:r>
      <w:r w:rsidR="000B758C">
        <w:t>,</w:t>
      </w:r>
      <w:r>
        <w:t xml:space="preserve"> the sponsor has indicated the swell index specification is set to 6.0 </w:t>
      </w:r>
      <w:r w:rsidR="00C73EAF">
        <w:t>to</w:t>
      </w:r>
      <w:r>
        <w:t xml:space="preserve"> 10.0. This is greater than that </w:t>
      </w:r>
      <w:r w:rsidRPr="00D91930">
        <w:t xml:space="preserve">reported by </w:t>
      </w:r>
      <w:proofErr w:type="spellStart"/>
      <w:r w:rsidRPr="00D91930">
        <w:t>Plone</w:t>
      </w:r>
      <w:proofErr w:type="spellEnd"/>
      <w:r w:rsidRPr="00D91930">
        <w:t xml:space="preserve"> et al 2002</w:t>
      </w:r>
      <w:r w:rsidR="00D91930" w:rsidRPr="00D91930">
        <w:rPr>
          <w:rStyle w:val="FootnoteReference"/>
        </w:rPr>
        <w:footnoteReference w:id="13"/>
      </w:r>
      <w:r w:rsidRPr="00D91930">
        <w:t xml:space="preserve"> for the reference product. The </w:t>
      </w:r>
      <w:r w:rsidR="00C73EAF" w:rsidRPr="00D91930">
        <w:t>quality</w:t>
      </w:r>
      <w:r w:rsidRPr="00D91930">
        <w:t xml:space="preserve"> evaluator will comment further on this but from</w:t>
      </w:r>
      <w:r>
        <w:t xml:space="preserve"> a clinical perspective the concern is that the generic product may have an increased risk of constipation and intestinal obstruction if its swell index is greater than the reference product.</w:t>
      </w:r>
      <w:r w:rsidR="000325C5">
        <w:t xml:space="preserve"> </w:t>
      </w:r>
      <w:r>
        <w:t xml:space="preserve">If a generic tablet lodged in the airway there is the </w:t>
      </w:r>
      <w:r>
        <w:lastRenderedPageBreak/>
        <w:t>potential for a larger obstruction to occur, due to the swelling, than with the reference product.</w:t>
      </w:r>
    </w:p>
    <w:p w:rsidR="00DF3731" w:rsidRDefault="00DF3731" w:rsidP="00806140">
      <w:pPr>
        <w:pStyle w:val="ListBullet"/>
      </w:pPr>
      <w:r>
        <w:t>The sponsor has addressed the issue of the control of the particle size such that monomers and water soluble oligomers are unlikely to be present in the formulation in that the lower limit of the particle size will be controlled and the impurity limit of water soluble oligomers will be no more than 0.2%.</w:t>
      </w:r>
    </w:p>
    <w:p w:rsidR="00DF3731" w:rsidRDefault="00DF3731" w:rsidP="00806140">
      <w:pPr>
        <w:pStyle w:val="Heading4"/>
      </w:pPr>
      <w:bookmarkStart w:id="125" w:name="_Toc386528629"/>
      <w:bookmarkStart w:id="126" w:name="_Toc290846351"/>
      <w:bookmarkStart w:id="127" w:name="_Toc272414711"/>
      <w:r>
        <w:t>Second round assessment of benefit-risk balance</w:t>
      </w:r>
      <w:bookmarkEnd w:id="125"/>
      <w:bookmarkEnd w:id="126"/>
      <w:bookmarkEnd w:id="127"/>
    </w:p>
    <w:p w:rsidR="00DF3731" w:rsidRDefault="00DF3731" w:rsidP="00806140">
      <w:pPr>
        <w:rPr>
          <w:rFonts w:eastAsia="Batang"/>
        </w:rPr>
      </w:pPr>
      <w:bookmarkStart w:id="128" w:name="_Toc378659159"/>
      <w:bookmarkStart w:id="129" w:name="_Toc378228845"/>
      <w:bookmarkStart w:id="130" w:name="_Toc377566201"/>
      <w:r>
        <w:t>The sponsor has chosen in vitro studies to demonstrate the phosphate binding of the generic formulation compared with the reference product. The sponsor has demonstrated that under the conditions of the in vitro studies the generic product binds phosphate ions. The characteristics of the binding differ between the generic and reference products for the affinity constant (k1) of the Langmuir equation, although the binding constants are similar. The kinetic binding study showed both the reference and generic products bind phosphate ions within 15 minutes but because the time points between 0 and 15 minutes have not been measured any difference between the generic and reference products is unknown. The sponsor has also provided evidence that the dose-response relationship for the reference product is complex. This raises uncertainty as to whether the clinical activity of the generic product is adequately characterised by in vitro studies alone.</w:t>
      </w:r>
    </w:p>
    <w:p w:rsidR="002D64ED" w:rsidRDefault="00DF3731" w:rsidP="00806140">
      <w:r>
        <w:t xml:space="preserve">The sponsor has addressed the issue of the lower limit of the particle size. The particle size distribution is still of concern </w:t>
      </w:r>
      <w:r w:rsidRPr="00495699">
        <w:t xml:space="preserve">although the sponsor has provided a justification for not comparing its product to the reference product. The adequacy of this justification will be assessed by the </w:t>
      </w:r>
      <w:r w:rsidR="00C73EAF" w:rsidRPr="00495699">
        <w:t>quality</w:t>
      </w:r>
      <w:r w:rsidRPr="00495699">
        <w:t xml:space="preserve"> evaluator. Particle size is important for phosphate binding but also be important for the binding of other anions</w:t>
      </w:r>
      <w:r w:rsidR="002D64ED">
        <w:t>.</w:t>
      </w:r>
    </w:p>
    <w:p w:rsidR="00DF3731" w:rsidRDefault="00DF3731" w:rsidP="00806140">
      <w:r>
        <w:t>The sponsor has provided a justification for not performing the phosphate binding studies on the 400 mg product.</w:t>
      </w:r>
      <w:r w:rsidR="000325C5">
        <w:t xml:space="preserve"> </w:t>
      </w:r>
      <w:r>
        <w:t>Although there is quantitative proportionality between the 400 mg and 800 mg doses, the sponsor has provided evidence that the dose-response curve in terms of serum phosphate bound in the target population is flat, suggesting the assumption that the 400 mg tablet should bind half the phosphate of the 800 mg tablet or that two 400 mg tablets should be interchangeable with one 800 mg tablet may not be valid in the patients with renal disease.</w:t>
      </w:r>
    </w:p>
    <w:p w:rsidR="00DF3731" w:rsidRDefault="00DF3731" w:rsidP="00806140">
      <w:r>
        <w:t>The sponsor has further clarified its justification for assuming that the difference in cross-linking is unlikely to be of any clinical consequence but there is no clinical data to support the assumption and its validity is untested. Although, as the sponsor states there is an overlap in the percentage of cross-linking between the polymers the percentage of cross-linking at the upper end of the range of crosslinking for the reference product and the lower end of the generic product. The cross-linking for most polymer molecules is likely to differ between the generic and reference products for the majority of polymer molecules manufactures and as previously discussed</w:t>
      </w:r>
      <w:r w:rsidR="00C73EAF">
        <w:t>,</w:t>
      </w:r>
      <w:r>
        <w:t xml:space="preserve"> may be of clinical relevance. Cross-linking is also related to the amount the product swells. The reference product has been associated with constipation and bowel obstruction. Additional swelling adds to the safety concern, particularly for patients with renal failure with an increased risk of slow colonic transit time.</w:t>
      </w:r>
    </w:p>
    <w:p w:rsidR="00DF3731" w:rsidRDefault="00DF3731" w:rsidP="00806140">
      <w:r>
        <w:t>There is acknowledgement by the sponsor that the 800 mg tablet size is large and swallowing difficulties may be encountered and it may be a choking hazard. The tablet must be swallowed whole and the sponsor proposes to add labels to the packaging to remind patients of this. Whether the generic formulation is more difficult to swallow is untested. If so, it is unclear whether additional warnings in the PI and CMI would be sufficient to mitigate the risk.</w:t>
      </w:r>
    </w:p>
    <w:p w:rsidR="002D64ED" w:rsidRDefault="00DF3731" w:rsidP="00806140">
      <w:r>
        <w:t xml:space="preserve">The benefit-risk balance of this generic version of </w:t>
      </w:r>
      <w:proofErr w:type="spellStart"/>
      <w:r>
        <w:t>sevelamer</w:t>
      </w:r>
      <w:proofErr w:type="spellEnd"/>
      <w:r>
        <w:t xml:space="preserve"> hydrochloride, given the proposed usage, is unfavourable</w:t>
      </w:r>
      <w:bookmarkEnd w:id="128"/>
      <w:bookmarkEnd w:id="129"/>
      <w:bookmarkEnd w:id="130"/>
      <w:r w:rsidR="002D64ED">
        <w:t>.</w:t>
      </w:r>
    </w:p>
    <w:p w:rsidR="00DF3731" w:rsidRDefault="00806140" w:rsidP="00806140">
      <w:pPr>
        <w:pStyle w:val="Heading3"/>
        <w:rPr>
          <w:rFonts w:eastAsia="Batang"/>
        </w:rPr>
      </w:pPr>
      <w:bookmarkStart w:id="131" w:name="_Toc386528630"/>
      <w:bookmarkStart w:id="132" w:name="_Toc290846352"/>
      <w:bookmarkStart w:id="133" w:name="_Toc272414713"/>
      <w:bookmarkStart w:id="134" w:name="_Ref272160677"/>
      <w:bookmarkStart w:id="135" w:name="_Toc434909894"/>
      <w:r>
        <w:rPr>
          <w:rFonts w:eastAsia="Batang"/>
        </w:rPr>
        <w:lastRenderedPageBreak/>
        <w:t>Second round recommendation regarding authorisation</w:t>
      </w:r>
      <w:bookmarkEnd w:id="131"/>
      <w:bookmarkEnd w:id="132"/>
      <w:bookmarkEnd w:id="133"/>
      <w:bookmarkEnd w:id="134"/>
      <w:bookmarkEnd w:id="135"/>
    </w:p>
    <w:p w:rsidR="00DF3731" w:rsidRDefault="00DF3731" w:rsidP="00DF3731">
      <w:pPr>
        <w:rPr>
          <w:rFonts w:eastAsia="Batang"/>
        </w:rPr>
      </w:pPr>
      <w:r>
        <w:t xml:space="preserve">Following review of the sponsor’s responses to the </w:t>
      </w:r>
      <w:r w:rsidR="00C73EAF">
        <w:t>Clinical questions,</w:t>
      </w:r>
      <w:r>
        <w:t xml:space="preserve"> the recommendation is for rejection of the application on the following grounds:</w:t>
      </w:r>
    </w:p>
    <w:p w:rsidR="00DF3731" w:rsidRDefault="00DF3731" w:rsidP="00C73EAF">
      <w:pPr>
        <w:pStyle w:val="ListBullet"/>
      </w:pPr>
      <w:r>
        <w:t>There are physicochemical differences between the generic and reference products which include a difference in the affinity constant for the Langmuir isotherm at 37</w:t>
      </w:r>
      <w:r>
        <w:rPr>
          <w:vertAlign w:val="superscript"/>
        </w:rPr>
        <w:t>o</w:t>
      </w:r>
      <w:r>
        <w:t>C, a difference in cross-linking and the swell index. These relevance of these differences in chemistry have not been</w:t>
      </w:r>
    </w:p>
    <w:p w:rsidR="002D64ED" w:rsidRDefault="00DF3731" w:rsidP="00C73EAF">
      <w:pPr>
        <w:pStyle w:val="ListBullet"/>
      </w:pPr>
      <w:r>
        <w:t>Therapeutic equivalence between the generic and reference products has not been tested in humans and it is unclear whether the generic and reference products are of sufficiently similar safety and efficacy such that they can be used interchangeably as could be the case if the generic formulation is approved</w:t>
      </w:r>
      <w:r w:rsidR="002D64ED">
        <w:t>.</w:t>
      </w:r>
    </w:p>
    <w:p w:rsidR="00DF3731" w:rsidRDefault="00DF3731" w:rsidP="00C73EAF">
      <w:pPr>
        <w:pStyle w:val="ListBullet"/>
      </w:pPr>
      <w:r>
        <w:t>There are the differences in chemistry between the reference and generic products which raises the possibility of differences in safety and efficacy in patients with ESRD. The validity of the concerns regarding these potential differences is unknown because of the lack of clinical data. The target population has Stage 4 or 5 ESRD and requires therapy to reduce serum phosphate. This is a complex disorder in patients that are often elderly, with significant co-morbidities and on multiple medications. This lack of clinical information regarding differences in safety and efficacy of the generic product and the reference product poses an unacceptable risk for these patients.</w:t>
      </w:r>
    </w:p>
    <w:p w:rsidR="008E7846" w:rsidRPr="00E41208" w:rsidRDefault="008E7846" w:rsidP="00546154">
      <w:pPr>
        <w:pStyle w:val="Heading2"/>
      </w:pPr>
      <w:bookmarkStart w:id="136" w:name="_Toc434909895"/>
      <w:r w:rsidRPr="00E41208">
        <w:t xml:space="preserve">V. Pharmacovigilance </w:t>
      </w:r>
      <w:r>
        <w:t>f</w:t>
      </w:r>
      <w:r w:rsidRPr="00E41208">
        <w:t>indings</w:t>
      </w:r>
      <w:bookmarkEnd w:id="84"/>
      <w:bookmarkEnd w:id="85"/>
      <w:bookmarkEnd w:id="136"/>
    </w:p>
    <w:p w:rsidR="008E7846" w:rsidRDefault="00386150" w:rsidP="008E7846">
      <w:pPr>
        <w:pStyle w:val="Heading3"/>
        <w:rPr>
          <w:lang w:eastAsia="en-AU"/>
        </w:rPr>
      </w:pPr>
      <w:bookmarkStart w:id="137" w:name="_Toc247691526"/>
      <w:bookmarkStart w:id="138" w:name="_Toc314842509"/>
      <w:bookmarkStart w:id="139" w:name="_Toc434909896"/>
      <w:r>
        <w:rPr>
          <w:lang w:eastAsia="en-AU"/>
        </w:rPr>
        <w:t>Risk m</w:t>
      </w:r>
      <w:r w:rsidR="008E7846">
        <w:rPr>
          <w:lang w:eastAsia="en-AU"/>
        </w:rPr>
        <w:t xml:space="preserve">anagement </w:t>
      </w:r>
      <w:r>
        <w:rPr>
          <w:lang w:eastAsia="en-AU"/>
        </w:rPr>
        <w:t>p</w:t>
      </w:r>
      <w:r w:rsidR="008E7846">
        <w:rPr>
          <w:lang w:eastAsia="en-AU"/>
        </w:rPr>
        <w:t>lan</w:t>
      </w:r>
      <w:bookmarkEnd w:id="137"/>
      <w:bookmarkEnd w:id="138"/>
      <w:bookmarkEnd w:id="139"/>
    </w:p>
    <w:p w:rsidR="008E7846" w:rsidRDefault="008E7846" w:rsidP="008E7846">
      <w:pPr>
        <w:rPr>
          <w:lang w:eastAsia="en-AU"/>
        </w:rPr>
      </w:pPr>
      <w:r>
        <w:rPr>
          <w:lang w:eastAsia="en-AU"/>
        </w:rPr>
        <w:t xml:space="preserve">The sponsor submitted a </w:t>
      </w:r>
      <w:r w:rsidR="00C73EAF">
        <w:rPr>
          <w:lang w:eastAsia="en-AU"/>
        </w:rPr>
        <w:t xml:space="preserve">European Union </w:t>
      </w:r>
      <w:r>
        <w:rPr>
          <w:lang w:eastAsia="en-AU"/>
        </w:rPr>
        <w:t>Risk Management Plan</w:t>
      </w:r>
      <w:r w:rsidR="006F25B8">
        <w:rPr>
          <w:lang w:eastAsia="en-AU"/>
        </w:rPr>
        <w:t xml:space="preserve"> </w:t>
      </w:r>
      <w:r w:rsidR="00C73EAF">
        <w:rPr>
          <w:lang w:eastAsia="en-AU"/>
        </w:rPr>
        <w:t xml:space="preserve">(EU-RMP) </w:t>
      </w:r>
      <w:r w:rsidR="00BF490C" w:rsidRPr="00C432F7">
        <w:t>Version: 1.0 (</w:t>
      </w:r>
      <w:r w:rsidR="00BF490C">
        <w:t>September 2012</w:t>
      </w:r>
      <w:r w:rsidR="00BF490C" w:rsidRPr="00C432F7">
        <w:t>)</w:t>
      </w:r>
      <w:r w:rsidR="00BF490C">
        <w:t xml:space="preserve"> with an </w:t>
      </w:r>
      <w:r w:rsidR="00C73EAF">
        <w:rPr>
          <w:rFonts w:asciiTheme="minorHAnsi" w:hAnsiTheme="minorHAnsi"/>
          <w:iCs/>
        </w:rPr>
        <w:t xml:space="preserve">Australian Specific Annex (ASA) </w:t>
      </w:r>
      <w:r w:rsidR="00BF490C">
        <w:t>Vers</w:t>
      </w:r>
      <w:r w:rsidR="00C73EAF">
        <w:t>i</w:t>
      </w:r>
      <w:r w:rsidR="00BF490C">
        <w:t>on 1.0 (September 2013)</w:t>
      </w:r>
      <w:r w:rsidR="00C73EAF">
        <w:t xml:space="preserve"> </w:t>
      </w:r>
      <w:r>
        <w:rPr>
          <w:lang w:eastAsia="en-AU"/>
        </w:rPr>
        <w:t xml:space="preserve">which was reviewed by the TGA’s </w:t>
      </w:r>
      <w:r w:rsidR="00C73EAF">
        <w:rPr>
          <w:lang w:eastAsia="en-AU"/>
        </w:rPr>
        <w:t>Post-Marketing Surveillance Branch (PSMB)</w:t>
      </w:r>
      <w:r>
        <w:rPr>
          <w:lang w:eastAsia="en-AU"/>
        </w:rPr>
        <w:t>.</w:t>
      </w:r>
    </w:p>
    <w:p w:rsidR="008E7846" w:rsidRDefault="003A7F6C" w:rsidP="008E7846">
      <w:pPr>
        <w:pStyle w:val="Heading4"/>
        <w:rPr>
          <w:lang w:eastAsia="en-AU"/>
        </w:rPr>
      </w:pPr>
      <w:r>
        <w:rPr>
          <w:lang w:eastAsia="en-AU"/>
        </w:rPr>
        <w:t>Safety s</w:t>
      </w:r>
      <w:r w:rsidR="008E7846">
        <w:rPr>
          <w:lang w:eastAsia="en-AU"/>
        </w:rPr>
        <w:t>pecification</w:t>
      </w:r>
    </w:p>
    <w:p w:rsidR="008E7846" w:rsidRDefault="008E7846" w:rsidP="008E7846">
      <w:pPr>
        <w:rPr>
          <w:lang w:eastAsia="en-AU"/>
        </w:rPr>
      </w:pPr>
      <w:r>
        <w:rPr>
          <w:lang w:eastAsia="en-AU"/>
        </w:rPr>
        <w:t>The</w:t>
      </w:r>
      <w:r w:rsidR="006F25B8">
        <w:rPr>
          <w:lang w:eastAsia="en-AU"/>
        </w:rPr>
        <w:t xml:space="preserve"> sponsor provided a summary of o</w:t>
      </w:r>
      <w:r>
        <w:rPr>
          <w:lang w:eastAsia="en-AU"/>
        </w:rPr>
        <w:t xml:space="preserve">ngoing safety </w:t>
      </w:r>
      <w:r w:rsidR="006F25B8">
        <w:rPr>
          <w:lang w:eastAsia="en-AU"/>
        </w:rPr>
        <w:t>c</w:t>
      </w:r>
      <w:r>
        <w:rPr>
          <w:lang w:eastAsia="en-AU"/>
        </w:rPr>
        <w:t xml:space="preserve">oncerns which are shown at Table </w:t>
      </w:r>
      <w:r w:rsidR="00D91930">
        <w:rPr>
          <w:lang w:eastAsia="en-AU"/>
        </w:rPr>
        <w:t>2</w:t>
      </w:r>
      <w:r>
        <w:rPr>
          <w:lang w:eastAsia="en-AU"/>
        </w:rPr>
        <w:t>.</w:t>
      </w:r>
    </w:p>
    <w:p w:rsidR="00BF490C" w:rsidRDefault="00BF490C" w:rsidP="00723EFB">
      <w:pPr>
        <w:pStyle w:val="TableTitle"/>
      </w:pPr>
      <w:r>
        <w:t xml:space="preserve">Table </w:t>
      </w:r>
      <w:r w:rsidR="00D91930">
        <w:t>2</w:t>
      </w:r>
      <w:r w:rsidR="00C73EAF">
        <w:t xml:space="preserve">: </w:t>
      </w:r>
      <w:r>
        <w:t xml:space="preserve">Sponsor’s summary of the </w:t>
      </w:r>
      <w:r w:rsidR="00C73EAF">
        <w:t xml:space="preserve">Ongoing </w:t>
      </w:r>
      <w:r>
        <w:t>Safety Concerns</w:t>
      </w:r>
    </w:p>
    <w:tbl>
      <w:tblPr>
        <w:tblStyle w:val="TableTGAblue"/>
        <w:tblW w:w="8647" w:type="dxa"/>
        <w:tblLook w:val="04A0" w:firstRow="1" w:lastRow="0" w:firstColumn="1" w:lastColumn="0" w:noHBand="0" w:noVBand="1"/>
      </w:tblPr>
      <w:tblGrid>
        <w:gridCol w:w="2835"/>
        <w:gridCol w:w="5812"/>
      </w:tblGrid>
      <w:tr w:rsidR="00BF490C" w:rsidTr="00723EFB">
        <w:trPr>
          <w:cnfStyle w:val="100000000000" w:firstRow="1" w:lastRow="0" w:firstColumn="0" w:lastColumn="0" w:oddVBand="0" w:evenVBand="0" w:oddHBand="0" w:evenHBand="0" w:firstRowFirstColumn="0" w:firstRowLastColumn="0" w:lastRowFirstColumn="0" w:lastRowLastColumn="0"/>
        </w:trPr>
        <w:tc>
          <w:tcPr>
            <w:tcW w:w="8647" w:type="dxa"/>
            <w:gridSpan w:val="2"/>
            <w:hideMark/>
          </w:tcPr>
          <w:p w:rsidR="00BF490C" w:rsidRPr="00C73EAF" w:rsidRDefault="00BF490C" w:rsidP="00723EFB">
            <w:pPr>
              <w:ind w:left="0"/>
              <w:rPr>
                <w:rFonts w:cs="Arial"/>
              </w:rPr>
            </w:pPr>
            <w:r w:rsidRPr="00C73EAF">
              <w:t>Safety concerns</w:t>
            </w:r>
          </w:p>
        </w:tc>
      </w:tr>
      <w:tr w:rsidR="00C73EAF" w:rsidTr="00723EFB">
        <w:tc>
          <w:tcPr>
            <w:tcW w:w="2835" w:type="dxa"/>
            <w:vMerge w:val="restart"/>
            <w:hideMark/>
          </w:tcPr>
          <w:p w:rsidR="00C73EAF" w:rsidRPr="00C73EAF" w:rsidRDefault="00C73EAF" w:rsidP="00723EFB">
            <w:pPr>
              <w:ind w:left="0"/>
              <w:rPr>
                <w:rFonts w:cs="Arial"/>
              </w:rPr>
            </w:pPr>
            <w:r w:rsidRPr="00C73EAF">
              <w:t>Important identified risk</w:t>
            </w:r>
          </w:p>
        </w:tc>
        <w:tc>
          <w:tcPr>
            <w:tcW w:w="5812" w:type="dxa"/>
            <w:hideMark/>
          </w:tcPr>
          <w:p w:rsidR="00C73EAF" w:rsidRPr="00C73EAF" w:rsidRDefault="00C73EAF" w:rsidP="00723EFB">
            <w:pPr>
              <w:ind w:left="0"/>
              <w:rPr>
                <w:rFonts w:cs="Arial"/>
              </w:rPr>
            </w:pPr>
            <w:r w:rsidRPr="00C73EAF">
              <w:t>Vitamin deficiency</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723EFB" w:rsidP="00723EFB">
            <w:pPr>
              <w:ind w:left="0"/>
              <w:rPr>
                <w:rFonts w:cs="Arial"/>
              </w:rPr>
            </w:pPr>
            <w:r>
              <w:rPr>
                <w:rFonts w:cs="Arial"/>
              </w:rPr>
              <w:t>Peritonitis</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723EFB" w:rsidP="00723EFB">
            <w:pPr>
              <w:ind w:left="0"/>
              <w:rPr>
                <w:rFonts w:cs="Arial"/>
              </w:rPr>
            </w:pPr>
            <w:r>
              <w:rPr>
                <w:rFonts w:cs="Arial"/>
              </w:rPr>
              <w:t>Worsening of metabolic acidosis</w:t>
            </w:r>
          </w:p>
        </w:tc>
      </w:tr>
      <w:tr w:rsidR="00C73EAF" w:rsidTr="00723EFB">
        <w:tc>
          <w:tcPr>
            <w:tcW w:w="2835" w:type="dxa"/>
            <w:vMerge w:val="restart"/>
            <w:hideMark/>
          </w:tcPr>
          <w:p w:rsidR="00C73EAF" w:rsidRPr="00C73EAF" w:rsidRDefault="00C73EAF" w:rsidP="00723EFB">
            <w:pPr>
              <w:ind w:left="0"/>
              <w:rPr>
                <w:rFonts w:cs="Arial"/>
              </w:rPr>
            </w:pPr>
            <w:r w:rsidRPr="00C73EAF">
              <w:t>Important potential risks</w:t>
            </w:r>
          </w:p>
        </w:tc>
        <w:tc>
          <w:tcPr>
            <w:tcW w:w="5812" w:type="dxa"/>
            <w:hideMark/>
          </w:tcPr>
          <w:p w:rsidR="00C73EAF" w:rsidRPr="00C73EAF" w:rsidRDefault="00723EFB" w:rsidP="00723EFB">
            <w:pPr>
              <w:ind w:left="0"/>
              <w:rPr>
                <w:rFonts w:cs="Arial"/>
              </w:rPr>
            </w:pPr>
            <w:r>
              <w:rPr>
                <w:rFonts w:cs="Arial"/>
              </w:rPr>
              <w:t>Intestinal Obstruction/ileus</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r w:rsidRPr="00C73EAF">
              <w:rPr>
                <w:rFonts w:cs="Arial"/>
              </w:rPr>
              <w:t>Increased thyroid stimulatin</w:t>
            </w:r>
            <w:r w:rsidR="00723EFB">
              <w:rPr>
                <w:rFonts w:cs="Arial"/>
              </w:rPr>
              <w:t>g hormone levels/Hypothyroidism</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proofErr w:type="spellStart"/>
            <w:r w:rsidRPr="00C73EAF">
              <w:rPr>
                <w:rFonts w:cs="Arial"/>
              </w:rPr>
              <w:t>Hyperphosphataemic</w:t>
            </w:r>
            <w:proofErr w:type="spellEnd"/>
            <w:r w:rsidRPr="00C73EAF">
              <w:rPr>
                <w:rFonts w:cs="Arial"/>
              </w:rPr>
              <w:t xml:space="preserve"> CKD patients on peritoneal dialysis </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r w:rsidRPr="00C73EAF">
              <w:rPr>
                <w:rFonts w:cs="Arial"/>
              </w:rPr>
              <w:t>AV</w:t>
            </w:r>
            <w:r w:rsidR="00723EFB">
              <w:rPr>
                <w:rFonts w:cs="Arial"/>
              </w:rPr>
              <w:t xml:space="preserve"> fistula site adverse reactions</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r w:rsidRPr="00C73EAF">
              <w:rPr>
                <w:rFonts w:cs="Arial"/>
              </w:rPr>
              <w:t>I</w:t>
            </w:r>
            <w:r w:rsidR="00723EFB">
              <w:rPr>
                <w:rFonts w:cs="Arial"/>
              </w:rPr>
              <w:t>ncreased sodium chloride levels</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r w:rsidRPr="00C73EAF">
              <w:rPr>
                <w:rFonts w:cs="Arial"/>
              </w:rPr>
              <w:t>Drug interactions</w:t>
            </w:r>
          </w:p>
        </w:tc>
      </w:tr>
      <w:tr w:rsidR="00C73EAF" w:rsidTr="00723EFB">
        <w:tc>
          <w:tcPr>
            <w:tcW w:w="2835" w:type="dxa"/>
            <w:vMerge w:val="restart"/>
            <w:hideMark/>
          </w:tcPr>
          <w:p w:rsidR="00C73EAF" w:rsidRPr="00C73EAF" w:rsidRDefault="00C73EAF" w:rsidP="00723EFB">
            <w:pPr>
              <w:ind w:left="0"/>
              <w:rPr>
                <w:rFonts w:cs="Arial"/>
              </w:rPr>
            </w:pPr>
            <w:r w:rsidRPr="00C73EAF">
              <w:t>Important missing information</w:t>
            </w:r>
          </w:p>
        </w:tc>
        <w:tc>
          <w:tcPr>
            <w:tcW w:w="5812" w:type="dxa"/>
            <w:hideMark/>
          </w:tcPr>
          <w:p w:rsidR="00C73EAF" w:rsidRPr="00C73EAF" w:rsidRDefault="00723EFB" w:rsidP="00723EFB">
            <w:pPr>
              <w:ind w:left="0"/>
              <w:rPr>
                <w:rFonts w:cs="Arial"/>
              </w:rPr>
            </w:pPr>
            <w:r>
              <w:rPr>
                <w:rFonts w:cs="Arial"/>
              </w:rPr>
              <w:t>Paediatric patients</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723EFB" w:rsidP="00723EFB">
            <w:pPr>
              <w:ind w:left="0"/>
              <w:rPr>
                <w:rFonts w:cs="Arial"/>
              </w:rPr>
            </w:pPr>
            <w:r>
              <w:rPr>
                <w:rFonts w:cs="Arial"/>
              </w:rPr>
              <w:t>Pregnancy and Lactation</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proofErr w:type="spellStart"/>
            <w:r w:rsidRPr="00C73EAF">
              <w:rPr>
                <w:rFonts w:cs="Arial"/>
              </w:rPr>
              <w:t>Hyperphosphataemic</w:t>
            </w:r>
            <w:proofErr w:type="spellEnd"/>
            <w:r w:rsidRPr="00C73EAF">
              <w:rPr>
                <w:rFonts w:cs="Arial"/>
              </w:rPr>
              <w:t xml:space="preserve"> CKD patients not on dialysis with</w:t>
            </w:r>
            <w:r w:rsidR="00723EFB">
              <w:rPr>
                <w:rFonts w:cs="Arial"/>
              </w:rPr>
              <w:t xml:space="preserve"> serum phosphorus &gt; 1.78 </w:t>
            </w:r>
            <w:proofErr w:type="spellStart"/>
            <w:r w:rsidR="00723EFB">
              <w:rPr>
                <w:rFonts w:cs="Arial"/>
              </w:rPr>
              <w:t>mmol</w:t>
            </w:r>
            <w:proofErr w:type="spellEnd"/>
            <w:r w:rsidR="00723EFB">
              <w:rPr>
                <w:rFonts w:cs="Arial"/>
              </w:rPr>
              <w:t>/l</w:t>
            </w:r>
          </w:p>
        </w:tc>
      </w:tr>
      <w:tr w:rsidR="00C73EAF" w:rsidTr="00723EFB">
        <w:tc>
          <w:tcPr>
            <w:tcW w:w="2835" w:type="dxa"/>
            <w:vMerge/>
          </w:tcPr>
          <w:p w:rsidR="00C73EAF" w:rsidRPr="00C73EAF" w:rsidRDefault="00C73EAF" w:rsidP="00723EFB">
            <w:pPr>
              <w:ind w:left="0"/>
              <w:rPr>
                <w:rFonts w:cs="Arial"/>
              </w:rPr>
            </w:pPr>
          </w:p>
        </w:tc>
        <w:tc>
          <w:tcPr>
            <w:tcW w:w="5812" w:type="dxa"/>
            <w:hideMark/>
          </w:tcPr>
          <w:p w:rsidR="00C73EAF" w:rsidRPr="00C73EAF" w:rsidRDefault="00C73EAF" w:rsidP="00723EFB">
            <w:pPr>
              <w:ind w:left="0"/>
              <w:rPr>
                <w:rFonts w:cs="Arial"/>
              </w:rPr>
            </w:pPr>
            <w:r w:rsidRPr="00C73EAF">
              <w:rPr>
                <w:rFonts w:cs="Arial"/>
              </w:rPr>
              <w:t>Pati</w:t>
            </w:r>
            <w:r w:rsidR="00723EFB">
              <w:rPr>
                <w:rFonts w:cs="Arial"/>
              </w:rPr>
              <w:t>ents with hepatic insufficiency</w:t>
            </w:r>
          </w:p>
        </w:tc>
      </w:tr>
    </w:tbl>
    <w:p w:rsidR="008E7846" w:rsidRDefault="008E7846" w:rsidP="00723EFB">
      <w:pPr>
        <w:pStyle w:val="Heading4"/>
        <w:rPr>
          <w:lang w:eastAsia="en-AU"/>
        </w:rPr>
      </w:pPr>
      <w:r>
        <w:rPr>
          <w:lang w:eastAsia="en-AU"/>
        </w:rPr>
        <w:t xml:space="preserve">Pharmacovigilance </w:t>
      </w:r>
      <w:r w:rsidR="003A7F6C">
        <w:rPr>
          <w:lang w:eastAsia="en-AU"/>
        </w:rPr>
        <w:t>p</w:t>
      </w:r>
      <w:r>
        <w:rPr>
          <w:lang w:eastAsia="en-AU"/>
        </w:rPr>
        <w:t>lan</w:t>
      </w:r>
    </w:p>
    <w:p w:rsidR="002D64ED" w:rsidRDefault="00BF490C" w:rsidP="00723EFB">
      <w:r>
        <w:t>The sponsor proposes routine pharmacovigilance activities to monitor all specified safety concerns</w:t>
      </w:r>
      <w:r w:rsidR="002D64ED">
        <w:t>.</w:t>
      </w:r>
    </w:p>
    <w:p w:rsidR="008E7846" w:rsidRDefault="008E7846" w:rsidP="00723EFB">
      <w:pPr>
        <w:pStyle w:val="Heading4"/>
        <w:rPr>
          <w:lang w:eastAsia="en-AU"/>
        </w:rPr>
      </w:pPr>
      <w:r>
        <w:rPr>
          <w:lang w:eastAsia="en-AU"/>
        </w:rPr>
        <w:t xml:space="preserve">Risk </w:t>
      </w:r>
      <w:r w:rsidR="003A7F6C">
        <w:rPr>
          <w:lang w:eastAsia="en-AU"/>
        </w:rPr>
        <w:t>m</w:t>
      </w:r>
      <w:r>
        <w:rPr>
          <w:lang w:eastAsia="en-AU"/>
        </w:rPr>
        <w:t xml:space="preserve">inimisation </w:t>
      </w:r>
      <w:r w:rsidR="003A7F6C">
        <w:rPr>
          <w:lang w:eastAsia="en-AU"/>
        </w:rPr>
        <w:t>a</w:t>
      </w:r>
      <w:r>
        <w:rPr>
          <w:lang w:eastAsia="en-AU"/>
        </w:rPr>
        <w:t>ctivities</w:t>
      </w:r>
    </w:p>
    <w:p w:rsidR="006F25B8" w:rsidRDefault="00BF490C" w:rsidP="00723EFB">
      <w:pPr>
        <w:rPr>
          <w:lang w:eastAsia="en-AU"/>
        </w:rPr>
      </w:pPr>
      <w:bookmarkStart w:id="140" w:name="_Toc247691527"/>
      <w:r>
        <w:t>Routine risk minimisation activities are proposed for all safety concerns. The sponsor provides the Australian epidemiological information on the population to be treated in the ASA.</w:t>
      </w:r>
    </w:p>
    <w:p w:rsidR="006F25B8" w:rsidRDefault="006F25B8" w:rsidP="00723EFB">
      <w:pPr>
        <w:pStyle w:val="Heading4"/>
        <w:rPr>
          <w:lang w:eastAsia="en-AU"/>
        </w:rPr>
      </w:pPr>
      <w:r w:rsidRPr="006F25B8">
        <w:rPr>
          <w:lang w:eastAsia="en-AU"/>
        </w:rPr>
        <w:t xml:space="preserve">Reconciliation of issues outlined in the RMP report </w:t>
      </w:r>
    </w:p>
    <w:p w:rsidR="006F25B8" w:rsidRDefault="006F25B8" w:rsidP="00723EFB">
      <w:pPr>
        <w:rPr>
          <w:lang w:eastAsia="en-AU"/>
        </w:rPr>
      </w:pPr>
      <w:r>
        <w:rPr>
          <w:lang w:eastAsia="en-AU"/>
        </w:rPr>
        <w:t xml:space="preserve">Table </w:t>
      </w:r>
      <w:r w:rsidR="00D91930">
        <w:rPr>
          <w:lang w:eastAsia="en-AU"/>
        </w:rPr>
        <w:t>3</w:t>
      </w:r>
      <w:r>
        <w:rPr>
          <w:lang w:eastAsia="en-AU"/>
        </w:rPr>
        <w:t xml:space="preserve"> summarises the </w:t>
      </w:r>
      <w:r w:rsidR="00D91930">
        <w:rPr>
          <w:lang w:eastAsia="en-AU"/>
        </w:rPr>
        <w:t>RMP</w:t>
      </w:r>
      <w:r>
        <w:rPr>
          <w:lang w:eastAsia="en-AU"/>
        </w:rPr>
        <w:t xml:space="preserve">’s first round evaluation of the RMP, the sponsor’s responses to issues raised by the </w:t>
      </w:r>
      <w:r w:rsidR="00D91930">
        <w:rPr>
          <w:lang w:eastAsia="en-AU"/>
        </w:rPr>
        <w:t>RMP evaluator</w:t>
      </w:r>
      <w:r>
        <w:rPr>
          <w:lang w:eastAsia="en-AU"/>
        </w:rPr>
        <w:t xml:space="preserve"> and the evaluation of the sponsor’s responses.</w:t>
      </w:r>
      <w:r w:rsidR="00F77E39">
        <w:rPr>
          <w:lang w:eastAsia="en-AU"/>
        </w:rPr>
        <w:t>’</w:t>
      </w:r>
    </w:p>
    <w:p w:rsidR="00BF490C" w:rsidRDefault="003D1E06" w:rsidP="00723EFB">
      <w:pPr>
        <w:pStyle w:val="TableTitle"/>
      </w:pPr>
      <w:r>
        <w:t xml:space="preserve">Table </w:t>
      </w:r>
      <w:r w:rsidR="00D91930">
        <w:t>3</w:t>
      </w:r>
      <w:r>
        <w:t>:</w:t>
      </w:r>
      <w:r w:rsidR="00BF490C">
        <w:t xml:space="preserve"> Reconciliation of issues outlined in the RMP report</w:t>
      </w:r>
    </w:p>
    <w:tbl>
      <w:tblPr>
        <w:tblStyle w:val="TableTGAblue"/>
        <w:tblW w:w="4938" w:type="pct"/>
        <w:tblLayout w:type="fixed"/>
        <w:tblLook w:val="04A0" w:firstRow="1" w:lastRow="0" w:firstColumn="1" w:lastColumn="0" w:noHBand="0" w:noVBand="1"/>
      </w:tblPr>
      <w:tblGrid>
        <w:gridCol w:w="3261"/>
        <w:gridCol w:w="2835"/>
        <w:gridCol w:w="2516"/>
      </w:tblGrid>
      <w:tr w:rsidR="00D91930" w:rsidTr="00723EFB">
        <w:trPr>
          <w:cnfStyle w:val="100000000000" w:firstRow="1" w:lastRow="0" w:firstColumn="0" w:lastColumn="0" w:oddVBand="0" w:evenVBand="0" w:oddHBand="0" w:evenHBand="0" w:firstRowFirstColumn="0" w:firstRowLastColumn="0" w:lastRowFirstColumn="0" w:lastRowLastColumn="0"/>
        </w:trPr>
        <w:tc>
          <w:tcPr>
            <w:tcW w:w="1893" w:type="pct"/>
            <w:noWrap/>
            <w:hideMark/>
          </w:tcPr>
          <w:p w:rsidR="00BF490C" w:rsidRPr="00D91930" w:rsidRDefault="00BF490C" w:rsidP="00723EFB">
            <w:pPr>
              <w:rPr>
                <w:rFonts w:cs="Arial"/>
              </w:rPr>
            </w:pPr>
            <w:r w:rsidRPr="00D91930">
              <w:t>Recommendation in RMP evaluation report</w:t>
            </w:r>
          </w:p>
        </w:tc>
        <w:tc>
          <w:tcPr>
            <w:tcW w:w="1646" w:type="pct"/>
            <w:noWrap/>
          </w:tcPr>
          <w:p w:rsidR="00BF490C" w:rsidRPr="00D91930" w:rsidRDefault="00BF490C" w:rsidP="00723EFB">
            <w:pPr>
              <w:rPr>
                <w:rFonts w:cs="Arial"/>
              </w:rPr>
            </w:pPr>
            <w:r w:rsidRPr="00D91930">
              <w:t>Sponsor’s response</w:t>
            </w:r>
          </w:p>
        </w:tc>
        <w:tc>
          <w:tcPr>
            <w:tcW w:w="1461" w:type="pct"/>
            <w:noWrap/>
            <w:hideMark/>
          </w:tcPr>
          <w:p w:rsidR="00BF490C" w:rsidRPr="00D91930" w:rsidRDefault="00D91930" w:rsidP="00723EFB">
            <w:pPr>
              <w:rPr>
                <w:rFonts w:cs="Arial"/>
              </w:rPr>
            </w:pPr>
            <w:r w:rsidRPr="00D91930">
              <w:t>RMP</w:t>
            </w:r>
            <w:r w:rsidR="00BF490C" w:rsidRPr="00D91930">
              <w:t xml:space="preserve"> evaluator’s comment</w:t>
            </w:r>
          </w:p>
        </w:tc>
      </w:tr>
      <w:tr w:rsidR="00D91930" w:rsidTr="00723EFB">
        <w:tc>
          <w:tcPr>
            <w:tcW w:w="1893" w:type="pct"/>
            <w:noWrap/>
            <w:hideMark/>
          </w:tcPr>
          <w:p w:rsidR="00BF490C" w:rsidRPr="00D91930" w:rsidRDefault="003D1E06" w:rsidP="00723EFB">
            <w:r w:rsidRPr="00D91930">
              <w:t xml:space="preserve">1. </w:t>
            </w:r>
            <w:r w:rsidR="00BF490C" w:rsidRPr="00D91930">
              <w:t xml:space="preserve">Safety considerations may be raised by the clinical evaluators through the </w:t>
            </w:r>
            <w:r w:rsidR="00C73EAF" w:rsidRPr="00D91930">
              <w:t xml:space="preserve">TGA’s </w:t>
            </w:r>
            <w:r w:rsidR="00BF490C" w:rsidRPr="00D91930">
              <w:t xml:space="preserve">consolidated </w:t>
            </w:r>
            <w:r w:rsidR="00C73EAF" w:rsidRPr="00D91930">
              <w:t>request for further information</w:t>
            </w:r>
            <w:r w:rsidR="00BF490C" w:rsidRPr="00D91930">
              <w:t xml:space="preserve"> and/or the Clinical Evaluation Report.</w:t>
            </w:r>
            <w:r w:rsidR="000325C5" w:rsidRPr="00D91930">
              <w:t xml:space="preserve"> </w:t>
            </w:r>
            <w:r w:rsidR="00BF490C" w:rsidRPr="00D91930">
              <w:t xml:space="preserve">It is important to ensure that the information provided in response to these </w:t>
            </w:r>
            <w:r w:rsidR="00586D85" w:rsidRPr="00D91930">
              <w:t>includes</w:t>
            </w:r>
            <w:r w:rsidR="00BF490C" w:rsidRPr="00D91930">
              <w:t xml:space="preserve"> a consideration of the relevance for the </w:t>
            </w:r>
            <w:r w:rsidR="00C73EAF" w:rsidRPr="00D91930">
              <w:t>RMP</w:t>
            </w:r>
            <w:r w:rsidR="00BF490C" w:rsidRPr="00D91930">
              <w:t>, and any specific information needed to address this issue in the RMP.</w:t>
            </w:r>
            <w:r w:rsidR="000325C5" w:rsidRPr="00D91930">
              <w:t xml:space="preserve"> </w:t>
            </w:r>
            <w:r w:rsidR="00BF490C" w:rsidRPr="00D91930">
              <w:rPr>
                <w:bCs/>
              </w:rPr>
              <w:t xml:space="preserve">For any safety considerations so raised, </w:t>
            </w:r>
            <w:r w:rsidR="00BF490C" w:rsidRPr="00D91930">
              <w:t>the sponsor should</w:t>
            </w:r>
            <w:r w:rsidR="00BF490C" w:rsidRPr="00D91930">
              <w:rPr>
                <w:bCs/>
              </w:rPr>
              <w:t xml:space="preserve"> provide information that is relevant </w:t>
            </w:r>
            <w:r w:rsidR="00BF490C" w:rsidRPr="00D91930">
              <w:rPr>
                <w:bCs/>
              </w:rPr>
              <w:lastRenderedPageBreak/>
              <w:t>and necessary to address the issue in the RMP.</w:t>
            </w:r>
          </w:p>
        </w:tc>
        <w:tc>
          <w:tcPr>
            <w:tcW w:w="1646" w:type="pct"/>
            <w:noWrap/>
            <w:hideMark/>
          </w:tcPr>
          <w:p w:rsidR="00BF490C" w:rsidRPr="00D91930" w:rsidRDefault="00BF490C" w:rsidP="00723EFB">
            <w:pPr>
              <w:rPr>
                <w:rFonts w:ascii="Arial" w:hAnsi="Arial" w:cs="Arial"/>
              </w:rPr>
            </w:pPr>
            <w:r w:rsidRPr="00D91930">
              <w:lastRenderedPageBreak/>
              <w:t>The sponsor does not appear to make any direct response to this recommendation.</w:t>
            </w:r>
          </w:p>
        </w:tc>
        <w:tc>
          <w:tcPr>
            <w:tcW w:w="1461" w:type="pct"/>
            <w:noWrap/>
            <w:hideMark/>
          </w:tcPr>
          <w:p w:rsidR="00BF490C" w:rsidRPr="00D91930" w:rsidRDefault="00BF490C" w:rsidP="00723EFB">
            <w:pPr>
              <w:rPr>
                <w:rFonts w:cs="Arial"/>
              </w:rPr>
            </w:pPr>
            <w:r w:rsidRPr="00D91930">
              <w:t xml:space="preserve">In the light of the clinical evaluator’s comments (see above) the sponsor should include the important potential risk: ‘Swallowing difficulties and the potential for lodgement in the airway or upper gastrointestinal tract’ as an ongoing safety concern and give consideration to appropriate pharmacovigilance and risk </w:t>
            </w:r>
            <w:r w:rsidRPr="00D91930">
              <w:lastRenderedPageBreak/>
              <w:t>minimisation activities.</w:t>
            </w:r>
            <w:r w:rsidR="000325C5" w:rsidRPr="00D91930">
              <w:t xml:space="preserve"> </w:t>
            </w:r>
            <w:r w:rsidRPr="00D91930">
              <w:t>Such revision should be reflected in an amended ASA before this application is approved.</w:t>
            </w:r>
          </w:p>
        </w:tc>
      </w:tr>
      <w:tr w:rsidR="00D91930" w:rsidTr="00723EFB">
        <w:trPr>
          <w:trHeight w:val="1553"/>
        </w:trPr>
        <w:tc>
          <w:tcPr>
            <w:tcW w:w="1893" w:type="pct"/>
            <w:noWrap/>
          </w:tcPr>
          <w:p w:rsidR="00BF490C" w:rsidRPr="00D91930" w:rsidRDefault="003D1E06" w:rsidP="00723EFB">
            <w:r w:rsidRPr="00D91930">
              <w:lastRenderedPageBreak/>
              <w:t xml:space="preserve">2. </w:t>
            </w:r>
            <w:r w:rsidR="00BF490C" w:rsidRPr="00D91930">
              <w:t>It is recommended that the following be added to the list of potential safety concerns: ‘Potential Off-label use’.</w:t>
            </w:r>
          </w:p>
        </w:tc>
        <w:tc>
          <w:tcPr>
            <w:tcW w:w="1646" w:type="pct"/>
            <w:noWrap/>
            <w:hideMark/>
          </w:tcPr>
          <w:p w:rsidR="00BF490C" w:rsidRPr="00D91930" w:rsidRDefault="00BF490C" w:rsidP="00723EFB">
            <w:pPr>
              <w:rPr>
                <w:rFonts w:cs="Arial"/>
              </w:rPr>
            </w:pPr>
            <w:r w:rsidRPr="00D91930">
              <w:t>The sponsor has replaced t</w:t>
            </w:r>
            <w:r w:rsidRPr="00D91930">
              <w:rPr>
                <w:iCs/>
              </w:rPr>
              <w:t>he important missing information: ‘</w:t>
            </w:r>
            <w:r w:rsidRPr="00D91930">
              <w:t>Paediatric patients’ with ‘Potential off-label use, including paediatric patients’ to be monitored by routine pharmacovigilance activities with routine risk minimisation applied.</w:t>
            </w:r>
          </w:p>
        </w:tc>
        <w:tc>
          <w:tcPr>
            <w:tcW w:w="1461" w:type="pct"/>
            <w:noWrap/>
            <w:hideMark/>
          </w:tcPr>
          <w:p w:rsidR="00BF490C" w:rsidRPr="00D91930" w:rsidRDefault="00BF490C" w:rsidP="00723EFB">
            <w:pPr>
              <w:rPr>
                <w:rFonts w:cs="Arial"/>
              </w:rPr>
            </w:pPr>
            <w:r w:rsidRPr="00D91930">
              <w:t>This is acceptable.</w:t>
            </w:r>
          </w:p>
        </w:tc>
      </w:tr>
      <w:tr w:rsidR="00D91930" w:rsidTr="00723EFB">
        <w:trPr>
          <w:trHeight w:val="2681"/>
        </w:trPr>
        <w:tc>
          <w:tcPr>
            <w:tcW w:w="1893" w:type="pct"/>
            <w:noWrap/>
            <w:hideMark/>
          </w:tcPr>
          <w:p w:rsidR="00BF490C" w:rsidRPr="00D91930" w:rsidRDefault="003D1E06" w:rsidP="00723EFB">
            <w:r w:rsidRPr="00D91930">
              <w:t xml:space="preserve">3. </w:t>
            </w:r>
            <w:r w:rsidR="00BF490C" w:rsidRPr="00D91930">
              <w:t xml:space="preserve">The safety and efficacy of this product has not been established in patients below the age of 18 years and this is mentioned in the PI. However, there has been significant off-label use of </w:t>
            </w:r>
            <w:proofErr w:type="spellStart"/>
            <w:r w:rsidR="00BF490C" w:rsidRPr="00D91930">
              <w:t>sevelamer</w:t>
            </w:r>
            <w:proofErr w:type="spellEnd"/>
            <w:r w:rsidR="00BF490C" w:rsidRPr="00D91930">
              <w:t xml:space="preserve"> in paediatric patients in USA.</w:t>
            </w:r>
            <w:r w:rsidR="000325C5" w:rsidRPr="00D91930">
              <w:t xml:space="preserve"> </w:t>
            </w:r>
            <w:r w:rsidR="00BF490C" w:rsidRPr="00D91930">
              <w:t>The Delegate may wish to update the Australian PI to strengthen the wording (</w:t>
            </w:r>
            <w:r w:rsidRPr="00D91930">
              <w:t>that is,</w:t>
            </w:r>
            <w:r w:rsidR="00BF490C" w:rsidRPr="00D91930">
              <w:t xml:space="preserve"> </w:t>
            </w:r>
            <w:r w:rsidR="00F77E39" w:rsidRPr="00D91930">
              <w:t>‘</w:t>
            </w:r>
            <w:proofErr w:type="spellStart"/>
            <w:r w:rsidR="00BF490C" w:rsidRPr="00D91930">
              <w:rPr>
                <w:i/>
              </w:rPr>
              <w:t>Sevelamer</w:t>
            </w:r>
            <w:proofErr w:type="spellEnd"/>
            <w:r w:rsidR="00BF490C" w:rsidRPr="00D91930">
              <w:rPr>
                <w:i/>
              </w:rPr>
              <w:t xml:space="preserve"> is not recommended in children below the age of 18 years</w:t>
            </w:r>
            <w:r w:rsidR="00F77E39" w:rsidRPr="00D91930">
              <w:t>’</w:t>
            </w:r>
            <w:r w:rsidR="00BF490C" w:rsidRPr="00D91930">
              <w:t xml:space="preserve">) in order to discourage the use of </w:t>
            </w:r>
            <w:proofErr w:type="spellStart"/>
            <w:r w:rsidR="00BF490C" w:rsidRPr="00D91930">
              <w:t>sevelamer</w:t>
            </w:r>
            <w:proofErr w:type="spellEnd"/>
            <w:r w:rsidR="00BF490C" w:rsidRPr="00D91930">
              <w:t xml:space="preserve"> in paediatric patients.</w:t>
            </w:r>
          </w:p>
        </w:tc>
        <w:tc>
          <w:tcPr>
            <w:tcW w:w="1646" w:type="pct"/>
            <w:noWrap/>
            <w:hideMark/>
          </w:tcPr>
          <w:p w:rsidR="00BF490C" w:rsidRPr="00D91930" w:rsidRDefault="00BF490C" w:rsidP="00723EFB">
            <w:pPr>
              <w:rPr>
                <w:rFonts w:eastAsia="MS Mincho" w:cs="Arial"/>
              </w:rPr>
            </w:pPr>
            <w:r w:rsidRPr="00D91930">
              <w:t>The sponsor does not appear to make any direct response to this recommendation to the Delegate.</w:t>
            </w:r>
          </w:p>
        </w:tc>
        <w:tc>
          <w:tcPr>
            <w:tcW w:w="1461" w:type="pct"/>
            <w:noWrap/>
            <w:hideMark/>
          </w:tcPr>
          <w:p w:rsidR="00DC1D1B" w:rsidRPr="00D91930" w:rsidRDefault="00BF490C" w:rsidP="00723EFB">
            <w:r w:rsidRPr="00D91930">
              <w:t>This recommendation to the Delegate regarding revision to the PI is still open for consideration.</w:t>
            </w:r>
            <w:r w:rsidR="00DC1D1B" w:rsidRPr="00D91930">
              <w:rPr>
                <w:rStyle w:val="FootnoteReference"/>
                <w:sz w:val="20"/>
                <w:szCs w:val="20"/>
              </w:rPr>
              <w:footnoteReference w:id="14"/>
            </w:r>
          </w:p>
        </w:tc>
      </w:tr>
      <w:tr w:rsidR="00D91930" w:rsidTr="00723EFB">
        <w:trPr>
          <w:trHeight w:val="870"/>
        </w:trPr>
        <w:tc>
          <w:tcPr>
            <w:tcW w:w="1893" w:type="pct"/>
            <w:noWrap/>
            <w:hideMark/>
          </w:tcPr>
          <w:p w:rsidR="00BF490C" w:rsidRPr="00D91930" w:rsidRDefault="003D1E06" w:rsidP="00723EFB">
            <w:pPr>
              <w:rPr>
                <w:rFonts w:eastAsia="MS Mincho"/>
              </w:rPr>
            </w:pPr>
            <w:r w:rsidRPr="00D91930">
              <w:t xml:space="preserve">4. </w:t>
            </w:r>
            <w:r w:rsidR="00BF490C" w:rsidRPr="00D91930">
              <w:t xml:space="preserve">The Delegate may wish to update the Australian PI to strengthen the wording in order to discourage the use </w:t>
            </w:r>
            <w:r w:rsidR="00BF490C" w:rsidRPr="00D91930">
              <w:lastRenderedPageBreak/>
              <w:t xml:space="preserve">of </w:t>
            </w:r>
            <w:proofErr w:type="spellStart"/>
            <w:r w:rsidR="00BF490C" w:rsidRPr="00D91930">
              <w:t>sevelamer</w:t>
            </w:r>
            <w:proofErr w:type="spellEnd"/>
            <w:r w:rsidR="00BF490C" w:rsidRPr="00D91930">
              <w:t xml:space="preserve"> in pre</w:t>
            </w:r>
            <w:r w:rsidR="00DC1D1B" w:rsidRPr="00D91930">
              <w:t>-</w:t>
            </w:r>
            <w:r w:rsidR="00BF490C" w:rsidRPr="00D91930">
              <w:t>dialysis patients.</w:t>
            </w:r>
          </w:p>
        </w:tc>
        <w:tc>
          <w:tcPr>
            <w:tcW w:w="1646" w:type="pct"/>
            <w:noWrap/>
            <w:hideMark/>
          </w:tcPr>
          <w:p w:rsidR="00BF490C" w:rsidRPr="00D91930" w:rsidRDefault="00BF490C" w:rsidP="00723EFB">
            <w:pPr>
              <w:rPr>
                <w:rFonts w:eastAsia="MS Mincho" w:cs="Arial"/>
              </w:rPr>
            </w:pPr>
            <w:r w:rsidRPr="00D91930">
              <w:lastRenderedPageBreak/>
              <w:t xml:space="preserve">The sponsor does not appear to make any direct response to this recommendation to the </w:t>
            </w:r>
            <w:r w:rsidRPr="00D91930">
              <w:lastRenderedPageBreak/>
              <w:t>Delegate.</w:t>
            </w:r>
          </w:p>
        </w:tc>
        <w:tc>
          <w:tcPr>
            <w:tcW w:w="1461" w:type="pct"/>
            <w:noWrap/>
            <w:hideMark/>
          </w:tcPr>
          <w:p w:rsidR="00BF490C" w:rsidRPr="00D91930" w:rsidRDefault="00BF490C" w:rsidP="00723EFB">
            <w:pPr>
              <w:rPr>
                <w:rFonts w:cs="Arial"/>
              </w:rPr>
            </w:pPr>
            <w:r w:rsidRPr="00D91930">
              <w:lastRenderedPageBreak/>
              <w:t xml:space="preserve">This recommendation to the Delegate regarding revision </w:t>
            </w:r>
            <w:r w:rsidRPr="00D91930">
              <w:lastRenderedPageBreak/>
              <w:t>to the PI is still open for consideration.</w:t>
            </w:r>
            <w:r w:rsidR="00DC1D1B" w:rsidRPr="00D91930">
              <w:rPr>
                <w:rStyle w:val="FootnoteReference"/>
                <w:sz w:val="20"/>
                <w:szCs w:val="20"/>
              </w:rPr>
              <w:footnoteReference w:id="15"/>
            </w:r>
          </w:p>
        </w:tc>
      </w:tr>
      <w:tr w:rsidR="00D91930" w:rsidTr="00723EFB">
        <w:trPr>
          <w:trHeight w:val="1032"/>
        </w:trPr>
        <w:tc>
          <w:tcPr>
            <w:tcW w:w="1893" w:type="pct"/>
            <w:noWrap/>
          </w:tcPr>
          <w:p w:rsidR="00BF490C" w:rsidRPr="00D91930" w:rsidRDefault="003D1E06" w:rsidP="00723EFB">
            <w:pPr>
              <w:rPr>
                <w:rFonts w:cs="Arial"/>
              </w:rPr>
            </w:pPr>
            <w:r w:rsidRPr="00D91930">
              <w:lastRenderedPageBreak/>
              <w:t xml:space="preserve">5. </w:t>
            </w:r>
            <w:r w:rsidR="00BF490C" w:rsidRPr="00D91930">
              <w:t>The s</w:t>
            </w:r>
            <w:r w:rsidR="0085079D" w:rsidRPr="00D91930">
              <w:t>ponsor states in Section 1.5.2 o</w:t>
            </w:r>
            <w:r w:rsidR="00723EFB">
              <w:t>n the RMP</w:t>
            </w:r>
          </w:p>
          <w:p w:rsidR="002D64ED" w:rsidRDefault="00F77E39" w:rsidP="00723EFB">
            <w:pPr>
              <w:rPr>
                <w:i/>
              </w:rPr>
            </w:pPr>
            <w:r w:rsidRPr="00D91930">
              <w:t>‘</w:t>
            </w:r>
            <w:r w:rsidR="00BF490C" w:rsidRPr="00D91930">
              <w:rPr>
                <w:i/>
              </w:rPr>
              <w:t>In patients undergoing peritoneal dialysis additional monitoring of fat-soluble vitamins and folic acid is recommended</w:t>
            </w:r>
            <w:r w:rsidRPr="00D91930">
              <w:rPr>
                <w:i/>
              </w:rPr>
              <w:t>’</w:t>
            </w:r>
            <w:r w:rsidR="002D64ED">
              <w:rPr>
                <w:i/>
              </w:rPr>
              <w:t>.</w:t>
            </w:r>
          </w:p>
          <w:p w:rsidR="00BF490C" w:rsidRPr="00D91930" w:rsidRDefault="00BF490C" w:rsidP="00723EFB">
            <w:r w:rsidRPr="00D91930">
              <w:t xml:space="preserve">The sponsor also states in </w:t>
            </w:r>
            <w:r w:rsidR="0085079D" w:rsidRPr="00D91930">
              <w:t>S</w:t>
            </w:r>
            <w:r w:rsidR="00723EFB">
              <w:t>ection 4</w:t>
            </w:r>
          </w:p>
          <w:p w:rsidR="002D64ED" w:rsidRDefault="00F77E39" w:rsidP="00723EFB">
            <w:r w:rsidRPr="00D91930">
              <w:rPr>
                <w:i/>
              </w:rPr>
              <w:t>‘</w:t>
            </w:r>
            <w:r w:rsidR="00BF490C" w:rsidRPr="00D91930">
              <w:rPr>
                <w:i/>
              </w:rPr>
              <w:t xml:space="preserve">In preclinical studies in rats and dogs, </w:t>
            </w:r>
            <w:proofErr w:type="spellStart"/>
            <w:r w:rsidR="00BF490C" w:rsidRPr="00D91930">
              <w:rPr>
                <w:i/>
              </w:rPr>
              <w:t>sevelamer</w:t>
            </w:r>
            <w:proofErr w:type="spellEnd"/>
            <w:r w:rsidR="00BF490C" w:rsidRPr="00D91930">
              <w:rPr>
                <w:i/>
              </w:rPr>
              <w:t xml:space="preserve"> hydrochloride at a dose of 10 times the maximum human doses reduced absorption of fat soluble vitamins D, E and K, and folic acid</w:t>
            </w:r>
            <w:r w:rsidRPr="00D91930">
              <w:rPr>
                <w:i/>
              </w:rPr>
              <w:t>’</w:t>
            </w:r>
            <w:r w:rsidR="00BF490C" w:rsidRPr="00D91930">
              <w:rPr>
                <w:i/>
              </w:rPr>
              <w:t xml:space="preserve">. </w:t>
            </w:r>
            <w:r w:rsidR="00BF490C" w:rsidRPr="00D91930">
              <w:t xml:space="preserve">The reduction in folic acid level is also mentioned in </w:t>
            </w:r>
            <w:r w:rsidR="003D1E06" w:rsidRPr="00D91930">
              <w:t>Summary of Product Characteristics (</w:t>
            </w:r>
            <w:proofErr w:type="spellStart"/>
            <w:r w:rsidR="00BF490C" w:rsidRPr="00D91930">
              <w:t>S</w:t>
            </w:r>
            <w:r w:rsidR="003D1E06" w:rsidRPr="00D91930">
              <w:t>m</w:t>
            </w:r>
            <w:r w:rsidR="00BF490C" w:rsidRPr="00D91930">
              <w:t>PC</w:t>
            </w:r>
            <w:proofErr w:type="spellEnd"/>
            <w:r w:rsidR="003D1E06" w:rsidRPr="00D91930">
              <w:t>)</w:t>
            </w:r>
            <w:r w:rsidR="002D64ED">
              <w:t>.</w:t>
            </w:r>
          </w:p>
          <w:p w:rsidR="00BF490C" w:rsidRPr="00D91930" w:rsidRDefault="00BF490C" w:rsidP="00723EFB">
            <w:proofErr w:type="spellStart"/>
            <w:r w:rsidRPr="00D91930">
              <w:t>S</w:t>
            </w:r>
            <w:r w:rsidR="003D1E06" w:rsidRPr="00D91930">
              <w:t>m</w:t>
            </w:r>
            <w:r w:rsidRPr="00D91930">
              <w:t>PC</w:t>
            </w:r>
            <w:proofErr w:type="spellEnd"/>
            <w:r w:rsidRPr="00D91930">
              <w:t xml:space="preserve"> states that </w:t>
            </w:r>
            <w:r w:rsidR="00F77E39" w:rsidRPr="00D91930">
              <w:rPr>
                <w:i/>
              </w:rPr>
              <w:t>‘</w:t>
            </w:r>
            <w:r w:rsidRPr="00D91930">
              <w:rPr>
                <w:i/>
              </w:rPr>
              <w:t xml:space="preserve">There is at present insufficient data to exclude the possibility of folate deficiency during long term </w:t>
            </w:r>
            <w:proofErr w:type="spellStart"/>
            <w:r w:rsidRPr="00D91930">
              <w:rPr>
                <w:i/>
              </w:rPr>
              <w:t>Sevelamer</w:t>
            </w:r>
            <w:proofErr w:type="spellEnd"/>
            <w:r w:rsidRPr="00D91930">
              <w:rPr>
                <w:i/>
              </w:rPr>
              <w:t xml:space="preserve"> Hydrochloride treatment</w:t>
            </w:r>
            <w:r w:rsidR="00F77E39" w:rsidRPr="00D91930">
              <w:rPr>
                <w:i/>
              </w:rPr>
              <w:t>’</w:t>
            </w:r>
            <w:r w:rsidRPr="00D91930">
              <w:rPr>
                <w:i/>
              </w:rPr>
              <w:t xml:space="preserve"> </w:t>
            </w:r>
            <w:r w:rsidRPr="00D91930">
              <w:t xml:space="preserve">under section 4.4 </w:t>
            </w:r>
            <w:r w:rsidR="00F77E39" w:rsidRPr="00D91930">
              <w:t>‘</w:t>
            </w:r>
            <w:r w:rsidR="0085079D" w:rsidRPr="00D91930">
              <w:t>S</w:t>
            </w:r>
            <w:r w:rsidRPr="00D91930">
              <w:t>pecial warning and precautions for use</w:t>
            </w:r>
            <w:r w:rsidR="00F77E39" w:rsidRPr="00D91930">
              <w:t>’</w:t>
            </w:r>
            <w:r w:rsidRPr="00D91930">
              <w:t>.</w:t>
            </w:r>
          </w:p>
          <w:p w:rsidR="002D64ED" w:rsidRDefault="00BF490C" w:rsidP="00723EFB">
            <w:r w:rsidRPr="00D91930">
              <w:t xml:space="preserve">However, in the Australian PI there is no recommendation made to monitor folic acid level in patients undergoing peritoneal dialysis and during long term </w:t>
            </w:r>
            <w:proofErr w:type="spellStart"/>
            <w:r w:rsidRPr="00D91930">
              <w:t>Sevelamer</w:t>
            </w:r>
            <w:proofErr w:type="spellEnd"/>
            <w:r w:rsidRPr="00D91930">
              <w:t xml:space="preserve"> Hydrochloride treatment</w:t>
            </w:r>
            <w:r w:rsidR="002D64ED">
              <w:t>.</w:t>
            </w:r>
          </w:p>
          <w:p w:rsidR="00BF490C" w:rsidRPr="00D91930" w:rsidRDefault="00BF490C" w:rsidP="00723EFB">
            <w:pPr>
              <w:rPr>
                <w:rFonts w:cs="Arial"/>
              </w:rPr>
            </w:pPr>
            <w:r w:rsidRPr="00D91930">
              <w:t xml:space="preserve">The Delegate may wish to </w:t>
            </w:r>
            <w:r w:rsidRPr="00D91930">
              <w:lastRenderedPageBreak/>
              <w:t xml:space="preserve">revise the Australian PI to address the additional monitoring of folic acid in patients undergoing peritoneal dialysis and during long term </w:t>
            </w:r>
            <w:proofErr w:type="spellStart"/>
            <w:r w:rsidRPr="00D91930">
              <w:t>Sevelamer</w:t>
            </w:r>
            <w:proofErr w:type="spellEnd"/>
            <w:r w:rsidRPr="00D91930">
              <w:t xml:space="preserve"> Hydrochloride treatment.</w:t>
            </w:r>
          </w:p>
        </w:tc>
        <w:tc>
          <w:tcPr>
            <w:tcW w:w="1646" w:type="pct"/>
            <w:noWrap/>
            <w:hideMark/>
          </w:tcPr>
          <w:p w:rsidR="00BF490C" w:rsidRPr="00D91930" w:rsidRDefault="00BF490C" w:rsidP="00723EFB">
            <w:pPr>
              <w:rPr>
                <w:rFonts w:eastAsia="MS Mincho" w:cs="Arial"/>
              </w:rPr>
            </w:pPr>
            <w:r w:rsidRPr="00D91930">
              <w:lastRenderedPageBreak/>
              <w:t>The sponsor does not appear to make any direct response to this recommendation to the Delegate.</w:t>
            </w:r>
          </w:p>
        </w:tc>
        <w:tc>
          <w:tcPr>
            <w:tcW w:w="1461" w:type="pct"/>
            <w:noWrap/>
            <w:hideMark/>
          </w:tcPr>
          <w:p w:rsidR="00BF490C" w:rsidRPr="00D91930" w:rsidRDefault="00BF490C" w:rsidP="00723EFB">
            <w:pPr>
              <w:rPr>
                <w:rFonts w:cs="Arial"/>
              </w:rPr>
            </w:pPr>
            <w:r w:rsidRPr="00D91930">
              <w:t>This recommendation to the Delegate regarding revision to the PI is still open for consideration.</w:t>
            </w:r>
            <w:r w:rsidR="00DC1D1B" w:rsidRPr="00D91930">
              <w:rPr>
                <w:rStyle w:val="FootnoteReference"/>
                <w:sz w:val="20"/>
                <w:szCs w:val="20"/>
              </w:rPr>
              <w:footnoteReference w:id="16"/>
            </w:r>
          </w:p>
        </w:tc>
      </w:tr>
    </w:tbl>
    <w:p w:rsidR="008E7846" w:rsidRDefault="008E7846" w:rsidP="008E7846">
      <w:pPr>
        <w:pStyle w:val="Heading4"/>
        <w:rPr>
          <w:lang w:eastAsia="en-AU"/>
        </w:rPr>
      </w:pPr>
      <w:r>
        <w:rPr>
          <w:lang w:eastAsia="en-AU"/>
        </w:rPr>
        <w:lastRenderedPageBreak/>
        <w:t xml:space="preserve">Summary of </w:t>
      </w:r>
      <w:r w:rsidR="003A7F6C">
        <w:rPr>
          <w:lang w:eastAsia="en-AU"/>
        </w:rPr>
        <w:t>r</w:t>
      </w:r>
      <w:r>
        <w:rPr>
          <w:lang w:eastAsia="en-AU"/>
        </w:rPr>
        <w:t>ecommendations</w:t>
      </w:r>
    </w:p>
    <w:p w:rsidR="006F25B8" w:rsidRDefault="00BF490C" w:rsidP="00723EFB">
      <w:r>
        <w:t>It is considered that the sponsor’s response to the TGA has not adequately addressed all of the issues identified in the RMP evaluation report.</w:t>
      </w:r>
    </w:p>
    <w:p w:rsidR="00BF490C" w:rsidRDefault="00BF490C" w:rsidP="00503002">
      <w:pPr>
        <w:pStyle w:val="Heading5"/>
      </w:pPr>
      <w:r>
        <w:t>Outstanding issues</w:t>
      </w:r>
    </w:p>
    <w:p w:rsidR="00BF490C" w:rsidRDefault="00723EFB" w:rsidP="00723EFB">
      <w:pPr>
        <w:pStyle w:val="Heading6"/>
      </w:pPr>
      <w:r>
        <w:t>Issues in relation to the RMP</w:t>
      </w:r>
    </w:p>
    <w:p w:rsidR="00BF490C" w:rsidRDefault="00BF490C" w:rsidP="00806140">
      <w:r>
        <w:t xml:space="preserve">The sponsor was asked to respond to safety considerations raised by the clinical evaluator through the </w:t>
      </w:r>
      <w:r w:rsidR="003D1E06">
        <w:t xml:space="preserve">TGA’s </w:t>
      </w:r>
      <w:r>
        <w:t xml:space="preserve">consolidated request </w:t>
      </w:r>
      <w:r w:rsidR="003D1E06">
        <w:t xml:space="preserve">for further information </w:t>
      </w:r>
      <w:r>
        <w:t>and/or the Clinical Evaluation Report in the context of relevance to the RMP.</w:t>
      </w:r>
      <w:r w:rsidR="000325C5">
        <w:t xml:space="preserve"> </w:t>
      </w:r>
      <w:r>
        <w:t>The sponsor does not appear to make any direct response to this recommendation.</w:t>
      </w:r>
      <w:r w:rsidR="000325C5">
        <w:t xml:space="preserve"> </w:t>
      </w:r>
      <w:r>
        <w:t>Nevertheless in the light of the clinical evaluator’s comments the sponsor should include the important potential risk: ‘Swallowing difficulties and the potential for lodgement in the airway or upper gastrointestinal tract’ as an ongoing safety concern and give consideration to appropriate pharmacovigilance and risk minimisation activities.</w:t>
      </w:r>
      <w:r w:rsidR="000325C5">
        <w:t xml:space="preserve"> </w:t>
      </w:r>
      <w:r>
        <w:t>Such revision should be reflected in an amended ASA before this application is approved.</w:t>
      </w:r>
    </w:p>
    <w:p w:rsidR="00BF490C" w:rsidRPr="003D1E06" w:rsidRDefault="00BF490C" w:rsidP="00503002">
      <w:pPr>
        <w:pStyle w:val="Heading5"/>
      </w:pPr>
      <w:r w:rsidRPr="003D1E06">
        <w:t xml:space="preserve">Advice from the </w:t>
      </w:r>
      <w:r w:rsidRPr="003D1E06">
        <w:rPr>
          <w:rStyle w:val="st1"/>
        </w:rPr>
        <w:t>Advisory Committee on the Safety of Medicines (ACSOM)</w:t>
      </w:r>
    </w:p>
    <w:p w:rsidR="00BF490C" w:rsidRDefault="00BF490C" w:rsidP="00806140">
      <w:r>
        <w:t>ACSOM advice was not sought for this submission.</w:t>
      </w:r>
    </w:p>
    <w:p w:rsidR="00BF490C" w:rsidRDefault="00BF490C" w:rsidP="00503002">
      <w:pPr>
        <w:pStyle w:val="Heading5"/>
      </w:pPr>
      <w:r>
        <w:t>Suggested wording</w:t>
      </w:r>
      <w:r w:rsidR="00723EFB">
        <w:t xml:space="preserve"> for conditions of registration</w:t>
      </w:r>
    </w:p>
    <w:p w:rsidR="00BF490C" w:rsidRPr="003D1E06" w:rsidRDefault="00BF490C" w:rsidP="003D1E06">
      <w:pPr>
        <w:pStyle w:val="Heading6"/>
      </w:pPr>
      <w:r>
        <w:t>RMP</w:t>
      </w:r>
    </w:p>
    <w:p w:rsidR="00BF490C" w:rsidRDefault="00BF490C" w:rsidP="00723EFB">
      <w:pPr>
        <w:pStyle w:val="Numberbullet0"/>
        <w:numPr>
          <w:ilvl w:val="0"/>
          <w:numId w:val="24"/>
        </w:numPr>
      </w:pPr>
      <w:r>
        <w:t>The European Risk Management Plan (Version: 1.0 dated September 2012) with an Australian Specific Annex (Version: 2.0, dated 25 March 2014) to be revised to the satisfaction of the TGA, must be implemented.</w:t>
      </w:r>
    </w:p>
    <w:p w:rsidR="00BF490C" w:rsidRDefault="00723EFB" w:rsidP="00503002">
      <w:pPr>
        <w:pStyle w:val="Heading5"/>
      </w:pPr>
      <w:r>
        <w:t>Key changes to the updated ASA</w:t>
      </w:r>
    </w:p>
    <w:p w:rsidR="00BF490C" w:rsidRDefault="00BF490C" w:rsidP="00723EFB">
      <w:r>
        <w:t>In their response to the TGA</w:t>
      </w:r>
      <w:r w:rsidR="003D1E06">
        <w:t>,</w:t>
      </w:r>
      <w:r>
        <w:t xml:space="preserve"> the sponsor provided an updated ASA </w:t>
      </w:r>
      <w:r>
        <w:rPr>
          <w:iCs/>
        </w:rPr>
        <w:t>(</w:t>
      </w:r>
      <w:r>
        <w:t>Version</w:t>
      </w:r>
      <w:r>
        <w:rPr>
          <w:iCs/>
        </w:rPr>
        <w:t>: 2.0, dated 25 March 2014).</w:t>
      </w:r>
      <w:r w:rsidR="000325C5">
        <w:rPr>
          <w:iCs/>
        </w:rPr>
        <w:t xml:space="preserve"> </w:t>
      </w:r>
      <w:r>
        <w:t xml:space="preserve">Key changes from the version evaluated at </w:t>
      </w:r>
      <w:r w:rsidR="003D1E06">
        <w:t>First Round Evaluation</w:t>
      </w:r>
      <w:r>
        <w:t xml:space="preserve"> are summarised below</w:t>
      </w:r>
      <w:r w:rsidR="003D1E06">
        <w:t xml:space="preserve"> in Table </w:t>
      </w:r>
      <w:r w:rsidR="00D91930">
        <w:t>4</w:t>
      </w:r>
      <w:r w:rsidR="003D1E06">
        <w:t>.</w:t>
      </w:r>
    </w:p>
    <w:p w:rsidR="003D1E06" w:rsidRDefault="00D91930" w:rsidP="00503002">
      <w:pPr>
        <w:pStyle w:val="TableTitle"/>
      </w:pPr>
      <w:r>
        <w:t>Table 4</w:t>
      </w:r>
      <w:r w:rsidR="003D1E06">
        <w:t>: Key changes to the ASA</w:t>
      </w:r>
    </w:p>
    <w:tbl>
      <w:tblPr>
        <w:tblStyle w:val="TableTGAblue"/>
        <w:tblW w:w="0" w:type="auto"/>
        <w:tblLook w:val="04A0" w:firstRow="1" w:lastRow="0" w:firstColumn="1" w:lastColumn="0" w:noHBand="0" w:noVBand="1"/>
      </w:tblPr>
      <w:tblGrid>
        <w:gridCol w:w="2048"/>
        <w:gridCol w:w="6457"/>
      </w:tblGrid>
      <w:tr w:rsidR="00BF490C" w:rsidTr="00503002">
        <w:trPr>
          <w:cnfStyle w:val="100000000000" w:firstRow="1" w:lastRow="0" w:firstColumn="0" w:lastColumn="0" w:oddVBand="0" w:evenVBand="0" w:oddHBand="0" w:evenHBand="0" w:firstRowFirstColumn="0" w:firstRowLastColumn="0" w:lastRowFirstColumn="0" w:lastRowLastColumn="0"/>
          <w:trHeight w:val="536"/>
        </w:trPr>
        <w:tc>
          <w:tcPr>
            <w:tcW w:w="2048" w:type="dxa"/>
          </w:tcPr>
          <w:p w:rsidR="00BF490C" w:rsidRPr="003D1E06" w:rsidRDefault="00BF490C" w:rsidP="00503002">
            <w:pPr>
              <w:rPr>
                <w:highlight w:val="yellow"/>
              </w:rPr>
            </w:pPr>
          </w:p>
        </w:tc>
        <w:tc>
          <w:tcPr>
            <w:tcW w:w="6457" w:type="dxa"/>
          </w:tcPr>
          <w:p w:rsidR="00BF490C" w:rsidRPr="003D1E06" w:rsidRDefault="003D1E06" w:rsidP="00503002">
            <w:pPr>
              <w:rPr>
                <w:highlight w:val="yellow"/>
              </w:rPr>
            </w:pPr>
            <w:r w:rsidRPr="003D1E06">
              <w:t>Key changes</w:t>
            </w:r>
          </w:p>
        </w:tc>
      </w:tr>
      <w:tr w:rsidR="00BF490C" w:rsidTr="00503002">
        <w:trPr>
          <w:trHeight w:val="524"/>
        </w:trPr>
        <w:tc>
          <w:tcPr>
            <w:tcW w:w="2048" w:type="dxa"/>
            <w:hideMark/>
          </w:tcPr>
          <w:p w:rsidR="00BF490C" w:rsidRPr="003D1E06" w:rsidRDefault="00BF490C" w:rsidP="00503002">
            <w:r w:rsidRPr="003D1E06">
              <w:t>Ongoing safety concerns</w:t>
            </w:r>
          </w:p>
        </w:tc>
        <w:tc>
          <w:tcPr>
            <w:tcW w:w="6457" w:type="dxa"/>
            <w:hideMark/>
          </w:tcPr>
          <w:p w:rsidR="00BF490C" w:rsidRPr="003D1E06" w:rsidRDefault="00BF490C" w:rsidP="00503002">
            <w:r w:rsidRPr="003D1E06">
              <w:rPr>
                <w:iCs/>
              </w:rPr>
              <w:t>The important missing information: ‘</w:t>
            </w:r>
            <w:r w:rsidRPr="003D1E06">
              <w:t>Paediatric patients’ has been replaced by</w:t>
            </w:r>
            <w:r w:rsidRPr="003D1E06">
              <w:rPr>
                <w:i/>
              </w:rPr>
              <w:t xml:space="preserve"> </w:t>
            </w:r>
            <w:r w:rsidRPr="003D1E06">
              <w:t>‘Potential off-label use, including paediatric patients’ to be monitored by routine pharmacovigilance activities with routine risk minimisation applied.</w:t>
            </w:r>
          </w:p>
        </w:tc>
      </w:tr>
    </w:tbl>
    <w:p w:rsidR="008E7846" w:rsidRPr="00792A32" w:rsidRDefault="008E7846" w:rsidP="008E7846">
      <w:pPr>
        <w:pStyle w:val="Heading2"/>
      </w:pPr>
      <w:bookmarkStart w:id="141" w:name="_Toc314842510"/>
      <w:bookmarkStart w:id="142" w:name="_Toc434909897"/>
      <w:r>
        <w:lastRenderedPageBreak/>
        <w:t xml:space="preserve">VI. </w:t>
      </w:r>
      <w:r w:rsidRPr="00792A32">
        <w:t xml:space="preserve">Overall </w:t>
      </w:r>
      <w:r>
        <w:t>c</w:t>
      </w:r>
      <w:r w:rsidRPr="00792A32">
        <w:t xml:space="preserve">onclusion and </w:t>
      </w:r>
      <w:r>
        <w:t>r</w:t>
      </w:r>
      <w:r w:rsidRPr="00792A32">
        <w:t>isk/</w:t>
      </w:r>
      <w:r>
        <w:t>b</w:t>
      </w:r>
      <w:r w:rsidRPr="00792A32">
        <w:t xml:space="preserve">enefit </w:t>
      </w:r>
      <w:r>
        <w:t>a</w:t>
      </w:r>
      <w:r w:rsidRPr="00792A32">
        <w:t>ssessment</w:t>
      </w:r>
      <w:bookmarkEnd w:id="86"/>
      <w:bookmarkEnd w:id="140"/>
      <w:bookmarkEnd w:id="141"/>
      <w:bookmarkEnd w:id="142"/>
    </w:p>
    <w:p w:rsidR="008E7846" w:rsidRDefault="008E7846" w:rsidP="00503002">
      <w:bookmarkStart w:id="143" w:name="_Toc247691528"/>
      <w:r>
        <w:t xml:space="preserve">The submission was summarised in the following </w:t>
      </w:r>
      <w:r w:rsidRPr="00EF5C48">
        <w:t xml:space="preserve">Delegate’s </w:t>
      </w:r>
      <w:r>
        <w:t>overview</w:t>
      </w:r>
      <w:r w:rsidRPr="00EF5C48">
        <w:t xml:space="preserve"> and recommendation</w:t>
      </w:r>
      <w:r>
        <w:t>s:</w:t>
      </w:r>
    </w:p>
    <w:p w:rsidR="00DF3FB2" w:rsidRPr="00DF3FB2" w:rsidRDefault="00DF3FB2" w:rsidP="00503002">
      <w:pPr>
        <w:rPr>
          <w:lang w:val="en-US"/>
        </w:rPr>
      </w:pPr>
      <w:bookmarkStart w:id="144" w:name="_Toc314842511"/>
      <w:r w:rsidRPr="00DF3FB2">
        <w:rPr>
          <w:lang w:val="en-US"/>
        </w:rPr>
        <w:t xml:space="preserve">Given that </w:t>
      </w:r>
      <w:proofErr w:type="spellStart"/>
      <w:r w:rsidRPr="00DF3FB2">
        <w:rPr>
          <w:lang w:val="en-US"/>
        </w:rPr>
        <w:t>sevelamer</w:t>
      </w:r>
      <w:proofErr w:type="spellEnd"/>
      <w:r w:rsidRPr="00DF3FB2">
        <w:rPr>
          <w:lang w:val="en-US"/>
        </w:rPr>
        <w:t xml:space="preserve"> acts locally in the intestinal tract and is not systemically absorbed</w:t>
      </w:r>
      <w:r>
        <w:rPr>
          <w:lang w:val="en-US"/>
        </w:rPr>
        <w:t>,</w:t>
      </w:r>
      <w:r w:rsidRPr="00DF3FB2">
        <w:rPr>
          <w:lang w:val="en-US"/>
        </w:rPr>
        <w:t xml:space="preserve"> no bioequivalence studies were performed to compare this generic with </w:t>
      </w:r>
      <w:proofErr w:type="spellStart"/>
      <w:r w:rsidRPr="00DF3FB2">
        <w:rPr>
          <w:lang w:val="en-US"/>
        </w:rPr>
        <w:t>Renagel</w:t>
      </w:r>
      <w:proofErr w:type="spellEnd"/>
      <w:r w:rsidRPr="00DF3FB2">
        <w:rPr>
          <w:lang w:val="en-US"/>
        </w:rPr>
        <w:t>, as is normally the case for an oral preparation such as a tablet.</w:t>
      </w:r>
      <w:r>
        <w:rPr>
          <w:lang w:val="en-US"/>
        </w:rPr>
        <w:t xml:space="preserve"> </w:t>
      </w:r>
      <w:r w:rsidRPr="00DF3FB2">
        <w:rPr>
          <w:lang w:val="en-US"/>
        </w:rPr>
        <w:t xml:space="preserve">The sponsor has also not conducted any clinical studies with this generic product to assess its efficacy and safety, </w:t>
      </w:r>
      <w:r>
        <w:rPr>
          <w:lang w:val="en-US"/>
        </w:rPr>
        <w:t>that is,</w:t>
      </w:r>
      <w:r w:rsidRPr="00DF3FB2">
        <w:rPr>
          <w:lang w:val="en-US"/>
        </w:rPr>
        <w:t xml:space="preserve"> no patients have been given this generic product.</w:t>
      </w:r>
      <w:r>
        <w:rPr>
          <w:lang w:val="en-US"/>
        </w:rPr>
        <w:t xml:space="preserve"> </w:t>
      </w:r>
      <w:r w:rsidRPr="00DF3FB2">
        <w:rPr>
          <w:lang w:val="en-US"/>
        </w:rPr>
        <w:t xml:space="preserve">The submission therefore relies on the chemistry data submitted along with two in vitro binding studies to ascertain if this product is a generic of </w:t>
      </w:r>
      <w:proofErr w:type="spellStart"/>
      <w:r w:rsidRPr="00DF3FB2">
        <w:rPr>
          <w:lang w:val="en-US"/>
        </w:rPr>
        <w:t>Renagel</w:t>
      </w:r>
      <w:proofErr w:type="spellEnd"/>
      <w:r w:rsidRPr="00DF3FB2">
        <w:rPr>
          <w:lang w:val="en-US"/>
        </w:rPr>
        <w:t>.</w:t>
      </w:r>
    </w:p>
    <w:p w:rsidR="00DF3FB2" w:rsidRPr="00DF3FB2" w:rsidRDefault="00DF3FB2" w:rsidP="00503002">
      <w:pPr>
        <w:rPr>
          <w:lang w:val="en-US"/>
        </w:rPr>
      </w:pPr>
      <w:r w:rsidRPr="00DF3FB2">
        <w:rPr>
          <w:lang w:val="en-US"/>
        </w:rPr>
        <w:t>When the submission was initially lodged by the sponsor, the TGA raised concerns as follows:</w:t>
      </w:r>
    </w:p>
    <w:p w:rsidR="00DF3FB2" w:rsidRPr="0038432E" w:rsidRDefault="00DF3FB2" w:rsidP="00503002">
      <w:pPr>
        <w:pStyle w:val="Numberbullet2"/>
      </w:pPr>
      <w:r w:rsidRPr="0038432E">
        <w:t>The extent to which serum phosphate is affected by the actions of this polymer, which cannot be established using in vitro data. It was suggested that clinical data is obtained from patients within the target population.</w:t>
      </w:r>
    </w:p>
    <w:p w:rsidR="00DF3FB2" w:rsidRPr="0038432E" w:rsidRDefault="00DF3FB2" w:rsidP="0038432E">
      <w:pPr>
        <w:pStyle w:val="Numberbullet2"/>
      </w:pPr>
      <w:r w:rsidRPr="0038432E">
        <w:t>The molecular weight distribution is not well defined and may have safety and efficacy implications, which could be properly addressed in a clinical trial.</w:t>
      </w:r>
    </w:p>
    <w:p w:rsidR="00DF3FB2" w:rsidRPr="0038432E" w:rsidRDefault="00DF3FB2" w:rsidP="0038432E">
      <w:pPr>
        <w:pStyle w:val="Numberbullet2"/>
      </w:pPr>
      <w:r w:rsidRPr="0038432E">
        <w:t>The dimensions of the final tablet size are not provided but the mass is substantially increased in the proposed tablet.</w:t>
      </w:r>
    </w:p>
    <w:p w:rsidR="00DF3FB2" w:rsidRPr="0038432E" w:rsidRDefault="00DF3FB2" w:rsidP="0038432E">
      <w:pPr>
        <w:pStyle w:val="Numberbullet2"/>
      </w:pPr>
      <w:r w:rsidRPr="0038432E">
        <w:t xml:space="preserve">The in vitro studies, whilst supportive, cannot replace studies in the target population with </w:t>
      </w:r>
      <w:proofErr w:type="spellStart"/>
      <w:r w:rsidRPr="0038432E">
        <w:t>pharmacodynamic</w:t>
      </w:r>
      <w:proofErr w:type="spellEnd"/>
      <w:r w:rsidRPr="0038432E">
        <w:t xml:space="preserve"> endpoints, which would also provide important safety and tolerability data.</w:t>
      </w:r>
    </w:p>
    <w:p w:rsidR="00DF3FB2" w:rsidRDefault="00DF3FB2" w:rsidP="00503002">
      <w:r>
        <w:t xml:space="preserve">Following the second round evaluation phase, both the quality evaluator and the clinical evaluator could not recommend approval. The </w:t>
      </w:r>
      <w:r w:rsidR="0038432E">
        <w:t>quality</w:t>
      </w:r>
      <w:r>
        <w:t xml:space="preserve"> evaluator also sought the advice of PSC at its meeting on 26 May 2014, following the first round of evaluation, on whether this product could be considered a generic of </w:t>
      </w:r>
      <w:proofErr w:type="spellStart"/>
      <w:r>
        <w:t>Renagel</w:t>
      </w:r>
      <w:proofErr w:type="spellEnd"/>
      <w:r>
        <w:t xml:space="preserve"> and whether the sponsor had demonstrated that the phosphate binding capacity of this generic was equivalent to </w:t>
      </w:r>
      <w:proofErr w:type="spellStart"/>
      <w:r>
        <w:t>Renagel</w:t>
      </w:r>
      <w:proofErr w:type="spellEnd"/>
      <w:r>
        <w:t xml:space="preserve">. The PSC advised at Recommendation 2347 that the proposed submission was not considered acceptable on </w:t>
      </w:r>
      <w:proofErr w:type="spellStart"/>
      <w:r>
        <w:t>biopharmaceutic</w:t>
      </w:r>
      <w:proofErr w:type="spellEnd"/>
      <w:r>
        <w:t xml:space="preserve"> grounds, the characterisation of the drug product suggested differences with </w:t>
      </w:r>
      <w:proofErr w:type="spellStart"/>
      <w:r>
        <w:t>Renagel</w:t>
      </w:r>
      <w:proofErr w:type="spellEnd"/>
      <w:r>
        <w:t xml:space="preserve"> and the phosphate concentration range chosen for determining maximum phosphate binding capacity in the kinetic studies, which failed to provide support for comparability. The full PSC Recommendation is included under Quality findings above.</w:t>
      </w:r>
    </w:p>
    <w:p w:rsidR="00DF3FB2" w:rsidRDefault="00DF3FB2" w:rsidP="00503002">
      <w:r>
        <w:t xml:space="preserve">Following the PSC advice, the sponsor submitted additional data comparing their generic product with the reference product to address concerns of cross-linking, level of </w:t>
      </w:r>
      <w:proofErr w:type="spellStart"/>
      <w:r>
        <w:t>titratable</w:t>
      </w:r>
      <w:proofErr w:type="spellEnd"/>
      <w:r>
        <w:t xml:space="preserve"> amines and phosphate binding capacity. Evaluation of this data by the </w:t>
      </w:r>
      <w:r w:rsidR="007E2C31">
        <w:t>quality</w:t>
      </w:r>
      <w:r>
        <w:t xml:space="preserve"> evaluator concluded that approval was not recommended due to the </w:t>
      </w:r>
      <w:r>
        <w:rPr>
          <w:szCs w:val="24"/>
        </w:rPr>
        <w:t xml:space="preserve">proposed drug product containing a slightly lower level of </w:t>
      </w:r>
      <w:proofErr w:type="spellStart"/>
      <w:r>
        <w:rPr>
          <w:szCs w:val="24"/>
        </w:rPr>
        <w:t>titratable</w:t>
      </w:r>
      <w:proofErr w:type="spellEnd"/>
      <w:r>
        <w:rPr>
          <w:szCs w:val="24"/>
        </w:rPr>
        <w:t xml:space="preserve"> amines than the reference product and that this reflected differences between the phosphate binding capacity of the proposed drug product as compared with the reference product</w:t>
      </w:r>
      <w:r w:rsidR="00DC5E9C">
        <w:rPr>
          <w:szCs w:val="24"/>
        </w:rPr>
        <w:t>.</w:t>
      </w:r>
      <w:r>
        <w:t xml:space="preserve"> </w:t>
      </w:r>
      <w:r>
        <w:rPr>
          <w:szCs w:val="24"/>
        </w:rPr>
        <w:t>The evaluator concluded that the only way to ensure equivalence between the proposed and reference products was if their respective drug substance and drug product specifications were matched</w:t>
      </w:r>
      <w:r>
        <w:t xml:space="preserve">. There was also concern regarding the upper particle size limit which needed to be tightened to control tablet swelling upon ingestion. It was also recommended that the sponsor repeat the phosphate binding capacity study as it did not encompass the maximum binding of phosphate as required by the draft FDA guidance document for </w:t>
      </w:r>
      <w:proofErr w:type="spellStart"/>
      <w:r>
        <w:t>sevelamer</w:t>
      </w:r>
      <w:proofErr w:type="spellEnd"/>
      <w:r>
        <w:t xml:space="preserve">, which raised doubts about the </w:t>
      </w:r>
      <w:r>
        <w:rPr>
          <w:szCs w:val="24"/>
        </w:rPr>
        <w:t>validity of the results showing equivalent phosphate binding between the generic and reference products.</w:t>
      </w:r>
    </w:p>
    <w:p w:rsidR="00DF3FB2" w:rsidRDefault="00DF3FB2" w:rsidP="007E2C31">
      <w:r>
        <w:lastRenderedPageBreak/>
        <w:t xml:space="preserve">A meeting was held between the TGA and sponsor on 20 June 2014 to discuss the concerns of the TGA including the lack of clinical data to demonstrate equivalence between this generic and </w:t>
      </w:r>
      <w:proofErr w:type="spellStart"/>
      <w:r>
        <w:t>Renagel</w:t>
      </w:r>
      <w:proofErr w:type="spellEnd"/>
      <w:r>
        <w:t xml:space="preserve">, the limit for </w:t>
      </w:r>
      <w:proofErr w:type="spellStart"/>
      <w:r>
        <w:t>titratable</w:t>
      </w:r>
      <w:proofErr w:type="spellEnd"/>
      <w:r>
        <w:t xml:space="preserve"> amines, the limits for phosphate binding, whether a bicarbonate binding study was needed (a reduction in bicarbonate has been reported with </w:t>
      </w:r>
      <w:proofErr w:type="spellStart"/>
      <w:r>
        <w:t>sevelamer</w:t>
      </w:r>
      <w:proofErr w:type="spellEnd"/>
      <w:r>
        <w:t xml:space="preserve">), the need to repeat the phosphate binding test in line with current FDA guidance, the swell index should be aligned with the USP monograph, the concern with the size of the tablet (video footage comparing the generic with </w:t>
      </w:r>
      <w:proofErr w:type="spellStart"/>
      <w:r>
        <w:t>Renagel</w:t>
      </w:r>
      <w:proofErr w:type="spellEnd"/>
      <w:r>
        <w:t xml:space="preserve"> would be provided), the lack of particle size limit results and whether a small swallowing study should be conducted.</w:t>
      </w:r>
    </w:p>
    <w:p w:rsidR="002D64ED" w:rsidRDefault="00DF3FB2" w:rsidP="007E2C31">
      <w:r>
        <w:t xml:space="preserve">In response to the above meeting, the sponsor submitted further information to the TGA. </w:t>
      </w:r>
      <w:r w:rsidRPr="00DC5E9C">
        <w:t xml:space="preserve">The </w:t>
      </w:r>
      <w:r w:rsidR="007E2C31" w:rsidRPr="00DC5E9C">
        <w:t>quality</w:t>
      </w:r>
      <w:r w:rsidRPr="00DC5E9C">
        <w:t xml:space="preserve"> evaluator concluded that the proposed limits of the particle size distribution were now acceptable</w:t>
      </w:r>
      <w:r>
        <w:t xml:space="preserve">, a tighter limit was proposed by the sponsor for the total </w:t>
      </w:r>
      <w:proofErr w:type="spellStart"/>
      <w:r>
        <w:t>titratable</w:t>
      </w:r>
      <w:proofErr w:type="spellEnd"/>
      <w:r>
        <w:t xml:space="preserve"> amines but this was still looser than that specified in the USP monograph</w:t>
      </w:r>
      <w:r w:rsidR="007E2C31">
        <w:t>. T</w:t>
      </w:r>
      <w:r>
        <w:t>he sponsor was willing to tighten the phosphate binding capacity limits in the drug substance and drug product and to tighten the limits for the swell index</w:t>
      </w:r>
      <w:r w:rsidR="002D64ED">
        <w:t>.</w:t>
      </w:r>
    </w:p>
    <w:p w:rsidR="00DF3FB2" w:rsidRDefault="00DF3FB2" w:rsidP="007E2C31">
      <w:r>
        <w:t>The sponsor also responded to the clinical concerns regarding tablet size, disintegration and whether there was a need for a bicarbonate study, however the clinical evaluator’s recommendation in the clinical evaluation report remained unchanged</w:t>
      </w:r>
      <w:r w:rsidR="007E2C31">
        <w:t>. This was</w:t>
      </w:r>
      <w:r>
        <w:t xml:space="preserve"> mainly due to a lack of clinical data and concern with the tablet size. The sponsor did not repeat the phosphate binding study according to the current FDA guidance. The main concern with the original study was that it did not include a phosphate concentration that induced maximum binding of phosphate with the drug substance. The sponsor did provide results from a bridging study that examined phosphate binding at maximum phosphate concentration levels. This showed similarity between the generic and reference product for the capacity constant but it was limited by its design of only including two replicates tests and did not include 90% confidence intervals. The response also indicated that in Germany where the same submission has been lodged, several issues were raised regarding the quality of the drug substance and product however no questions were asked regarding the equivalence of the generic and reference products with regard to phosphate binding capacities. The </w:t>
      </w:r>
      <w:r w:rsidR="007E2C31">
        <w:t>quality</w:t>
      </w:r>
      <w:r>
        <w:t xml:space="preserve"> evaluator again advised that approval was not recommended due to uncertainty on the equivalence of the generic and reference in terms of total </w:t>
      </w:r>
      <w:proofErr w:type="spellStart"/>
      <w:r>
        <w:t>titratable</w:t>
      </w:r>
      <w:proofErr w:type="spellEnd"/>
      <w:r>
        <w:t xml:space="preserve"> amines and the swell index. The proposed limits for these substances were not commensurate with the USP monograph. The significance of these differences was unclear in the absence of a phosphate binding study conducted in accordance with the current FDA guidelines.</w:t>
      </w:r>
    </w:p>
    <w:p w:rsidR="00DF3FB2" w:rsidRDefault="00DF3FB2" w:rsidP="00503002">
      <w:r>
        <w:t xml:space="preserve">This </w:t>
      </w:r>
      <w:proofErr w:type="spellStart"/>
      <w:r>
        <w:t>sevelamer</w:t>
      </w:r>
      <w:proofErr w:type="spellEnd"/>
      <w:r>
        <w:t xml:space="preserve"> generic product has not been previously considered by </w:t>
      </w:r>
      <w:r w:rsidR="007E2C31">
        <w:t>the TGA’s Advisory Committee on Prescription Medicines (</w:t>
      </w:r>
      <w:r>
        <w:t>ACPM</w:t>
      </w:r>
      <w:r w:rsidR="007E2C31">
        <w:t>)</w:t>
      </w:r>
      <w:r>
        <w:t xml:space="preserve"> and there are no other generic products of </w:t>
      </w:r>
      <w:proofErr w:type="spellStart"/>
      <w:r>
        <w:t>sevelamer</w:t>
      </w:r>
      <w:proofErr w:type="spellEnd"/>
      <w:r>
        <w:t xml:space="preserve"> registered on the ARTG.</w:t>
      </w:r>
    </w:p>
    <w:p w:rsidR="00DF3FB2" w:rsidRDefault="00DF3FB2" w:rsidP="007E2C31">
      <w:r>
        <w:t xml:space="preserve">This </w:t>
      </w:r>
      <w:proofErr w:type="spellStart"/>
      <w:r>
        <w:t>sevelamer</w:t>
      </w:r>
      <w:proofErr w:type="spellEnd"/>
      <w:r>
        <w:t xml:space="preserve"> generic product has not been approved overseas. An application was submitted to Germany in December 2012 and </w:t>
      </w:r>
      <w:r w:rsidR="0038432E">
        <w:t>was</w:t>
      </w:r>
      <w:r>
        <w:t xml:space="preserve"> under evaluation</w:t>
      </w:r>
      <w:r w:rsidR="0038432E">
        <w:t xml:space="preserve"> at the time of writing</w:t>
      </w:r>
      <w:r>
        <w:t>.</w:t>
      </w:r>
    </w:p>
    <w:p w:rsidR="008E7846" w:rsidRDefault="008E7846" w:rsidP="00DF3FB2">
      <w:pPr>
        <w:pStyle w:val="Heading3"/>
      </w:pPr>
      <w:bookmarkStart w:id="145" w:name="_Toc434909898"/>
      <w:r>
        <w:t>Quality</w:t>
      </w:r>
      <w:bookmarkEnd w:id="143"/>
      <w:bookmarkEnd w:id="144"/>
      <w:bookmarkEnd w:id="145"/>
    </w:p>
    <w:p w:rsidR="00700987" w:rsidRDefault="00700987" w:rsidP="00F77E39">
      <w:pPr>
        <w:rPr>
          <w:rFonts w:asciiTheme="minorHAnsi" w:hAnsiTheme="minorHAnsi"/>
        </w:rPr>
      </w:pPr>
      <w:r>
        <w:rPr>
          <w:rFonts w:asciiTheme="minorHAnsi" w:hAnsiTheme="minorHAnsi"/>
        </w:rPr>
        <w:t xml:space="preserve">The </w:t>
      </w:r>
      <w:r w:rsidR="00F77E39">
        <w:rPr>
          <w:rFonts w:asciiTheme="minorHAnsi" w:hAnsiTheme="minorHAnsi"/>
        </w:rPr>
        <w:t>quality</w:t>
      </w:r>
      <w:r>
        <w:rPr>
          <w:rFonts w:asciiTheme="minorHAnsi" w:hAnsiTheme="minorHAnsi"/>
        </w:rPr>
        <w:t xml:space="preserve"> evaluator has recommended rejection of the submission due to </w:t>
      </w:r>
      <w:r w:rsidR="00F77E39">
        <w:rPr>
          <w:rFonts w:asciiTheme="minorHAnsi" w:hAnsiTheme="minorHAnsi"/>
        </w:rPr>
        <w:t>‘</w:t>
      </w:r>
      <w:r w:rsidRPr="00F77E39">
        <w:rPr>
          <w:i/>
        </w:rPr>
        <w:t>the drug substance in the proposed generic product is different to that in the innovator product, and no bridging efficacy study has been performed to alleviate the concern regarding the impact of the difference in drug substances on the efficacy of the generic medicine</w:t>
      </w:r>
      <w:r>
        <w:rPr>
          <w:rFonts w:asciiTheme="minorHAnsi" w:hAnsiTheme="minorHAnsi"/>
        </w:rPr>
        <w:t>.</w:t>
      </w:r>
      <w:r w:rsidR="00F77E39">
        <w:rPr>
          <w:rFonts w:asciiTheme="minorHAnsi" w:hAnsiTheme="minorHAnsi"/>
        </w:rPr>
        <w:t>’</w:t>
      </w:r>
    </w:p>
    <w:p w:rsidR="00700987" w:rsidRDefault="00700987" w:rsidP="00F77E39">
      <w:pPr>
        <w:rPr>
          <w:rFonts w:asciiTheme="minorHAnsi" w:hAnsiTheme="minorHAnsi"/>
        </w:rPr>
      </w:pPr>
      <w:proofErr w:type="spellStart"/>
      <w:r>
        <w:t>Sevelamer</w:t>
      </w:r>
      <w:proofErr w:type="spellEnd"/>
      <w:r>
        <w:t xml:space="preserve"> hydrochloride and </w:t>
      </w:r>
      <w:proofErr w:type="spellStart"/>
      <w:r>
        <w:t>sevelamer</w:t>
      </w:r>
      <w:proofErr w:type="spellEnd"/>
      <w:r>
        <w:t xml:space="preserve"> hydrochloride tablets are not subject to </w:t>
      </w:r>
      <w:r w:rsidR="00F77E39">
        <w:t>BP</w:t>
      </w:r>
      <w:r>
        <w:t xml:space="preserve"> or </w:t>
      </w:r>
      <w:r w:rsidR="00F77E39">
        <w:t>USP</w:t>
      </w:r>
      <w:r>
        <w:t xml:space="preserve"> monographs; however draft USP monographs are available for both the drug substance and drug product.</w:t>
      </w:r>
      <w:r w:rsidR="000325C5">
        <w:t xml:space="preserve"> </w:t>
      </w:r>
      <w:r>
        <w:t xml:space="preserve">Due to the complexity and nature of the drug substance, the quality control tests and limits applied to the drug substance play an important role in establishing that the drug substance in the proposed generic product is the same as that in </w:t>
      </w:r>
      <w:r>
        <w:lastRenderedPageBreak/>
        <w:t>the innovator product.</w:t>
      </w:r>
      <w:r w:rsidR="000325C5">
        <w:t xml:space="preserve"> </w:t>
      </w:r>
      <w:r>
        <w:t>The limits proposed for some quality control tests for the drug substance in the proposed generic product are different to those in the draft USP monograph</w:t>
      </w:r>
      <w:r w:rsidR="000325C5">
        <w:t xml:space="preserve"> </w:t>
      </w:r>
      <w:r>
        <w:t>The drug substance is a cross-linked polymer and the extent of cross-linking is very sensitive to the manufacturing conditions, which makes it difficult to match the relevant therapeutic properties of the drug substance between different manufacturers.</w:t>
      </w:r>
    </w:p>
    <w:p w:rsidR="002D64ED" w:rsidRDefault="00700987" w:rsidP="00503002">
      <w:r>
        <w:rPr>
          <w:rFonts w:asciiTheme="minorHAnsi" w:hAnsiTheme="minorHAnsi"/>
        </w:rPr>
        <w:t>In assessing the quality control of the drug substance, there are key tests and limits applied.</w:t>
      </w:r>
      <w:r w:rsidR="000325C5">
        <w:rPr>
          <w:rFonts w:asciiTheme="minorHAnsi" w:hAnsiTheme="minorHAnsi"/>
        </w:rPr>
        <w:t xml:space="preserve"> </w:t>
      </w:r>
      <w:r>
        <w:rPr>
          <w:rFonts w:asciiTheme="minorHAnsi" w:hAnsiTheme="minorHAnsi"/>
        </w:rPr>
        <w:t xml:space="preserve">These include: </w:t>
      </w:r>
      <w:r>
        <w:t xml:space="preserve">identification; phosphate binding capacity; chloride content; swell index; total </w:t>
      </w:r>
      <w:proofErr w:type="spellStart"/>
      <w:r>
        <w:t>titratable</w:t>
      </w:r>
      <w:proofErr w:type="spellEnd"/>
      <w:r>
        <w:t xml:space="preserve"> amines; water soluble oligomers; </w:t>
      </w:r>
      <w:proofErr w:type="spellStart"/>
      <w:r>
        <w:t>allylamine</w:t>
      </w:r>
      <w:proofErr w:type="spellEnd"/>
      <w:r>
        <w:t xml:space="preserve"> content; </w:t>
      </w:r>
      <w:proofErr w:type="spellStart"/>
      <w:r>
        <w:t>epichlorohydrin</w:t>
      </w:r>
      <w:proofErr w:type="spellEnd"/>
      <w:r>
        <w:t xml:space="preserve"> content and particle size.</w:t>
      </w:r>
      <w:r w:rsidR="000325C5">
        <w:t xml:space="preserve"> </w:t>
      </w:r>
      <w:r>
        <w:t xml:space="preserve">The evaluator has advised that the limits and tests for identification, chloride content, water soluble oligomers, </w:t>
      </w:r>
      <w:proofErr w:type="spellStart"/>
      <w:r>
        <w:t>allylamine</w:t>
      </w:r>
      <w:proofErr w:type="spellEnd"/>
      <w:r>
        <w:t xml:space="preserve"> content, </w:t>
      </w:r>
      <w:proofErr w:type="spellStart"/>
      <w:r>
        <w:t>epichlorohydrin</w:t>
      </w:r>
      <w:proofErr w:type="spellEnd"/>
      <w:r>
        <w:t xml:space="preserve"> content and particle size are in line or tighter than those specified in the draft USP monograph for </w:t>
      </w:r>
      <w:proofErr w:type="spellStart"/>
      <w:r>
        <w:t>sevelamer</w:t>
      </w:r>
      <w:proofErr w:type="spellEnd"/>
      <w:r>
        <w:t xml:space="preserve"> hydrochloride and all tests have been adequately described and validated.</w:t>
      </w:r>
      <w:r w:rsidR="000325C5">
        <w:t xml:space="preserve"> </w:t>
      </w:r>
      <w:r>
        <w:t xml:space="preserve">The issues of concern relate to the phosphate binding capacity of </w:t>
      </w:r>
      <w:proofErr w:type="spellStart"/>
      <w:r>
        <w:t>sevelamer</w:t>
      </w:r>
      <w:proofErr w:type="spellEnd"/>
      <w:r>
        <w:t xml:space="preserve">, the swell index (indirectly inversely related to free amine content and therefore phosphate binding capacity) and total </w:t>
      </w:r>
      <w:proofErr w:type="spellStart"/>
      <w:r>
        <w:t>titratable</w:t>
      </w:r>
      <w:proofErr w:type="spellEnd"/>
      <w:r>
        <w:t xml:space="preserve"> amines (surrogate measure of phosphate binding capacity)</w:t>
      </w:r>
      <w:r w:rsidR="002D64ED">
        <w:t>.</w:t>
      </w:r>
    </w:p>
    <w:p w:rsidR="002D64ED" w:rsidRDefault="00700987" w:rsidP="00503002">
      <w:r>
        <w:t xml:space="preserve">The level of total </w:t>
      </w:r>
      <w:proofErr w:type="spellStart"/>
      <w:r>
        <w:t>titratable</w:t>
      </w:r>
      <w:proofErr w:type="spellEnd"/>
      <w:r>
        <w:t xml:space="preserve"> amines in the drug substance is a surrogate assay parameter and also provides an indirect measure of its phosphate binding capacity.</w:t>
      </w:r>
      <w:r w:rsidR="000325C5">
        <w:t xml:space="preserve"> </w:t>
      </w:r>
      <w:r>
        <w:t xml:space="preserve">The most recently proposed </w:t>
      </w:r>
      <w:proofErr w:type="spellStart"/>
      <w:r>
        <w:t>titratable</w:t>
      </w:r>
      <w:proofErr w:type="spellEnd"/>
      <w:r>
        <w:t xml:space="preserve"> amine limit for the drug substance (and drug product) is </w:t>
      </w:r>
      <w:proofErr w:type="gramStart"/>
      <w:r>
        <w:t>9.6</w:t>
      </w:r>
      <w:r w:rsidR="00F77E39">
        <w:t xml:space="preserve"> to </w:t>
      </w:r>
      <w:r>
        <w:t xml:space="preserve">12.9 </w:t>
      </w:r>
      <w:proofErr w:type="spellStart"/>
      <w:r>
        <w:t>mmol</w:t>
      </w:r>
      <w:proofErr w:type="spellEnd"/>
      <w:r>
        <w:t>/g</w:t>
      </w:r>
      <w:proofErr w:type="gramEnd"/>
      <w:r>
        <w:t>.</w:t>
      </w:r>
      <w:r w:rsidR="000325C5">
        <w:t xml:space="preserve"> </w:t>
      </w:r>
      <w:r>
        <w:t xml:space="preserve">The proposed limit is lower than that specified in the draft USP drug substance monograph </w:t>
      </w:r>
      <w:proofErr w:type="gramStart"/>
      <w:r>
        <w:t>(11.3</w:t>
      </w:r>
      <w:r w:rsidR="00F77E39">
        <w:t xml:space="preserve"> to </w:t>
      </w:r>
      <w:r>
        <w:t xml:space="preserve">14.1 </w:t>
      </w:r>
      <w:proofErr w:type="spellStart"/>
      <w:r>
        <w:t>mmol</w:t>
      </w:r>
      <w:proofErr w:type="spellEnd"/>
      <w:r>
        <w:t>/g)</w:t>
      </w:r>
      <w:proofErr w:type="gramEnd"/>
      <w:r>
        <w:t>.</w:t>
      </w:r>
      <w:r w:rsidR="000325C5">
        <w:t xml:space="preserve"> </w:t>
      </w:r>
      <w:r>
        <w:t xml:space="preserve">The level of </w:t>
      </w:r>
      <w:proofErr w:type="spellStart"/>
      <w:r>
        <w:t>titratable</w:t>
      </w:r>
      <w:proofErr w:type="spellEnd"/>
      <w:r>
        <w:t xml:space="preserve"> amines is directly linked to the phosphate binding ability of the drug substance and drug product.</w:t>
      </w:r>
      <w:r w:rsidR="000325C5">
        <w:t xml:space="preserve"> </w:t>
      </w:r>
      <w:r>
        <w:t>This indicates that the proposed drug substance may have fewer free amine sites, compared with the reference drug substance capable of functioning in an ion-exchange capacity</w:t>
      </w:r>
      <w:r w:rsidR="002D64ED">
        <w:t>.</w:t>
      </w:r>
    </w:p>
    <w:p w:rsidR="00700987" w:rsidRDefault="00700987" w:rsidP="00503002">
      <w:r>
        <w:t xml:space="preserve">To address the concerns and recommendation for rejection by PSC, the sponsor provided a comparison of total </w:t>
      </w:r>
      <w:proofErr w:type="spellStart"/>
      <w:r>
        <w:t>titratable</w:t>
      </w:r>
      <w:proofErr w:type="spellEnd"/>
      <w:r>
        <w:t xml:space="preserve"> amines and phosphate binding capacity of the generic and </w:t>
      </w:r>
      <w:proofErr w:type="spellStart"/>
      <w:r>
        <w:t>Renagel</w:t>
      </w:r>
      <w:proofErr w:type="spellEnd"/>
      <w:r>
        <w:t xml:space="preserve"> as noted in </w:t>
      </w:r>
      <w:r w:rsidR="00F77E39" w:rsidRPr="00F77E39">
        <w:rPr>
          <w:i/>
        </w:rPr>
        <w:t>Quality findings</w:t>
      </w:r>
      <w:r w:rsidR="00F77E39">
        <w:t xml:space="preserve"> above</w:t>
      </w:r>
      <w:r>
        <w:t>.</w:t>
      </w:r>
      <w:r w:rsidR="000325C5">
        <w:t xml:space="preserve"> </w:t>
      </w:r>
      <w:r>
        <w:t>The data implies that the proposed generic drug substance has fewer free amine sites as compared with the reference drug substance capable of functioning as a phosphate binder.</w:t>
      </w:r>
    </w:p>
    <w:p w:rsidR="002D64ED" w:rsidRDefault="00700987" w:rsidP="00503002">
      <w:r>
        <w:t xml:space="preserve">The apparent difference in </w:t>
      </w:r>
      <w:proofErr w:type="spellStart"/>
      <w:r>
        <w:t>titratable</w:t>
      </w:r>
      <w:proofErr w:type="spellEnd"/>
      <w:r>
        <w:t xml:space="preserve"> amines between the generic and </w:t>
      </w:r>
      <w:proofErr w:type="spellStart"/>
      <w:r>
        <w:t>Renagel</w:t>
      </w:r>
      <w:proofErr w:type="spellEnd"/>
      <w:r>
        <w:t xml:space="preserve"> is reflected in differences between the phosphate binding capacities of the two drug substances</w:t>
      </w:r>
      <w:proofErr w:type="gramStart"/>
      <w:r>
        <w:t>..</w:t>
      </w:r>
      <w:proofErr w:type="gramEnd"/>
      <w:r w:rsidR="000325C5">
        <w:t xml:space="preserve"> </w:t>
      </w:r>
      <w:r>
        <w:t>Although the differences appear marginal, these may impact on the efficacy of the proposed generic product</w:t>
      </w:r>
      <w:r w:rsidR="002D64ED">
        <w:t>.</w:t>
      </w:r>
    </w:p>
    <w:p w:rsidR="00700987" w:rsidRDefault="00700987" w:rsidP="00503002">
      <w:pPr>
        <w:rPr>
          <w:rFonts w:asciiTheme="minorHAnsi" w:hAnsiTheme="minorHAnsi"/>
        </w:rPr>
      </w:pPr>
      <w:r>
        <w:t xml:space="preserve">In the absence of an acceptable phosphate binding study or a clinical study using the proposed generic, the differences in the </w:t>
      </w:r>
      <w:proofErr w:type="spellStart"/>
      <w:r>
        <w:t>titratable</w:t>
      </w:r>
      <w:proofErr w:type="spellEnd"/>
      <w:r>
        <w:t xml:space="preserve"> amines in the drug substances in the generic and reference products may impact on the efficacy of the proposed generic product.</w:t>
      </w:r>
    </w:p>
    <w:p w:rsidR="00700987" w:rsidRDefault="00700987" w:rsidP="00503002">
      <w:pPr>
        <w:rPr>
          <w:rFonts w:asciiTheme="minorHAnsi" w:hAnsiTheme="minorHAnsi"/>
        </w:rPr>
      </w:pPr>
      <w:r>
        <w:t>The swell index of the drug substance is proportional to the extent of cross-linking, which is inversely related to the free amine content.</w:t>
      </w:r>
      <w:r w:rsidR="000325C5">
        <w:t xml:space="preserve"> </w:t>
      </w:r>
      <w:r>
        <w:t>The free amine content is directly related to the drug substance phosphate binding capacity.</w:t>
      </w:r>
      <w:r w:rsidR="000325C5">
        <w:t xml:space="preserve"> </w:t>
      </w:r>
      <w:r>
        <w:t>Consequently, the swell index limit for the proposed drug substance should be aligned with the limit for the reference product.</w:t>
      </w:r>
      <w:r w:rsidR="000325C5">
        <w:t xml:space="preserve"> </w:t>
      </w:r>
      <w:r>
        <w:t>The most recently proposed swell index limit for the drug substance is 6.9</w:t>
      </w:r>
      <w:r w:rsidR="00F77E39">
        <w:t xml:space="preserve"> to </w:t>
      </w:r>
      <w:r>
        <w:t>9.4.</w:t>
      </w:r>
      <w:r w:rsidR="000325C5">
        <w:t xml:space="preserve"> </w:t>
      </w:r>
      <w:r>
        <w:t>The limit specified in the draft USP monograph is 6.2</w:t>
      </w:r>
      <w:r w:rsidR="00F77E39">
        <w:t xml:space="preserve"> to </w:t>
      </w:r>
      <w:r>
        <w:t>8.4</w:t>
      </w:r>
      <w:r w:rsidR="007618ED">
        <w:t>.</w:t>
      </w:r>
    </w:p>
    <w:p w:rsidR="00700987" w:rsidRDefault="00700987" w:rsidP="00503002">
      <w:r>
        <w:t xml:space="preserve">Since a bioequivalence study could not be performed for this product, the sponsor submitted two </w:t>
      </w:r>
      <w:r w:rsidRPr="00F77E39">
        <w:t>in vitro</w:t>
      </w:r>
      <w:r>
        <w:t xml:space="preserve"> studies: an </w:t>
      </w:r>
      <w:r w:rsidRPr="00F77E39">
        <w:t>in vitro</w:t>
      </w:r>
      <w:r>
        <w:t xml:space="preserve"> equilibrium binding study and an </w:t>
      </w:r>
      <w:r w:rsidRPr="00F77E39">
        <w:t>in vitro</w:t>
      </w:r>
      <w:r>
        <w:t xml:space="preserve"> kinetic binding study as per a draft FDA guidance on </w:t>
      </w:r>
      <w:proofErr w:type="spellStart"/>
      <w:r>
        <w:t>sevelamer</w:t>
      </w:r>
      <w:proofErr w:type="spellEnd"/>
      <w:r>
        <w:t xml:space="preserve"> hydrochloride dated August 2010 [the current version from August 2011 has updated testing requirements].</w:t>
      </w:r>
      <w:r w:rsidR="000325C5">
        <w:t xml:space="preserve"> </w:t>
      </w:r>
      <w:r>
        <w:t>The sponsor conducted these studies using the 800</w:t>
      </w:r>
      <w:r w:rsidR="00F77E39">
        <w:t xml:space="preserve"> </w:t>
      </w:r>
      <w:r>
        <w:t xml:space="preserve">mg strength but used the European </w:t>
      </w:r>
      <w:proofErr w:type="spellStart"/>
      <w:r>
        <w:t>Renagel</w:t>
      </w:r>
      <w:proofErr w:type="spellEnd"/>
      <w:r>
        <w:t xml:space="preserve"> as a reference which was deemed acceptable by the TGA in this instance.</w:t>
      </w:r>
    </w:p>
    <w:p w:rsidR="00700987" w:rsidRDefault="00700987" w:rsidP="00503002">
      <w:r>
        <w:lastRenderedPageBreak/>
        <w:t xml:space="preserve">For the equilibrium binding study, which is considered the pivotal </w:t>
      </w:r>
      <w:r w:rsidRPr="00F77E39">
        <w:t>in vitro</w:t>
      </w:r>
      <w:r>
        <w:t xml:space="preserve"> study, the sponsor compared the generic with </w:t>
      </w:r>
      <w:proofErr w:type="spellStart"/>
      <w:r>
        <w:t>Renagel</w:t>
      </w:r>
      <w:proofErr w:type="spellEnd"/>
      <w:r>
        <w:t xml:space="preserve"> (EU) across phosphate concentrations from 1</w:t>
      </w:r>
      <w:r w:rsidR="00F77E39">
        <w:t xml:space="preserve"> to </w:t>
      </w:r>
      <w:r>
        <w:t>40nM and then compared the two with 90% confidence intervals for the capacity constant (</w:t>
      </w:r>
      <w:proofErr w:type="gramStart"/>
      <w:r>
        <w:t>k</w:t>
      </w:r>
      <w:r>
        <w:rPr>
          <w:vertAlign w:val="subscript"/>
        </w:rPr>
        <w:t>2</w:t>
      </w:r>
      <w:proofErr w:type="gramEnd"/>
      <w:r>
        <w:t>).</w:t>
      </w:r>
      <w:r w:rsidR="000325C5">
        <w:t xml:space="preserve"> </w:t>
      </w:r>
      <w:r>
        <w:t>However the phosphate concentration range chosen by the sponsor did not encompass the maximum binding of phosphate as per the current August 2011 FDA guidance.</w:t>
      </w:r>
      <w:r w:rsidR="000325C5">
        <w:t xml:space="preserve"> </w:t>
      </w:r>
      <w:r>
        <w:t>The sponsor says this was because the study was designed against an older version of the FDA guidance document (August 2010) rather than the current version.</w:t>
      </w:r>
      <w:r w:rsidR="000325C5">
        <w:t xml:space="preserve"> </w:t>
      </w:r>
      <w:r>
        <w:t>The TGA was concerned about the impact this design flaw might have on the conclusion of equivalence between the proposed and innovator products.</w:t>
      </w:r>
    </w:p>
    <w:p w:rsidR="00700987" w:rsidRPr="00472D9C" w:rsidRDefault="00700987" w:rsidP="00503002">
      <w:pPr>
        <w:rPr>
          <w:rFonts w:asciiTheme="minorHAnsi" w:hAnsiTheme="minorHAnsi"/>
        </w:rPr>
      </w:pPr>
      <w:r w:rsidRPr="00472D9C">
        <w:t>To allay these concerns the sponsor provided a bridging study which exami</w:t>
      </w:r>
      <w:r w:rsidRPr="0027118E">
        <w:t xml:space="preserve">ned phosphate binding at maximum phosphate concentration levels (up to 70 </w:t>
      </w:r>
      <w:proofErr w:type="spellStart"/>
      <w:r w:rsidRPr="0027118E">
        <w:t>mM</w:t>
      </w:r>
      <w:proofErr w:type="spellEnd"/>
      <w:r w:rsidRPr="0027118E">
        <w:t xml:space="preserve">; 2 replicates </w:t>
      </w:r>
      <w:r w:rsidRPr="00472D9C">
        <w:t>only).</w:t>
      </w:r>
      <w:r w:rsidR="000325C5" w:rsidRPr="00472D9C">
        <w:t xml:space="preserve"> </w:t>
      </w:r>
      <w:r w:rsidRPr="00472D9C">
        <w:t xml:space="preserve">The </w:t>
      </w:r>
      <w:proofErr w:type="gramStart"/>
      <w:r w:rsidRPr="00472D9C">
        <w:t>k</w:t>
      </w:r>
      <w:r w:rsidRPr="00472D9C">
        <w:rPr>
          <w:vertAlign w:val="subscript"/>
        </w:rPr>
        <w:t>2</w:t>
      </w:r>
      <w:proofErr w:type="gramEnd"/>
      <w:r w:rsidRPr="00472D9C">
        <w:rPr>
          <w:vertAlign w:val="subscript"/>
        </w:rPr>
        <w:t xml:space="preserve"> </w:t>
      </w:r>
      <w:r w:rsidRPr="00472D9C">
        <w:t>values for the test and reference products in this study appear to be similar (and slightly higher than the values derived in the initial study), howev</w:t>
      </w:r>
      <w:r w:rsidRPr="0027118E">
        <w:t>er 90% confidence intervals for the T/R ratios were not calculated.</w:t>
      </w:r>
      <w:r w:rsidR="000325C5" w:rsidRPr="00472D9C">
        <w:t xml:space="preserve"> </w:t>
      </w:r>
      <w:r w:rsidRPr="00472D9C">
        <w:t>The significance of these results in demonstrating equivalence between the test and reference products remains unclear.</w:t>
      </w:r>
    </w:p>
    <w:p w:rsidR="00700987" w:rsidRDefault="00700987" w:rsidP="00503002">
      <w:r w:rsidRPr="00472D9C">
        <w:t xml:space="preserve">For the kinetic binding study which is considered a supportive in vitro study, the sponsor demonstrated that both the generic and </w:t>
      </w:r>
      <w:proofErr w:type="spellStart"/>
      <w:r w:rsidRPr="00472D9C">
        <w:t>Renagel</w:t>
      </w:r>
      <w:proofErr w:type="spellEnd"/>
      <w:r w:rsidRPr="00472D9C">
        <w:t xml:space="preserve"> (EU) showed maximum phosphate binding was reached quickly however this test was performed using six replicates as per the older FDA guidance rather than the 12 replicates required by the current FDA guidance.</w:t>
      </w:r>
    </w:p>
    <w:p w:rsidR="00E45619" w:rsidRDefault="00700987" w:rsidP="00503002">
      <w:r>
        <w:t>The PSC provided advice on this submission in May 2014 following the first round of evaluation</w:t>
      </w:r>
      <w:r w:rsidR="00F77E39">
        <w:t xml:space="preserve"> (see </w:t>
      </w:r>
      <w:r w:rsidR="00F77E39" w:rsidRPr="00C544FF">
        <w:rPr>
          <w:i/>
        </w:rPr>
        <w:t>Quality findings</w:t>
      </w:r>
      <w:r w:rsidR="00C544FF">
        <w:t xml:space="preserve"> above</w:t>
      </w:r>
      <w:r w:rsidR="00F77E39">
        <w:t>)</w:t>
      </w:r>
      <w:r>
        <w:rPr>
          <w:szCs w:val="24"/>
        </w:rPr>
        <w:t>.</w:t>
      </w:r>
    </w:p>
    <w:p w:rsidR="008E7846" w:rsidRDefault="008E7846" w:rsidP="00503002">
      <w:pPr>
        <w:pStyle w:val="Heading3"/>
      </w:pPr>
      <w:bookmarkStart w:id="146" w:name="_Toc314842512"/>
      <w:bookmarkStart w:id="147" w:name="_Toc434909899"/>
      <w:r>
        <w:t>Nonclinical</w:t>
      </w:r>
      <w:bookmarkEnd w:id="146"/>
      <w:bookmarkEnd w:id="147"/>
    </w:p>
    <w:p w:rsidR="008E7846" w:rsidRDefault="008E7846" w:rsidP="00503002">
      <w:r>
        <w:t>There was no requirement for a nonclinical evaluation in a submission of this type.</w:t>
      </w:r>
    </w:p>
    <w:p w:rsidR="008E7846" w:rsidRDefault="008E7846" w:rsidP="00503002">
      <w:pPr>
        <w:pStyle w:val="Heading3"/>
      </w:pPr>
      <w:bookmarkStart w:id="148" w:name="_Toc247691530"/>
      <w:bookmarkStart w:id="149" w:name="_Toc314842513"/>
      <w:bookmarkStart w:id="150" w:name="_Toc434909900"/>
      <w:r>
        <w:t>Clinical</w:t>
      </w:r>
      <w:bookmarkEnd w:id="148"/>
      <w:bookmarkEnd w:id="149"/>
      <w:bookmarkEnd w:id="150"/>
    </w:p>
    <w:p w:rsidR="00700987" w:rsidRDefault="00700987" w:rsidP="00503002">
      <w:bookmarkStart w:id="151" w:name="_Toc314842514"/>
      <w:r>
        <w:t xml:space="preserve">The clinical evaluator has recommended rejection of this generic </w:t>
      </w:r>
      <w:proofErr w:type="spellStart"/>
      <w:r>
        <w:t>sevelamer</w:t>
      </w:r>
      <w:proofErr w:type="spellEnd"/>
      <w:r>
        <w:t xml:space="preserve"> product due to the differences seen in the chemistry of the product not being addressed by any clinical data to demonstrate that the safety and efficacy of this generic would be the same as </w:t>
      </w:r>
      <w:proofErr w:type="spellStart"/>
      <w:r>
        <w:t>Renagel</w:t>
      </w:r>
      <w:proofErr w:type="spellEnd"/>
      <w:r>
        <w:t>.</w:t>
      </w:r>
    </w:p>
    <w:p w:rsidR="00700987" w:rsidRDefault="00700987" w:rsidP="00503002">
      <w:r>
        <w:t xml:space="preserve">The clinical dossier did not include any clinical studies using this generic </w:t>
      </w:r>
      <w:proofErr w:type="spellStart"/>
      <w:r>
        <w:t>sevelamer</w:t>
      </w:r>
      <w:proofErr w:type="spellEnd"/>
      <w:r>
        <w:t xml:space="preserve"> product.</w:t>
      </w:r>
      <w:r w:rsidR="000325C5">
        <w:t xml:space="preserve"> </w:t>
      </w:r>
      <w:r>
        <w:t xml:space="preserve">The sponsor did provide </w:t>
      </w:r>
      <w:r w:rsidRPr="008021F8">
        <w:t>an in vitro</w:t>
      </w:r>
      <w:r>
        <w:t xml:space="preserve"> equilibrium study and an </w:t>
      </w:r>
      <w:r w:rsidRPr="00C544FF">
        <w:t>in</w:t>
      </w:r>
      <w:r>
        <w:rPr>
          <w:i/>
        </w:rPr>
        <w:t xml:space="preserve"> </w:t>
      </w:r>
      <w:r w:rsidRPr="008021F8">
        <w:t>vitro binding study along with a justification for not conducting a bioequivalence study.</w:t>
      </w:r>
      <w:r w:rsidR="000325C5" w:rsidRPr="008021F8">
        <w:t xml:space="preserve"> </w:t>
      </w:r>
      <w:r w:rsidRPr="008021F8">
        <w:t>The two in vitro</w:t>
      </w:r>
      <w:r>
        <w:t xml:space="preserve"> studies were evaluated by the </w:t>
      </w:r>
      <w:r w:rsidR="00C544FF">
        <w:t>quality</w:t>
      </w:r>
      <w:r>
        <w:t xml:space="preserve"> evaluator and have been discussed above but the clinical evaluator has also provided a summary in the CER.</w:t>
      </w:r>
    </w:p>
    <w:p w:rsidR="00700987" w:rsidRDefault="00700987" w:rsidP="00503002">
      <w:pPr>
        <w:pStyle w:val="Heading4"/>
      </w:pPr>
      <w:r>
        <w:t>Pharmacology</w:t>
      </w:r>
    </w:p>
    <w:p w:rsidR="00700987" w:rsidRDefault="00700987" w:rsidP="00503002">
      <w:r>
        <w:t>The sponsor provided a justification for not conducting a bioequivalence study which the clinical evaluator has addressed.</w:t>
      </w:r>
      <w:r w:rsidR="000325C5">
        <w:t xml:space="preserve"> </w:t>
      </w:r>
      <w:r>
        <w:t xml:space="preserve">The evaluator notes the lack of systemic absorption and that any measurable levels of </w:t>
      </w:r>
      <w:proofErr w:type="spellStart"/>
      <w:r>
        <w:t>sevelamer</w:t>
      </w:r>
      <w:proofErr w:type="spellEnd"/>
      <w:r>
        <w:t xml:space="preserve"> would not be relevant.</w:t>
      </w:r>
      <w:r w:rsidR="000325C5">
        <w:t xml:space="preserve"> </w:t>
      </w:r>
      <w:r>
        <w:t xml:space="preserve">The sponsor states that it would be ethically problematic to conduct human studies when an internationally accepted </w:t>
      </w:r>
      <w:r w:rsidRPr="008021F8">
        <w:t>in vitro</w:t>
      </w:r>
      <w:r>
        <w:t xml:space="preserve"> alternative exists, however the evaluator has noted that this should</w:t>
      </w:r>
      <w:r w:rsidR="008021F8">
        <w:t xml:space="preserve"> </w:t>
      </w:r>
      <w:r>
        <w:t>n</w:t>
      </w:r>
      <w:r w:rsidR="008021F8">
        <w:t>o</w:t>
      </w:r>
      <w:r>
        <w:t xml:space="preserve">t necessarily preclude some form of equivalence study being conducted given it is unknown what the clinical meaningfulness is of the differences observed between the generic and </w:t>
      </w:r>
      <w:proofErr w:type="spellStart"/>
      <w:r>
        <w:t>Renagel</w:t>
      </w:r>
      <w:proofErr w:type="spellEnd"/>
      <w:r>
        <w:t xml:space="preserve"> by the chemistry evaluator.</w:t>
      </w:r>
      <w:r w:rsidR="000325C5">
        <w:t xml:space="preserve"> </w:t>
      </w:r>
      <w:r>
        <w:t>The differences observed between healthy volunteers and patients imply that data from patients would be more relevant.</w:t>
      </w:r>
      <w:r w:rsidR="000325C5">
        <w:t xml:space="preserve"> </w:t>
      </w:r>
      <w:r>
        <w:t xml:space="preserve">It was noted that </w:t>
      </w:r>
      <w:r w:rsidRPr="008021F8">
        <w:t>in vitro studies have been used internationally.</w:t>
      </w:r>
      <w:r w:rsidR="000325C5" w:rsidRPr="008021F8">
        <w:t xml:space="preserve"> </w:t>
      </w:r>
      <w:r w:rsidRPr="008021F8">
        <w:t>The sponsor cited t</w:t>
      </w:r>
      <w:r>
        <w:t>he use of the draft FDA guidance which has been available for a few years however the evaluator could</w:t>
      </w:r>
      <w:r w:rsidR="008021F8">
        <w:t xml:space="preserve"> </w:t>
      </w:r>
      <w:r>
        <w:t>n</w:t>
      </w:r>
      <w:r w:rsidR="008021F8">
        <w:t>o</w:t>
      </w:r>
      <w:r>
        <w:t xml:space="preserve">t locate </w:t>
      </w:r>
      <w:r>
        <w:lastRenderedPageBreak/>
        <w:t xml:space="preserve">any generic </w:t>
      </w:r>
      <w:proofErr w:type="spellStart"/>
      <w:r>
        <w:t>sevelamer</w:t>
      </w:r>
      <w:proofErr w:type="spellEnd"/>
      <w:r>
        <w:t xml:space="preserve"> products that were registered by the FDA.</w:t>
      </w:r>
      <w:r w:rsidR="000325C5">
        <w:t xml:space="preserve"> </w:t>
      </w:r>
      <w:r>
        <w:t xml:space="preserve">The sponsor noted that it had a lodged a submission in Germany for this </w:t>
      </w:r>
      <w:r w:rsidRPr="00C544FF">
        <w:t>product however this is still under evaluation.</w:t>
      </w:r>
      <w:r w:rsidR="000325C5" w:rsidRPr="00C544FF">
        <w:t xml:space="preserve"> </w:t>
      </w:r>
      <w:r w:rsidRPr="00C544FF">
        <w:t xml:space="preserve">The sponsor stated they had received correspondence from the </w:t>
      </w:r>
      <w:r w:rsidR="00C544FF" w:rsidRPr="00C544FF">
        <w:t xml:space="preserve">Medicines and Healthcare products Regulatory Agency in the United Kingdom </w:t>
      </w:r>
      <w:r w:rsidR="00C544FF">
        <w:t xml:space="preserve">(UK) </w:t>
      </w:r>
      <w:r w:rsidRPr="00C544FF">
        <w:t>in which in vitro studies would be acceptable however the correspondence was not</w:t>
      </w:r>
      <w:r>
        <w:t xml:space="preserve"> provided to the TGA.</w:t>
      </w:r>
      <w:r w:rsidR="000325C5">
        <w:t xml:space="preserve"> </w:t>
      </w:r>
      <w:r>
        <w:t xml:space="preserve">The sponsor referred to doses up to 14.4g of </w:t>
      </w:r>
      <w:proofErr w:type="spellStart"/>
      <w:r>
        <w:t>Renagel</w:t>
      </w:r>
      <w:proofErr w:type="spellEnd"/>
      <w:r>
        <w:t xml:space="preserve"> having been given without adverse effects and therefore any slight </w:t>
      </w:r>
      <w:proofErr w:type="spellStart"/>
      <w:r>
        <w:t>bioinequivalence</w:t>
      </w:r>
      <w:proofErr w:type="spellEnd"/>
      <w:r>
        <w:t xml:space="preserve"> would be low risk, which the evaluator commented that the long term effects of this in an elderly or unwell population are unknown.</w:t>
      </w:r>
      <w:r w:rsidR="000325C5">
        <w:t xml:space="preserve"> </w:t>
      </w:r>
      <w:r>
        <w:t xml:space="preserve">The clinical significance of the differences seen in the particle size specifications are unknown, however the </w:t>
      </w:r>
      <w:r w:rsidR="008021F8">
        <w:t>quality</w:t>
      </w:r>
      <w:r>
        <w:t xml:space="preserve"> evaluator has now resolved this matter.</w:t>
      </w:r>
    </w:p>
    <w:p w:rsidR="00700987" w:rsidRDefault="00700987" w:rsidP="00503002">
      <w:r>
        <w:t xml:space="preserve">No </w:t>
      </w:r>
      <w:proofErr w:type="spellStart"/>
      <w:r>
        <w:t>pharmacodynamic</w:t>
      </w:r>
      <w:proofErr w:type="spellEnd"/>
      <w:r>
        <w:t xml:space="preserve"> data were submitted but the evaluator has provided information in the CER on </w:t>
      </w:r>
      <w:r w:rsidR="00586D85">
        <w:t xml:space="preserve">the pharmacodynamics of </w:t>
      </w:r>
      <w:proofErr w:type="spellStart"/>
      <w:r>
        <w:t>sevelamer</w:t>
      </w:r>
      <w:proofErr w:type="spellEnd"/>
      <w:r>
        <w:t xml:space="preserve"> from published literature.</w:t>
      </w:r>
    </w:p>
    <w:p w:rsidR="00700987" w:rsidRDefault="00700987" w:rsidP="00F77E39">
      <w:pPr>
        <w:pStyle w:val="Heading4"/>
      </w:pPr>
      <w:r>
        <w:t xml:space="preserve">Efficacy and </w:t>
      </w:r>
      <w:r w:rsidR="00503002">
        <w:t>s</w:t>
      </w:r>
      <w:r>
        <w:t>afety</w:t>
      </w:r>
    </w:p>
    <w:p w:rsidR="00700987" w:rsidRDefault="00700987" w:rsidP="00F77E39">
      <w:r>
        <w:t>No efficacy or safety data were submitted.</w:t>
      </w:r>
    </w:p>
    <w:p w:rsidR="00700987" w:rsidRDefault="00700987" w:rsidP="00F77E39">
      <w:r>
        <w:t>In summary the evaluator had concerns with:</w:t>
      </w:r>
    </w:p>
    <w:p w:rsidR="00700987" w:rsidRDefault="00700987" w:rsidP="00F77E39">
      <w:pPr>
        <w:pStyle w:val="Numberbullet2"/>
        <w:numPr>
          <w:ilvl w:val="1"/>
          <w:numId w:val="26"/>
        </w:numPr>
      </w:pPr>
      <w:r>
        <w:t xml:space="preserve">The lack of clinical data to address the differences seen in the drug substance and the limited </w:t>
      </w:r>
      <w:r w:rsidRPr="008021F8">
        <w:t xml:space="preserve">in vitro </w:t>
      </w:r>
      <w:r>
        <w:t>testing data.</w:t>
      </w:r>
    </w:p>
    <w:p w:rsidR="00700987" w:rsidRDefault="00700987" w:rsidP="00F77E39">
      <w:pPr>
        <w:pStyle w:val="Numberbullet2"/>
        <w:numPr>
          <w:ilvl w:val="1"/>
          <w:numId w:val="26"/>
        </w:numPr>
      </w:pPr>
      <w:r>
        <w:t>The large size of the tablets and potential risk for obstruction.</w:t>
      </w:r>
      <w:r w:rsidR="000325C5">
        <w:t xml:space="preserve"> </w:t>
      </w:r>
      <w:r>
        <w:t xml:space="preserve">The sponsor indicated that the dimensions for length, breadth and thickness between the </w:t>
      </w:r>
      <w:proofErr w:type="spellStart"/>
      <w:r>
        <w:t>Renagel</w:t>
      </w:r>
      <w:proofErr w:type="spellEnd"/>
      <w:r>
        <w:t>/Generic are as follows: 18.95</w:t>
      </w:r>
      <w:r w:rsidR="00C544FF">
        <w:t xml:space="preserve"> to </w:t>
      </w:r>
      <w:r>
        <w:t>19.08/19.04</w:t>
      </w:r>
      <w:r w:rsidR="00C544FF">
        <w:t xml:space="preserve"> </w:t>
      </w:r>
      <w:r>
        <w:t>mm, 9.78</w:t>
      </w:r>
      <w:r w:rsidR="00C544FF">
        <w:t xml:space="preserve"> to </w:t>
      </w:r>
      <w:r>
        <w:t>9.79/9.53</w:t>
      </w:r>
      <w:r w:rsidR="00C544FF">
        <w:t xml:space="preserve"> </w:t>
      </w:r>
      <w:r>
        <w:t>mm and 7.60</w:t>
      </w:r>
      <w:r w:rsidR="00C544FF">
        <w:t xml:space="preserve"> to </w:t>
      </w:r>
      <w:r>
        <w:t>7.62/8.39</w:t>
      </w:r>
      <w:r w:rsidR="00C544FF">
        <w:t xml:space="preserve"> </w:t>
      </w:r>
      <w:r>
        <w:t>mm respectively.</w:t>
      </w:r>
      <w:r w:rsidR="000325C5">
        <w:t xml:space="preserve"> </w:t>
      </w:r>
      <w:r>
        <w:t>The evaluator comments that this represents a 6</w:t>
      </w:r>
      <w:r w:rsidR="00C544FF">
        <w:t xml:space="preserve"> to </w:t>
      </w:r>
      <w:r>
        <w:t>7% increase in cross-sectional area.</w:t>
      </w:r>
    </w:p>
    <w:p w:rsidR="00700987" w:rsidRDefault="00700987" w:rsidP="00F77E39">
      <w:pPr>
        <w:pStyle w:val="Numberbullet2"/>
        <w:numPr>
          <w:ilvl w:val="1"/>
          <w:numId w:val="26"/>
        </w:numPr>
      </w:pPr>
      <w:r>
        <w:t xml:space="preserve">The particle size which was resolved by further data submitted to the </w:t>
      </w:r>
      <w:r w:rsidR="008021F8">
        <w:t>quality</w:t>
      </w:r>
      <w:r>
        <w:t xml:space="preserve"> evaluator.</w:t>
      </w:r>
    </w:p>
    <w:p w:rsidR="00700987" w:rsidRDefault="00700987" w:rsidP="00F77E39">
      <w:pPr>
        <w:pStyle w:val="Numberbullet2"/>
        <w:numPr>
          <w:ilvl w:val="1"/>
          <w:numId w:val="26"/>
        </w:numPr>
      </w:pPr>
      <w:r>
        <w:t>The cross-linking within the polymer with the potential for different phosphate or other anion binding and greater swelling which could lead to obstruction.</w:t>
      </w:r>
      <w:r w:rsidR="000325C5">
        <w:t xml:space="preserve"> </w:t>
      </w:r>
      <w:r>
        <w:t>The cross-linking in the generic product from testing of five further batches was 13.9</w:t>
      </w:r>
      <w:r w:rsidR="00C544FF">
        <w:t xml:space="preserve"> to </w:t>
      </w:r>
      <w:r>
        <w:t xml:space="preserve">15% whereas in </w:t>
      </w:r>
      <w:proofErr w:type="spellStart"/>
      <w:r>
        <w:t>Renagel</w:t>
      </w:r>
      <w:proofErr w:type="spellEnd"/>
      <w:r>
        <w:t xml:space="preserve"> it was 10.6</w:t>
      </w:r>
      <w:r w:rsidR="00C544FF">
        <w:t xml:space="preserve"> to </w:t>
      </w:r>
      <w:r>
        <w:t>20% (EU and Australian batches).</w:t>
      </w:r>
      <w:r w:rsidR="000325C5">
        <w:t xml:space="preserve"> </w:t>
      </w:r>
      <w:r>
        <w:t>It is unclear if this has clinical implications for binding different anions but the generic lies within the reference product’s range and therefore is unlikely to be of significance.</w:t>
      </w:r>
    </w:p>
    <w:p w:rsidR="008E7846" w:rsidRPr="00F77E39" w:rsidRDefault="00386150" w:rsidP="00F77E39">
      <w:pPr>
        <w:pStyle w:val="Heading3"/>
      </w:pPr>
      <w:bookmarkStart w:id="152" w:name="_Toc434909901"/>
      <w:r>
        <w:rPr>
          <w:lang w:eastAsia="en-AU"/>
        </w:rPr>
        <w:t>Risk m</w:t>
      </w:r>
      <w:r w:rsidR="008E7846">
        <w:rPr>
          <w:lang w:eastAsia="en-AU"/>
        </w:rPr>
        <w:t xml:space="preserve">anagement </w:t>
      </w:r>
      <w:r>
        <w:rPr>
          <w:lang w:eastAsia="en-AU"/>
        </w:rPr>
        <w:t>p</w:t>
      </w:r>
      <w:r w:rsidR="008E7846">
        <w:rPr>
          <w:lang w:eastAsia="en-AU"/>
        </w:rPr>
        <w:t>lan</w:t>
      </w:r>
      <w:bookmarkEnd w:id="151"/>
      <w:bookmarkEnd w:id="152"/>
    </w:p>
    <w:p w:rsidR="00700987" w:rsidRDefault="00700987" w:rsidP="00F77E39">
      <w:pPr>
        <w:rPr>
          <w:rFonts w:asciiTheme="minorHAnsi" w:hAnsiTheme="minorHAnsi"/>
        </w:rPr>
      </w:pPr>
      <w:r>
        <w:rPr>
          <w:rFonts w:asciiTheme="minorHAnsi" w:hAnsiTheme="minorHAnsi"/>
        </w:rPr>
        <w:t xml:space="preserve">The </w:t>
      </w:r>
      <w:r w:rsidR="008021F8">
        <w:rPr>
          <w:rFonts w:asciiTheme="minorHAnsi" w:hAnsiTheme="minorHAnsi"/>
        </w:rPr>
        <w:t>TGA’s PMSB</w:t>
      </w:r>
      <w:r>
        <w:rPr>
          <w:rFonts w:asciiTheme="minorHAnsi" w:hAnsiTheme="minorHAnsi"/>
        </w:rPr>
        <w:t xml:space="preserve"> has accepted the </w:t>
      </w:r>
      <w:r>
        <w:t xml:space="preserve">EU Risk Management Plan for </w:t>
      </w:r>
      <w:proofErr w:type="spellStart"/>
      <w:r>
        <w:t>Sevelamer</w:t>
      </w:r>
      <w:proofErr w:type="spellEnd"/>
      <w:r>
        <w:t xml:space="preserve"> GPPL, </w:t>
      </w:r>
      <w:proofErr w:type="spellStart"/>
      <w:r>
        <w:t>Sevelamer</w:t>
      </w:r>
      <w:proofErr w:type="spellEnd"/>
      <w:r>
        <w:t xml:space="preserve"> </w:t>
      </w:r>
      <w:proofErr w:type="spellStart"/>
      <w:r>
        <w:t>GxP</w:t>
      </w:r>
      <w:proofErr w:type="spellEnd"/>
      <w:r>
        <w:t xml:space="preserve">, </w:t>
      </w:r>
      <w:proofErr w:type="spellStart"/>
      <w:r>
        <w:t>Seveligand</w:t>
      </w:r>
      <w:proofErr w:type="spellEnd"/>
      <w:r>
        <w:t xml:space="preserve">, </w:t>
      </w:r>
      <w:proofErr w:type="spellStart"/>
      <w:r>
        <w:t>Phosligand</w:t>
      </w:r>
      <w:proofErr w:type="spellEnd"/>
      <w:r>
        <w:t>, APO-</w:t>
      </w:r>
      <w:proofErr w:type="spellStart"/>
      <w:r>
        <w:t>Sevelamer</w:t>
      </w:r>
      <w:proofErr w:type="spellEnd"/>
      <w:r>
        <w:t>, APOTEX-</w:t>
      </w:r>
      <w:proofErr w:type="spellStart"/>
      <w:r>
        <w:t>Sevelamer</w:t>
      </w:r>
      <w:proofErr w:type="spellEnd"/>
      <w:r>
        <w:t>,</w:t>
      </w:r>
      <w:r w:rsidR="000325C5">
        <w:t xml:space="preserve"> </w:t>
      </w:r>
      <w:proofErr w:type="spellStart"/>
      <w:r>
        <w:t>Chemmart</w:t>
      </w:r>
      <w:proofErr w:type="spellEnd"/>
      <w:r>
        <w:t xml:space="preserve"> </w:t>
      </w:r>
      <w:proofErr w:type="spellStart"/>
      <w:r>
        <w:t>Sevelamer</w:t>
      </w:r>
      <w:proofErr w:type="spellEnd"/>
      <w:r>
        <w:t xml:space="preserve">, </w:t>
      </w:r>
      <w:proofErr w:type="spellStart"/>
      <w:r>
        <w:t>GenRx</w:t>
      </w:r>
      <w:proofErr w:type="spellEnd"/>
      <w:r>
        <w:t xml:space="preserve"> </w:t>
      </w:r>
      <w:proofErr w:type="spellStart"/>
      <w:r>
        <w:t>Sevelamer</w:t>
      </w:r>
      <w:proofErr w:type="spellEnd"/>
      <w:r>
        <w:t xml:space="preserve">, Terry White Chemists </w:t>
      </w:r>
      <w:proofErr w:type="spellStart"/>
      <w:r>
        <w:t>Sevelamer</w:t>
      </w:r>
      <w:proofErr w:type="spellEnd"/>
      <w:r>
        <w:t xml:space="preserve"> (</w:t>
      </w:r>
      <w:proofErr w:type="spellStart"/>
      <w:r>
        <w:t>sevelamer</w:t>
      </w:r>
      <w:proofErr w:type="spellEnd"/>
      <w:r>
        <w:t>), version 1.0, dated September 2012, with the Australian Specific Annex (ASA), version 2.0, dated 25 March 2014</w:t>
      </w:r>
      <w:r>
        <w:rPr>
          <w:rFonts w:asciiTheme="minorHAnsi" w:hAnsiTheme="minorHAnsi"/>
        </w:rPr>
        <w:t>.</w:t>
      </w:r>
    </w:p>
    <w:p w:rsidR="00700987" w:rsidRDefault="00700987" w:rsidP="00F77E39">
      <w:pPr>
        <w:rPr>
          <w:rFonts w:asciiTheme="minorHAnsi" w:hAnsiTheme="minorHAnsi"/>
        </w:rPr>
      </w:pPr>
      <w:r>
        <w:rPr>
          <w:rFonts w:asciiTheme="minorHAnsi" w:hAnsiTheme="minorHAnsi"/>
        </w:rPr>
        <w:t xml:space="preserve">The following were outstanding matters that should be followed up with </w:t>
      </w:r>
      <w:r w:rsidR="0038432E">
        <w:rPr>
          <w:rFonts w:asciiTheme="minorHAnsi" w:hAnsiTheme="minorHAnsi"/>
        </w:rPr>
        <w:t>PMSB</w:t>
      </w:r>
      <w:r>
        <w:rPr>
          <w:rFonts w:asciiTheme="minorHAnsi" w:hAnsiTheme="minorHAnsi"/>
        </w:rPr>
        <w:t xml:space="preserve"> and responded to in the Pre-ACPM Response:</w:t>
      </w:r>
    </w:p>
    <w:p w:rsidR="00700987" w:rsidRDefault="00700987" w:rsidP="00F77E39">
      <w:pPr>
        <w:pStyle w:val="ListBullet"/>
      </w:pPr>
      <w:r>
        <w:t xml:space="preserve">The sponsor should include the following important potential risk as an ongoing safety concern and consider appropriate pharmacovigilance and risk minimisation activities which should be reflected in an updated ASA: </w:t>
      </w:r>
      <w:r w:rsidR="00F77E39">
        <w:t>‘</w:t>
      </w:r>
      <w:r w:rsidRPr="00C544FF">
        <w:rPr>
          <w:i/>
        </w:rPr>
        <w:t>Swallowing difficulties and the potential for lodgement in the airway or upper gastrointestinal tract</w:t>
      </w:r>
      <w:r>
        <w:t>.</w:t>
      </w:r>
      <w:r w:rsidR="00F77E39">
        <w:t>’</w:t>
      </w:r>
    </w:p>
    <w:p w:rsidR="00700987" w:rsidRDefault="00700987" w:rsidP="00F77E39">
      <w:pPr>
        <w:pStyle w:val="ListBullet"/>
      </w:pPr>
      <w:r>
        <w:t xml:space="preserve">The paediatric precaution in the PI should be amended to state: </w:t>
      </w:r>
      <w:r w:rsidR="00F77E39">
        <w:t>‘</w:t>
      </w:r>
      <w:proofErr w:type="spellStart"/>
      <w:r w:rsidRPr="00C544FF">
        <w:rPr>
          <w:i/>
        </w:rPr>
        <w:t>Sevelamer</w:t>
      </w:r>
      <w:proofErr w:type="spellEnd"/>
      <w:r w:rsidRPr="00C544FF">
        <w:rPr>
          <w:i/>
        </w:rPr>
        <w:t xml:space="preserve"> is not recommended in children below 18 years of age</w:t>
      </w:r>
      <w:r>
        <w:t>.</w:t>
      </w:r>
      <w:r w:rsidR="00F77E39">
        <w:t>’</w:t>
      </w:r>
    </w:p>
    <w:p w:rsidR="00700987" w:rsidRDefault="00700987" w:rsidP="00F77E39">
      <w:pPr>
        <w:pStyle w:val="ListBullet"/>
      </w:pPr>
      <w:r>
        <w:lastRenderedPageBreak/>
        <w:t xml:space="preserve">A pre-dialysis statement in the PI should be considered: </w:t>
      </w:r>
      <w:r w:rsidR="00F77E39">
        <w:t>‘</w:t>
      </w:r>
      <w:r w:rsidRPr="00C544FF">
        <w:rPr>
          <w:i/>
        </w:rPr>
        <w:t xml:space="preserve">The safety and efficacy of </w:t>
      </w:r>
      <w:proofErr w:type="spellStart"/>
      <w:r w:rsidRPr="00C544FF">
        <w:rPr>
          <w:i/>
        </w:rPr>
        <w:t>sevelamer</w:t>
      </w:r>
      <w:proofErr w:type="spellEnd"/>
      <w:r w:rsidRPr="00C544FF">
        <w:rPr>
          <w:i/>
        </w:rPr>
        <w:t xml:space="preserve"> has not been established in </w:t>
      </w:r>
      <w:proofErr w:type="spellStart"/>
      <w:r w:rsidRPr="00C544FF">
        <w:rPr>
          <w:i/>
        </w:rPr>
        <w:t>predialysis</w:t>
      </w:r>
      <w:proofErr w:type="spellEnd"/>
      <w:r w:rsidRPr="00C544FF">
        <w:rPr>
          <w:i/>
        </w:rPr>
        <w:t xml:space="preserve"> patients</w:t>
      </w:r>
      <w:r>
        <w:t>.</w:t>
      </w:r>
      <w:r w:rsidR="00F77E39">
        <w:t>’</w:t>
      </w:r>
    </w:p>
    <w:p w:rsidR="008E7846" w:rsidRDefault="00700987" w:rsidP="00F77E39">
      <w:r>
        <w:t>The EU</w:t>
      </w:r>
      <w:r w:rsidR="00C544FF">
        <w:t xml:space="preserve"> Summary of Product Characteristics (</w:t>
      </w:r>
      <w:proofErr w:type="spellStart"/>
      <w:r>
        <w:t>S</w:t>
      </w:r>
      <w:r w:rsidR="008021F8">
        <w:t>m</w:t>
      </w:r>
      <w:r>
        <w:t>PC</w:t>
      </w:r>
      <w:proofErr w:type="spellEnd"/>
      <w:r w:rsidR="00C544FF">
        <w:t>)</w:t>
      </w:r>
      <w:r>
        <w:t xml:space="preserve"> mentions the possibility of folate deficiency during long term </w:t>
      </w:r>
      <w:proofErr w:type="spellStart"/>
      <w:r>
        <w:t>sevelamer</w:t>
      </w:r>
      <w:proofErr w:type="spellEnd"/>
      <w:r>
        <w:t xml:space="preserve"> treatment however the Australian PI does not include this information.</w:t>
      </w:r>
      <w:r w:rsidR="000325C5">
        <w:t xml:space="preserve"> </w:t>
      </w:r>
      <w:r>
        <w:t xml:space="preserve">The RMP evaluator recommends that additional monitoring of folic acid in patients undergoing peritoneal dialysis and during long term </w:t>
      </w:r>
      <w:proofErr w:type="spellStart"/>
      <w:r>
        <w:t>sevelamer</w:t>
      </w:r>
      <w:proofErr w:type="spellEnd"/>
      <w:r>
        <w:t xml:space="preserve"> treatment be considered for the </w:t>
      </w:r>
      <w:bookmarkStart w:id="153" w:name="_Ref426548749"/>
      <w:r w:rsidR="00586D85">
        <w:t>PI.</w:t>
      </w:r>
      <w:r w:rsidR="0038432E">
        <w:rPr>
          <w:rStyle w:val="FootnoteReference"/>
        </w:rPr>
        <w:footnoteReference w:id="17"/>
      </w:r>
      <w:bookmarkEnd w:id="153"/>
    </w:p>
    <w:p w:rsidR="008E7846" w:rsidRDefault="00AA0ED0" w:rsidP="008E7846">
      <w:pPr>
        <w:pStyle w:val="Heading3"/>
      </w:pPr>
      <w:bookmarkStart w:id="154" w:name="_Toc247691531"/>
      <w:bookmarkStart w:id="155" w:name="_Toc314842515"/>
      <w:bookmarkStart w:id="156" w:name="_Toc196046505"/>
      <w:bookmarkStart w:id="157" w:name="_Toc196046949"/>
      <w:bookmarkStart w:id="158" w:name="_Toc434909902"/>
      <w:r>
        <w:t>Risk-benefit a</w:t>
      </w:r>
      <w:r w:rsidR="008E7846">
        <w:t>nalysis</w:t>
      </w:r>
      <w:bookmarkEnd w:id="154"/>
      <w:bookmarkEnd w:id="155"/>
      <w:bookmarkEnd w:id="158"/>
    </w:p>
    <w:p w:rsidR="00D23139" w:rsidRDefault="00503002" w:rsidP="00D23139">
      <w:pPr>
        <w:pStyle w:val="Heading4"/>
      </w:pPr>
      <w:r>
        <w:t>Delegate’s considerations</w:t>
      </w:r>
    </w:p>
    <w:p w:rsidR="00700987" w:rsidRDefault="00700987" w:rsidP="008021F8">
      <w:r>
        <w:t xml:space="preserve">This submission is to register the first generic product of </w:t>
      </w:r>
      <w:proofErr w:type="spellStart"/>
      <w:r>
        <w:t>sevelamer</w:t>
      </w:r>
      <w:proofErr w:type="spellEnd"/>
      <w:r>
        <w:t xml:space="preserve">, a non-absorbed, polymeric anion exchange resin that binds phosphate ions in the intestinal tract to manage </w:t>
      </w:r>
      <w:proofErr w:type="spellStart"/>
      <w:r>
        <w:t>hyperphosphataemia</w:t>
      </w:r>
      <w:proofErr w:type="spellEnd"/>
      <w:r>
        <w:t xml:space="preserve"> </w:t>
      </w:r>
      <w:r>
        <w:rPr>
          <w:rFonts w:asciiTheme="minorHAnsi" w:eastAsiaTheme="minorHAnsi" w:hAnsiTheme="minorHAnsi" w:cs="ArialMT"/>
          <w:szCs w:val="24"/>
        </w:rPr>
        <w:t xml:space="preserve">in adult patients with </w:t>
      </w:r>
      <w:r w:rsidR="008021F8">
        <w:rPr>
          <w:rFonts w:asciiTheme="minorHAnsi" w:eastAsiaTheme="minorHAnsi" w:hAnsiTheme="minorHAnsi" w:cs="ArialMT"/>
          <w:szCs w:val="24"/>
        </w:rPr>
        <w:t>Stage 4</w:t>
      </w:r>
      <w:r>
        <w:rPr>
          <w:rFonts w:asciiTheme="minorHAnsi" w:eastAsiaTheme="minorHAnsi" w:hAnsiTheme="minorHAnsi" w:cs="ArialMT"/>
          <w:szCs w:val="24"/>
        </w:rPr>
        <w:t xml:space="preserve"> and 5 chronic kidney </w:t>
      </w:r>
      <w:proofErr w:type="gramStart"/>
      <w:r>
        <w:rPr>
          <w:rFonts w:asciiTheme="minorHAnsi" w:eastAsiaTheme="minorHAnsi" w:hAnsiTheme="minorHAnsi" w:cs="ArialMT"/>
          <w:szCs w:val="24"/>
        </w:rPr>
        <w:t>disease</w:t>
      </w:r>
      <w:proofErr w:type="gramEnd"/>
      <w:r>
        <w:rPr>
          <w:rFonts w:asciiTheme="minorHAnsi" w:eastAsiaTheme="minorHAnsi" w:hAnsiTheme="minorHAnsi" w:cs="ArialMT"/>
          <w:szCs w:val="24"/>
        </w:rPr>
        <w:t>.</w:t>
      </w:r>
      <w:r w:rsidR="000325C5">
        <w:rPr>
          <w:rFonts w:asciiTheme="minorHAnsi" w:eastAsiaTheme="minorHAnsi" w:hAnsiTheme="minorHAnsi" w:cs="ArialMT"/>
          <w:szCs w:val="24"/>
        </w:rPr>
        <w:t xml:space="preserve"> </w:t>
      </w:r>
      <w:r>
        <w:rPr>
          <w:rFonts w:asciiTheme="minorHAnsi" w:eastAsiaTheme="minorHAnsi" w:hAnsiTheme="minorHAnsi" w:cs="ArialMT"/>
          <w:szCs w:val="24"/>
        </w:rPr>
        <w:t>This generic has not been registered overseas as yet but has been under evaluation in Germany since December 2012.</w:t>
      </w:r>
      <w:r w:rsidR="000325C5">
        <w:rPr>
          <w:rFonts w:asciiTheme="minorHAnsi" w:eastAsiaTheme="minorHAnsi" w:hAnsiTheme="minorHAnsi" w:cs="ArialMT"/>
          <w:szCs w:val="24"/>
        </w:rPr>
        <w:t xml:space="preserve"> </w:t>
      </w:r>
      <w:r>
        <w:rPr>
          <w:rFonts w:asciiTheme="minorHAnsi" w:eastAsiaTheme="minorHAnsi" w:hAnsiTheme="minorHAnsi" w:cs="ArialMT"/>
          <w:szCs w:val="24"/>
        </w:rPr>
        <w:t xml:space="preserve">The </w:t>
      </w:r>
      <w:r w:rsidR="008021F8">
        <w:rPr>
          <w:rFonts w:asciiTheme="minorHAnsi" w:eastAsiaTheme="minorHAnsi" w:hAnsiTheme="minorHAnsi" w:cs="ArialMT"/>
          <w:szCs w:val="24"/>
        </w:rPr>
        <w:t>quality</w:t>
      </w:r>
      <w:r>
        <w:rPr>
          <w:rFonts w:asciiTheme="minorHAnsi" w:eastAsiaTheme="minorHAnsi" w:hAnsiTheme="minorHAnsi" w:cs="ArialMT"/>
          <w:szCs w:val="24"/>
        </w:rPr>
        <w:t xml:space="preserve"> and clinical evaluators have recommended rejection and the PSC also recommended rejection.</w:t>
      </w:r>
      <w:r w:rsidR="000325C5">
        <w:rPr>
          <w:rFonts w:asciiTheme="minorHAnsi" w:eastAsiaTheme="minorHAnsi" w:hAnsiTheme="minorHAnsi" w:cs="ArialMT"/>
          <w:szCs w:val="24"/>
        </w:rPr>
        <w:t xml:space="preserve"> </w:t>
      </w:r>
      <w:r>
        <w:rPr>
          <w:rFonts w:asciiTheme="minorHAnsi" w:eastAsiaTheme="minorHAnsi" w:hAnsiTheme="minorHAnsi" w:cs="ArialMT"/>
          <w:szCs w:val="24"/>
        </w:rPr>
        <w:t>During the evaluation, the sponsor submitted further data to address the TGA’s concerns and the TGA also had a meeting with the sponsor to discuss outstanding matters.</w:t>
      </w:r>
    </w:p>
    <w:p w:rsidR="00700987" w:rsidRDefault="00700987" w:rsidP="008021F8">
      <w:r>
        <w:t>The Therapeutic Goods Act 1989, section 25, requires that when registering a new medicine, such as a generic medicine, the Secretary [or delegate] must evaluate the goods for registration having regard to, amongst other things:</w:t>
      </w:r>
    </w:p>
    <w:p w:rsidR="00700987" w:rsidRDefault="00700987" w:rsidP="00FD6342">
      <w:pPr>
        <w:ind w:left="709"/>
      </w:pPr>
      <w:proofErr w:type="gramStart"/>
      <w:r>
        <w:t>S25(</w:t>
      </w:r>
      <w:proofErr w:type="gramEnd"/>
      <w:r>
        <w:t xml:space="preserve">1)(d): </w:t>
      </w:r>
      <w:r w:rsidRPr="008021F8">
        <w:rPr>
          <w:i/>
        </w:rPr>
        <w:t>whether the quality, safety and efficacy of the goods for the purposes for which they are to be used have been satisfactorily established</w:t>
      </w:r>
      <w:r>
        <w:t>;</w:t>
      </w:r>
    </w:p>
    <w:p w:rsidR="00700987" w:rsidRDefault="00700987" w:rsidP="00FD6342">
      <w:r>
        <w:t xml:space="preserve">From a quality perspective, the sponsor has not completely established the quality of the drug substance due to the differences in the total </w:t>
      </w:r>
      <w:proofErr w:type="spellStart"/>
      <w:r>
        <w:t>titratable</w:t>
      </w:r>
      <w:proofErr w:type="spellEnd"/>
      <w:r>
        <w:t xml:space="preserve"> amines and swell index that were observed in these tests.</w:t>
      </w:r>
      <w:r w:rsidR="000325C5">
        <w:t xml:space="preserve"> </w:t>
      </w:r>
      <w:r w:rsidR="00C544FF">
        <w:t>The ‘t</w:t>
      </w:r>
      <w:r>
        <w:t xml:space="preserve">otal </w:t>
      </w:r>
      <w:proofErr w:type="spellStart"/>
      <w:r>
        <w:t>titratable</w:t>
      </w:r>
      <w:proofErr w:type="spellEnd"/>
      <w:r>
        <w:t xml:space="preserve"> amines</w:t>
      </w:r>
      <w:r w:rsidR="00C544FF">
        <w:t>’</w:t>
      </w:r>
      <w:r>
        <w:t xml:space="preserve"> is a surrogate parameter and provides an indirect measure of its phosphate binding capacity.</w:t>
      </w:r>
      <w:r w:rsidR="000325C5">
        <w:t xml:space="preserve"> </w:t>
      </w:r>
      <w:r>
        <w:t xml:space="preserve">The level seen in the generic product was lower than specified in the USP monograph and lower than demonstrated in the sponsor’s own comparison with </w:t>
      </w:r>
      <w:proofErr w:type="spellStart"/>
      <w:r>
        <w:t>Renagel</w:t>
      </w:r>
      <w:proofErr w:type="spellEnd"/>
      <w:r>
        <w:t xml:space="preserve"> which suggests that having fewer free amine sites, although only marginal, may lead to a reduction in phosphate binding and therefore the efficacy of the product.</w:t>
      </w:r>
      <w:r w:rsidR="000325C5">
        <w:t xml:space="preserve"> </w:t>
      </w:r>
      <w:r>
        <w:t>The other parameter, swell index, is proportional to the extent of cross linking and inversely related to the free amine content.</w:t>
      </w:r>
      <w:r w:rsidR="000325C5">
        <w:t xml:space="preserve"> </w:t>
      </w:r>
      <w:r>
        <w:t>Free amine content is directly related to the phosphate binding capacity.</w:t>
      </w:r>
      <w:r w:rsidR="000325C5">
        <w:t xml:space="preserve"> </w:t>
      </w:r>
      <w:r>
        <w:t>The proposed swell index limits by the sponsor were not aligned with the USP monograph and were slightly higher.</w:t>
      </w:r>
      <w:r w:rsidR="000325C5">
        <w:t xml:space="preserve"> </w:t>
      </w:r>
      <w:r>
        <w:t xml:space="preserve">To address this concern the sponsor proposed a limit on the phosphate binding capacity of the drug substance to be closer to an acceptable level but was slightly less, implying that the phosphate binding capacity could be slightly less for this generic than </w:t>
      </w:r>
      <w:proofErr w:type="spellStart"/>
      <w:r>
        <w:t>Renagel</w:t>
      </w:r>
      <w:proofErr w:type="spellEnd"/>
      <w:r>
        <w:t>.</w:t>
      </w:r>
      <w:r w:rsidR="000325C5">
        <w:t xml:space="preserve"> </w:t>
      </w:r>
      <w:r>
        <w:t xml:space="preserve">These slight differences in the drug substance raise concerns about the quality of the product and whether it is the same as </w:t>
      </w:r>
      <w:proofErr w:type="spellStart"/>
      <w:r>
        <w:t>Renagel</w:t>
      </w:r>
      <w:proofErr w:type="spellEnd"/>
      <w:r>
        <w:t xml:space="preserve"> such that its efficacy and safety would be the same.</w:t>
      </w:r>
      <w:r w:rsidR="000325C5">
        <w:t xml:space="preserve"> </w:t>
      </w:r>
      <w:r>
        <w:t>To try to address these concerns, the sponsor conducted studies examining phosphate binding capacity.</w:t>
      </w:r>
    </w:p>
    <w:p w:rsidR="00700987" w:rsidRDefault="00700987" w:rsidP="00FD6342">
      <w:r>
        <w:t xml:space="preserve">When registering a typical oral tablet, the sponsor normally submits a bioequivalence study to demonstrate the equivalence between the test and reference products that will then allow for the extrapolation of the safety and efficacy data from the reference product </w:t>
      </w:r>
      <w:r>
        <w:lastRenderedPageBreak/>
        <w:t>to the generic product to satisfy that safety and efficacy has been established for registration purposes.</w:t>
      </w:r>
    </w:p>
    <w:p w:rsidR="00700987" w:rsidRDefault="00700987" w:rsidP="00FD6342">
      <w:r>
        <w:t xml:space="preserve">For a non-absorbed locally acting product such as </w:t>
      </w:r>
      <w:proofErr w:type="spellStart"/>
      <w:r>
        <w:t>sevelamer</w:t>
      </w:r>
      <w:proofErr w:type="spellEnd"/>
      <w:r>
        <w:t>, bioequivalence studies are not required since the product is not absorbed and therefore traditional bioequivalence studies cannot be used.</w:t>
      </w:r>
      <w:r w:rsidR="000325C5">
        <w:t xml:space="preserve"> </w:t>
      </w:r>
      <w:r>
        <w:t xml:space="preserve">This is noted in the Australian Regulatory Guidance for Prescription Medicines, Appendix 15, </w:t>
      </w:r>
      <w:proofErr w:type="gramStart"/>
      <w:r>
        <w:t>Section</w:t>
      </w:r>
      <w:proofErr w:type="gramEnd"/>
      <w:r>
        <w:t xml:space="preserve"> 2:</w:t>
      </w:r>
    </w:p>
    <w:p w:rsidR="00700987" w:rsidRPr="005648DE" w:rsidRDefault="00700987" w:rsidP="005648DE">
      <w:pPr>
        <w:ind w:left="720"/>
        <w:rPr>
          <w:i/>
        </w:rPr>
      </w:pPr>
      <w:r w:rsidRPr="005648DE">
        <w:rPr>
          <w:i/>
        </w:rPr>
        <w:t xml:space="preserve">Applications to register or make changes to the types of products listed below need not normally be accompanied by </w:t>
      </w:r>
      <w:proofErr w:type="spellStart"/>
      <w:r w:rsidRPr="005648DE">
        <w:rPr>
          <w:i/>
        </w:rPr>
        <w:t>biopharmaceutic</w:t>
      </w:r>
      <w:proofErr w:type="spellEnd"/>
      <w:r w:rsidRPr="005648DE">
        <w:rPr>
          <w:i/>
        </w:rPr>
        <w:t xml:space="preserve"> data or a justification for not providing such data:</w:t>
      </w:r>
    </w:p>
    <w:p w:rsidR="00700987" w:rsidRPr="005648DE" w:rsidRDefault="00586D85" w:rsidP="005648DE">
      <w:pPr>
        <w:pStyle w:val="ListBullet3"/>
        <w:rPr>
          <w:i/>
        </w:rPr>
      </w:pPr>
      <w:r>
        <w:rPr>
          <w:i/>
        </w:rPr>
        <w:t>P</w:t>
      </w:r>
      <w:r w:rsidR="00700987" w:rsidRPr="005648DE">
        <w:rPr>
          <w:i/>
        </w:rPr>
        <w:t xml:space="preserve">roducts containing therapeutic substances which are not systemically or locally absorbed, for example, barium sulphate enemas oral suspensions, </w:t>
      </w:r>
      <w:r w:rsidR="00700987" w:rsidRPr="00C544FF">
        <w:rPr>
          <w:i/>
        </w:rPr>
        <w:t>non-biodegradable ion exchange resins or other non-biodegradable long chain polymers,</w:t>
      </w:r>
      <w:r w:rsidR="00700987" w:rsidRPr="005648DE">
        <w:rPr>
          <w:i/>
        </w:rPr>
        <w:t xml:space="preserve"> powders in which no ingredient is absorbed. If there is doubt as to whether absorption occurs, a study or justification may be required.</w:t>
      </w:r>
    </w:p>
    <w:p w:rsidR="00700987" w:rsidRDefault="00700987" w:rsidP="00FD6342">
      <w:r>
        <w:t xml:space="preserve">Given that a </w:t>
      </w:r>
      <w:proofErr w:type="spellStart"/>
      <w:r>
        <w:t>biopharmaceutic</w:t>
      </w:r>
      <w:proofErr w:type="spellEnd"/>
      <w:r>
        <w:t xml:space="preserve"> study cannot be conducted then the submission must rely on convincing evidence from a chemistry perspective that this product is a generic of </w:t>
      </w:r>
      <w:proofErr w:type="spellStart"/>
      <w:r>
        <w:t>Renagel</w:t>
      </w:r>
      <w:proofErr w:type="spellEnd"/>
      <w:r>
        <w:t xml:space="preserve"> in terms of quality along with other data in lieu of the bioequivalence study to examine the phosphate binding capacity of this product, to ensure that the generic product will have the same safety and efficacy properties as the reference product, </w:t>
      </w:r>
      <w:r w:rsidR="008021F8">
        <w:t>that is,</w:t>
      </w:r>
      <w:r>
        <w:t xml:space="preserve"> </w:t>
      </w:r>
      <w:proofErr w:type="spellStart"/>
      <w:r>
        <w:t>Renagel</w:t>
      </w:r>
      <w:proofErr w:type="spellEnd"/>
      <w:r>
        <w:t>.</w:t>
      </w:r>
    </w:p>
    <w:p w:rsidR="00700987" w:rsidRDefault="00700987" w:rsidP="00FD6342">
      <w:r>
        <w:t xml:space="preserve">For a generic medicine, there is no specific definition in the Act of a generic but in the Therapeutic Goods Regulations 1990, Schedule 9, Fees, Part 1 Interpretation of Table, 1 </w:t>
      </w:r>
      <w:proofErr w:type="gramStart"/>
      <w:r>
        <w:t>Definitions,</w:t>
      </w:r>
      <w:proofErr w:type="gramEnd"/>
      <w:r>
        <w:t xml:space="preserve"> a generic product is defined as follows:</w:t>
      </w:r>
    </w:p>
    <w:p w:rsidR="00700987" w:rsidRPr="008021F8" w:rsidRDefault="00586D85" w:rsidP="008021F8">
      <w:pPr>
        <w:ind w:left="425"/>
        <w:rPr>
          <w:i/>
        </w:rPr>
      </w:pPr>
      <w:r>
        <w:rPr>
          <w:i/>
        </w:rPr>
        <w:t>G</w:t>
      </w:r>
      <w:r w:rsidR="00700987" w:rsidRPr="00C544FF">
        <w:rPr>
          <w:i/>
        </w:rPr>
        <w:t>eneric product</w:t>
      </w:r>
      <w:r w:rsidR="00700987" w:rsidRPr="008021F8">
        <w:rPr>
          <w:i/>
        </w:rPr>
        <w:t xml:space="preserve"> means a medicine that, in comparison to a registered medicine or a medicine that has been registered but is no longer a registered medicine (previously registered medicine):</w:t>
      </w:r>
    </w:p>
    <w:p w:rsidR="00700987" w:rsidRPr="008021F8" w:rsidRDefault="00700987" w:rsidP="008021F8">
      <w:pPr>
        <w:pStyle w:val="Numberbullet2"/>
        <w:numPr>
          <w:ilvl w:val="1"/>
          <w:numId w:val="27"/>
        </w:numPr>
        <w:ind w:left="1276"/>
        <w:rPr>
          <w:i/>
        </w:rPr>
      </w:pPr>
      <w:r w:rsidRPr="008021F8">
        <w:rPr>
          <w:i/>
        </w:rPr>
        <w:t>has the same quantitative composition of therapeutically active substances, being substances of similar quality to those used in the registered medicine or previously registered medicine; and</w:t>
      </w:r>
    </w:p>
    <w:p w:rsidR="00700987" w:rsidRPr="008021F8" w:rsidRDefault="00700987" w:rsidP="008021F8">
      <w:pPr>
        <w:pStyle w:val="Numberbullet2"/>
        <w:ind w:left="1276"/>
        <w:rPr>
          <w:i/>
        </w:rPr>
      </w:pPr>
      <w:r w:rsidRPr="008021F8">
        <w:rPr>
          <w:i/>
        </w:rPr>
        <w:t>has the same pharmaceutical form; and</w:t>
      </w:r>
    </w:p>
    <w:p w:rsidR="00700987" w:rsidRPr="008021F8" w:rsidRDefault="00700987" w:rsidP="008021F8">
      <w:pPr>
        <w:pStyle w:val="Numberbullet2"/>
        <w:ind w:left="1276"/>
        <w:rPr>
          <w:i/>
        </w:rPr>
      </w:pPr>
      <w:r w:rsidRPr="008021F8">
        <w:rPr>
          <w:i/>
        </w:rPr>
        <w:t>is bioequivalent; and</w:t>
      </w:r>
    </w:p>
    <w:p w:rsidR="00700987" w:rsidRPr="008021F8" w:rsidRDefault="00700987" w:rsidP="008021F8">
      <w:pPr>
        <w:pStyle w:val="Numberbullet2"/>
        <w:ind w:left="1276"/>
        <w:rPr>
          <w:i/>
        </w:rPr>
      </w:pPr>
      <w:r w:rsidRPr="008021F8">
        <w:rPr>
          <w:i/>
        </w:rPr>
        <w:t>has the same safety and efficacy properties</w:t>
      </w:r>
    </w:p>
    <w:p w:rsidR="00700987" w:rsidRDefault="00700987" w:rsidP="00FD6342">
      <w:r>
        <w:t xml:space="preserve">This definition can provide guidance as to what should be considered when registering a generic product, which is consistent with the TGA adopted </w:t>
      </w:r>
      <w:proofErr w:type="spellStart"/>
      <w:r>
        <w:t>guidances</w:t>
      </w:r>
      <w:proofErr w:type="spellEnd"/>
      <w:r w:rsidR="008021F8">
        <w:rPr>
          <w:rStyle w:val="FootnoteReference"/>
        </w:rPr>
        <w:footnoteReference w:id="18"/>
      </w:r>
      <w:r>
        <w:t xml:space="preserve"> but the</w:t>
      </w:r>
      <w:r w:rsidR="008021F8">
        <w:t xml:space="preserve"> decision that is taken by the D</w:t>
      </w:r>
      <w:r>
        <w:t>elegate is as displayed in s25(1)(d) of the Act.</w:t>
      </w:r>
    </w:p>
    <w:p w:rsidR="00700987" w:rsidRDefault="00700987" w:rsidP="00FD6342">
      <w:r>
        <w:t xml:space="preserve">The </w:t>
      </w:r>
      <w:r>
        <w:rPr>
          <w:rFonts w:asciiTheme="minorHAnsi" w:hAnsiTheme="minorHAnsi"/>
        </w:rPr>
        <w:t xml:space="preserve">Investigation of Bioequivalence guideline states that </w:t>
      </w:r>
      <w:r w:rsidR="00F77E39">
        <w:rPr>
          <w:rFonts w:asciiTheme="minorHAnsi" w:hAnsiTheme="minorHAnsi"/>
        </w:rPr>
        <w:t>‘</w:t>
      </w:r>
      <w:r w:rsidRPr="008021F8">
        <w:rPr>
          <w:rFonts w:asciiTheme="minorHAnsi" w:hAnsiTheme="minorHAnsi"/>
          <w:i/>
        </w:rPr>
        <w:t>a generic medicinal product is a product which has the same qualitative and quantitative composition in active substances and the same pharmaceutical form as the reference medicinal product, and whose bioequivalence with the reference medicinal product has been demonstrated by appropriate bioavailability studies.</w:t>
      </w:r>
      <w:r w:rsidR="00F77E39">
        <w:rPr>
          <w:rFonts w:asciiTheme="minorHAnsi" w:hAnsiTheme="minorHAnsi"/>
        </w:rPr>
        <w:t>’</w:t>
      </w:r>
      <w:r w:rsidR="000325C5">
        <w:rPr>
          <w:rFonts w:asciiTheme="minorHAnsi" w:hAnsiTheme="minorHAnsi"/>
        </w:rPr>
        <w:t xml:space="preserve"> </w:t>
      </w:r>
      <w:r>
        <w:rPr>
          <w:rFonts w:asciiTheme="minorHAnsi" w:hAnsiTheme="minorHAnsi"/>
        </w:rPr>
        <w:t>This definition is consistent with that in Schedule 9 of the Regulations but as noted, normal bioequivalence studies cannot be conducted with this type of product, therefore alternative data in lieu of this needs to be provided.</w:t>
      </w:r>
      <w:r w:rsidR="000325C5">
        <w:rPr>
          <w:rFonts w:asciiTheme="minorHAnsi" w:hAnsiTheme="minorHAnsi"/>
        </w:rPr>
        <w:t xml:space="preserve"> </w:t>
      </w:r>
      <w:r>
        <w:rPr>
          <w:rFonts w:asciiTheme="minorHAnsi" w:hAnsiTheme="minorHAnsi"/>
        </w:rPr>
        <w:t xml:space="preserve">To assist with this, the TGA has adopted </w:t>
      </w:r>
      <w:proofErr w:type="gramStart"/>
      <w:r>
        <w:rPr>
          <w:rFonts w:asciiTheme="minorHAnsi" w:hAnsiTheme="minorHAnsi"/>
        </w:rPr>
        <w:t>a guidance</w:t>
      </w:r>
      <w:proofErr w:type="gramEnd"/>
      <w:r>
        <w:rPr>
          <w:rFonts w:asciiTheme="minorHAnsi" w:hAnsiTheme="minorHAnsi"/>
        </w:rPr>
        <w:t xml:space="preserve"> for locally acting products that is discussed below.</w:t>
      </w:r>
    </w:p>
    <w:p w:rsidR="00700987" w:rsidRDefault="00700987" w:rsidP="00FD6342">
      <w:r>
        <w:t xml:space="preserve">The TGA adopted guidance called </w:t>
      </w:r>
      <w:r w:rsidR="00F77E39">
        <w:t>‘</w:t>
      </w:r>
      <w:r w:rsidRPr="00C544FF">
        <w:rPr>
          <w:i/>
        </w:rPr>
        <w:t>Note for guidance on the clinical requirements for locally applied, locally acting products containing known constituents</w:t>
      </w:r>
      <w:r w:rsidR="00F77E39">
        <w:t>’</w:t>
      </w:r>
      <w:r>
        <w:t xml:space="preserve"> provides further </w:t>
      </w:r>
      <w:r>
        <w:lastRenderedPageBreak/>
        <w:t>information on what should be expected for products that are not systemically absorbed.</w:t>
      </w:r>
      <w:r w:rsidR="000325C5">
        <w:t xml:space="preserve"> </w:t>
      </w:r>
      <w:r>
        <w:t>Although this guidance was adopted in 1996 by the</w:t>
      </w:r>
      <w:r w:rsidR="00531D60">
        <w:t xml:space="preserve"> European Medicines </w:t>
      </w:r>
      <w:r w:rsidR="00586D85">
        <w:t>Agency</w:t>
      </w:r>
      <w:r w:rsidR="00531D60">
        <w:t xml:space="preserve"> (</w:t>
      </w:r>
      <w:r>
        <w:t>EMA</w:t>
      </w:r>
      <w:r w:rsidR="00531D60">
        <w:t>)</w:t>
      </w:r>
      <w:r>
        <w:t>, it concerns locally acting products which are applied locally and exert their effect at the site of action with systemic action being an undesired effect.</w:t>
      </w:r>
      <w:r w:rsidR="000325C5">
        <w:t xml:space="preserve"> </w:t>
      </w:r>
      <w:r>
        <w:t>This guidance provides examples of dermatological products, inhalation products, eye drops, ear drops, nasal products and orally applied products which act locally.</w:t>
      </w:r>
      <w:r w:rsidR="000325C5">
        <w:t xml:space="preserve"> </w:t>
      </w:r>
      <w:r>
        <w:t xml:space="preserve">Whilst it can be argued as to whether this guidance can be applied to this type of product, </w:t>
      </w:r>
      <w:proofErr w:type="spellStart"/>
      <w:r>
        <w:t>sevelamer</w:t>
      </w:r>
      <w:proofErr w:type="spellEnd"/>
      <w:r>
        <w:t xml:space="preserve"> is nevertheless a locally acting product which is not systemically absorbed and therefore this guidance has relevance.</w:t>
      </w:r>
      <w:r w:rsidR="000325C5">
        <w:t xml:space="preserve"> </w:t>
      </w:r>
      <w:r>
        <w:t xml:space="preserve">The guidance states that it is necessary for locally acting products that a generic is therapeutically equivalent to the product already approved, </w:t>
      </w:r>
      <w:r w:rsidR="008021F8">
        <w:t>that is,</w:t>
      </w:r>
      <w:r>
        <w:t xml:space="preserve"> both products are equivalent in terms of efficacy and safety.</w:t>
      </w:r>
      <w:r w:rsidR="000325C5">
        <w:t xml:space="preserve"> </w:t>
      </w:r>
      <w:r>
        <w:t xml:space="preserve">To demonstrate this, clinical equivalence studies can be used or depending on the situation, human </w:t>
      </w:r>
      <w:proofErr w:type="spellStart"/>
      <w:r>
        <w:t>pharmacodynamic</w:t>
      </w:r>
      <w:proofErr w:type="spellEnd"/>
      <w:r>
        <w:t xml:space="preserve"> studies or animal or </w:t>
      </w:r>
      <w:r w:rsidRPr="008021F8">
        <w:t>in vitro</w:t>
      </w:r>
      <w:r>
        <w:t xml:space="preserve"> studies can be used provided they are validated.</w:t>
      </w:r>
      <w:r w:rsidR="000325C5">
        <w:t xml:space="preserve"> </w:t>
      </w:r>
      <w:r>
        <w:t xml:space="preserve">The sponsor has not conducted a therapeutic equivalence study or a human </w:t>
      </w:r>
      <w:proofErr w:type="spellStart"/>
      <w:r>
        <w:t>pharmacodynamic</w:t>
      </w:r>
      <w:proofErr w:type="spellEnd"/>
      <w:r>
        <w:t xml:space="preserve"> study but has chosen to conduct two </w:t>
      </w:r>
      <w:r w:rsidRPr="008021F8">
        <w:t>in vitro</w:t>
      </w:r>
      <w:r>
        <w:t xml:space="preserve"> studies as per another guidance document from the FDA (</w:t>
      </w:r>
      <w:r>
        <w:rPr>
          <w:rFonts w:asciiTheme="minorHAnsi" w:hAnsiTheme="minorHAnsi"/>
        </w:rPr>
        <w:t xml:space="preserve">FDA Draft Guidance on </w:t>
      </w:r>
      <w:proofErr w:type="spellStart"/>
      <w:r>
        <w:rPr>
          <w:rFonts w:asciiTheme="minorHAnsi" w:hAnsiTheme="minorHAnsi"/>
        </w:rPr>
        <w:t>sevelamer</w:t>
      </w:r>
      <w:proofErr w:type="spellEnd"/>
      <w:r>
        <w:rPr>
          <w:rFonts w:asciiTheme="minorHAnsi" w:hAnsiTheme="minorHAnsi"/>
        </w:rPr>
        <w:t xml:space="preserve"> hydrochloride, August 2011</w:t>
      </w:r>
      <w:r>
        <w:t>) which has not been adopted by the TGA.</w:t>
      </w:r>
      <w:r w:rsidR="000325C5">
        <w:t xml:space="preserve"> </w:t>
      </w:r>
      <w:r>
        <w:t xml:space="preserve">This latter approach, however, does not provide evidence of efficacy and safety of the product in humans but seeks to establish the </w:t>
      </w:r>
      <w:r w:rsidR="00F77E39">
        <w:t>‘</w:t>
      </w:r>
      <w:r>
        <w:t>bioequivalence</w:t>
      </w:r>
      <w:r w:rsidR="00F77E39">
        <w:t>’</w:t>
      </w:r>
      <w:r>
        <w:t xml:space="preserve"> of the generic and reference via </w:t>
      </w:r>
      <w:r w:rsidRPr="008021F8">
        <w:t>in vitro</w:t>
      </w:r>
      <w:r>
        <w:t xml:space="preserve"> studies so as to then be able to extrapolate the efficacy and safety from </w:t>
      </w:r>
      <w:proofErr w:type="spellStart"/>
      <w:r>
        <w:t>Renagel</w:t>
      </w:r>
      <w:proofErr w:type="spellEnd"/>
      <w:r>
        <w:t>.</w:t>
      </w:r>
      <w:r w:rsidR="000325C5">
        <w:t xml:space="preserve"> </w:t>
      </w:r>
      <w:r>
        <w:t xml:space="preserve">Herein lies one of the issues to consider; whether this approach by the FDA which has not been adopted by the TGA, is an acceptable and validated surrogate for conducting some form of clinical study with this generic compared with </w:t>
      </w:r>
      <w:proofErr w:type="spellStart"/>
      <w:r>
        <w:t>Renagel</w:t>
      </w:r>
      <w:proofErr w:type="spellEnd"/>
      <w:r>
        <w:t xml:space="preserve"> to establish that the two products are equivalent.</w:t>
      </w:r>
      <w:r w:rsidR="000325C5">
        <w:t xml:space="preserve"> </w:t>
      </w:r>
      <w:r>
        <w:t>The TGA accepts that this approach has merit but the sponsor did not fully complete the studies as recommended in this FDA guidance.</w:t>
      </w:r>
    </w:p>
    <w:p w:rsidR="00700987" w:rsidRDefault="00700987" w:rsidP="00FD6342">
      <w:r>
        <w:t xml:space="preserve">The FDA guidance has not been adopted by the TGA but has relevance since it directly discusses the acceptable evidence to submit to support the conclusion of bioequivalence between generic and reference </w:t>
      </w:r>
      <w:proofErr w:type="spellStart"/>
      <w:r>
        <w:t>sevelamer</w:t>
      </w:r>
      <w:proofErr w:type="spellEnd"/>
      <w:r>
        <w:t xml:space="preserve"> products.</w:t>
      </w:r>
      <w:r w:rsidR="000325C5">
        <w:t xml:space="preserve"> </w:t>
      </w:r>
      <w:r>
        <w:t xml:space="preserve">The guidance, when registering a generic medicine, recommends two </w:t>
      </w:r>
      <w:r w:rsidRPr="008021F8">
        <w:t>in vitro studies be conducted: an in vitro</w:t>
      </w:r>
      <w:r>
        <w:t xml:space="preserve"> equilibrium binding study which should be repeated at least 12 times that includes a binding constant with 90% confidence intervals calculated (80</w:t>
      </w:r>
      <w:r w:rsidR="008021F8">
        <w:t xml:space="preserve"> to </w:t>
      </w:r>
      <w:r>
        <w:t xml:space="preserve">120%) and an </w:t>
      </w:r>
      <w:r w:rsidRPr="008021F8">
        <w:t>in vitro</w:t>
      </w:r>
      <w:r>
        <w:t xml:space="preserve"> kinetic binding study again repeated 12 times but with 90% confidence intervals not being required.</w:t>
      </w:r>
      <w:r w:rsidR="000325C5">
        <w:t xml:space="preserve"> </w:t>
      </w:r>
      <w:r>
        <w:t>Unfortunately the version of the guidance used by the sponsor to support their submission was an older version from August 2010 which was current when the studies were conducted (Sept</w:t>
      </w:r>
      <w:r w:rsidR="00475509">
        <w:t>ember</w:t>
      </w:r>
      <w:r>
        <w:t xml:space="preserve"> 2010 to Jan</w:t>
      </w:r>
      <w:r w:rsidR="00475509">
        <w:t>uary</w:t>
      </w:r>
      <w:r>
        <w:t xml:space="preserve"> 2011) but not current when the submission was lodged with the TGA.</w:t>
      </w:r>
      <w:r w:rsidR="000325C5">
        <w:t xml:space="preserve"> </w:t>
      </w:r>
      <w:r>
        <w:t>The current version from August 2011 has amended requirements that have not been fully met by the sponsor.</w:t>
      </w:r>
      <w:r w:rsidR="000325C5">
        <w:t xml:space="preserve"> </w:t>
      </w:r>
      <w:r>
        <w:t>The difference in the two versions of this guidance relate</w:t>
      </w:r>
      <w:r w:rsidR="00475509">
        <w:t>s</w:t>
      </w:r>
      <w:r>
        <w:t xml:space="preserve"> to the phosphate concentration range and the number of replicate studies required.</w:t>
      </w:r>
      <w:r w:rsidR="000325C5">
        <w:t xml:space="preserve"> </w:t>
      </w:r>
      <w:r>
        <w:t>In the earlier version of the guidance, the phosphate concentration range to be assessed was 1</w:t>
      </w:r>
      <w:r w:rsidR="00475509">
        <w:t xml:space="preserve"> to </w:t>
      </w:r>
      <w:r>
        <w:t>40nM whereas in the current version it requires a range that ensures maximal binding was achieved.</w:t>
      </w:r>
      <w:r w:rsidR="000325C5">
        <w:t xml:space="preserve"> </w:t>
      </w:r>
      <w:r>
        <w:t xml:space="preserve">In the earlier version of the guidance, the number of times the two </w:t>
      </w:r>
      <w:r w:rsidRPr="00475509">
        <w:t>in vitro</w:t>
      </w:r>
      <w:r>
        <w:t xml:space="preserve"> studies had to be repeated was </w:t>
      </w:r>
      <w:r w:rsidR="00F77E39">
        <w:t>‘</w:t>
      </w:r>
      <w:r w:rsidRPr="00475509">
        <w:rPr>
          <w:i/>
        </w:rPr>
        <w:t>an adequate number of replicates should be used for each set of conditions</w:t>
      </w:r>
      <w:r w:rsidR="00F77E39">
        <w:t>’</w:t>
      </w:r>
      <w:r>
        <w:t xml:space="preserve"> which the sponsor did to six replicates whereas the current guidance states that 12 replicates should be conducted for each study.</w:t>
      </w:r>
      <w:r w:rsidR="000325C5">
        <w:t xml:space="preserve"> </w:t>
      </w:r>
      <w:r>
        <w:t>To address these matters the sponsor examined phosphate binding at the maximum concentration levels (up to 70nM) but only did two replicates.</w:t>
      </w:r>
      <w:r w:rsidR="000325C5">
        <w:t xml:space="preserve"> </w:t>
      </w:r>
      <w:r>
        <w:t>Thus the sponsor did not conduct 12 replicates up to the maximum phosphate concentration levels as recommended by the guidance but instead did six replicates up to 40nM and 2 replicates up to 70nM.</w:t>
      </w:r>
      <w:r w:rsidR="000325C5">
        <w:t xml:space="preserve"> </w:t>
      </w:r>
      <w:r>
        <w:t>For the kinetic study, the sponsor also only did six replicates rather than the 12 replicates as recommended by the FDA guidance.</w:t>
      </w:r>
      <w:r w:rsidR="000325C5">
        <w:t xml:space="preserve"> </w:t>
      </w:r>
      <w:r>
        <w:t xml:space="preserve">By not fully completing the </w:t>
      </w:r>
      <w:r w:rsidRPr="00475509">
        <w:t>in vitro</w:t>
      </w:r>
      <w:r>
        <w:t xml:space="preserve"> testing requirements in the FDA guidance, then this increases the probability that the results may be due to chance rather than being true results and therefore do not completely allay the concerns observed regarding the differences in </w:t>
      </w:r>
      <w:proofErr w:type="spellStart"/>
      <w:r>
        <w:t>titratable</w:t>
      </w:r>
      <w:proofErr w:type="spellEnd"/>
      <w:r>
        <w:t xml:space="preserve"> amines and swell index and whether there is a different (possibly lower) phosphate binding capacity of this generic product compared to </w:t>
      </w:r>
      <w:proofErr w:type="spellStart"/>
      <w:r>
        <w:t>Renagel</w:t>
      </w:r>
      <w:proofErr w:type="spellEnd"/>
      <w:r>
        <w:t>.</w:t>
      </w:r>
    </w:p>
    <w:p w:rsidR="00700987" w:rsidRDefault="00700987" w:rsidP="00FD6342">
      <w:r>
        <w:lastRenderedPageBreak/>
        <w:t xml:space="preserve">The clinical evaluator had two concerns that remain: the size of the tablets and the lack of clinical data to address the differences seen in the chemistry data in terms of the drug substance and the </w:t>
      </w:r>
      <w:r w:rsidRPr="00475509">
        <w:t>limited in vitro</w:t>
      </w:r>
      <w:r>
        <w:t xml:space="preserve"> testing that w</w:t>
      </w:r>
      <w:r w:rsidR="00475509">
        <w:t>ere</w:t>
      </w:r>
      <w:r>
        <w:t xml:space="preserve"> conducted.</w:t>
      </w:r>
      <w:r w:rsidR="000325C5">
        <w:t xml:space="preserve"> </w:t>
      </w:r>
      <w:r>
        <w:t xml:space="preserve">It is noted that both the </w:t>
      </w:r>
      <w:proofErr w:type="spellStart"/>
      <w:r>
        <w:t>Renagel</w:t>
      </w:r>
      <w:proofErr w:type="spellEnd"/>
      <w:r>
        <w:t xml:space="preserve"> and this generic </w:t>
      </w:r>
      <w:proofErr w:type="spellStart"/>
      <w:r>
        <w:t>sevelamer</w:t>
      </w:r>
      <w:proofErr w:type="spellEnd"/>
      <w:r>
        <w:t xml:space="preserve"> are large tablets with about the same length (19</w:t>
      </w:r>
      <w:r w:rsidR="00475509">
        <w:t xml:space="preserve"> </w:t>
      </w:r>
      <w:r>
        <w:t>mm), slightly less width for the generic by about 0.26</w:t>
      </w:r>
      <w:r w:rsidR="00475509">
        <w:t xml:space="preserve"> </w:t>
      </w:r>
      <w:r>
        <w:t>mm and slightly greater thickness by about 0.79</w:t>
      </w:r>
      <w:r w:rsidR="00475509">
        <w:t xml:space="preserve"> </w:t>
      </w:r>
      <w:r>
        <w:t>mm.</w:t>
      </w:r>
      <w:r w:rsidR="000325C5">
        <w:t xml:space="preserve"> </w:t>
      </w:r>
      <w:r>
        <w:t>Whilst there is no clinical data to know if these differences are likely to be significant, it is probably unlikely but the PI should nevertheless provide warnings on the size of the tablets and risk of choking/obstruction.</w:t>
      </w:r>
      <w:r w:rsidR="000325C5">
        <w:t xml:space="preserve"> </w:t>
      </w:r>
      <w:r>
        <w:t xml:space="preserve">The sponsor has also provided samples and a video of the tablet’s disintegration which indicate disintegration at a similar time to </w:t>
      </w:r>
      <w:proofErr w:type="spellStart"/>
      <w:r>
        <w:t>Renagel</w:t>
      </w:r>
      <w:proofErr w:type="spellEnd"/>
      <w:r>
        <w:t>.</w:t>
      </w:r>
    </w:p>
    <w:p w:rsidR="00700987" w:rsidRDefault="00700987" w:rsidP="00FD6342">
      <w:r>
        <w:t>In summary, there are a few concerns with this submission.</w:t>
      </w:r>
      <w:r w:rsidR="000325C5">
        <w:t xml:space="preserve"> </w:t>
      </w:r>
      <w:r>
        <w:t xml:space="preserve">Firstly, this generic medicine has not been administered to any people as yet, thus some form of clinical data such as a </w:t>
      </w:r>
      <w:proofErr w:type="spellStart"/>
      <w:r>
        <w:t>pharmacodynamic</w:t>
      </w:r>
      <w:proofErr w:type="spellEnd"/>
      <w:r>
        <w:t xml:space="preserve"> study would have provided reassurance that the differences seen in the drug substance or the deficiencies in </w:t>
      </w:r>
      <w:r w:rsidRPr="00475509">
        <w:t>the in vitro</w:t>
      </w:r>
      <w:r>
        <w:t xml:space="preserve"> studies were not clinically significant to its ability to lower phosphate levels.</w:t>
      </w:r>
      <w:r w:rsidR="000325C5">
        <w:t xml:space="preserve"> </w:t>
      </w:r>
      <w:r>
        <w:t>Given it has not been registered anywhere overseas yet then there is also no clinical experience with this generic product to provide reassurance on its efficacy and safety.</w:t>
      </w:r>
      <w:r w:rsidR="000325C5">
        <w:t xml:space="preserve"> </w:t>
      </w:r>
      <w:r>
        <w:t xml:space="preserve">Secondly, the TGA adopted guideline on locally acting products allows for an </w:t>
      </w:r>
      <w:r w:rsidRPr="00475509">
        <w:t>in vitro</w:t>
      </w:r>
      <w:r>
        <w:t xml:space="preserve"> study to be conducted instead of a clinical equivalence study or </w:t>
      </w:r>
      <w:proofErr w:type="spellStart"/>
      <w:r>
        <w:t>pharmacodynamic</w:t>
      </w:r>
      <w:proofErr w:type="spellEnd"/>
      <w:r>
        <w:t xml:space="preserve"> </w:t>
      </w:r>
      <w:proofErr w:type="gramStart"/>
      <w:r>
        <w:t>study,</w:t>
      </w:r>
      <w:proofErr w:type="gramEnd"/>
      <w:r>
        <w:t xml:space="preserve"> however an </w:t>
      </w:r>
      <w:r w:rsidRPr="00475509">
        <w:t>in vitro</w:t>
      </w:r>
      <w:r>
        <w:t xml:space="preserve"> study is a surrogate method of establishing equivalence in lieu of a clinical study.</w:t>
      </w:r>
      <w:r w:rsidR="000325C5">
        <w:t xml:space="preserve"> </w:t>
      </w:r>
      <w:r>
        <w:t xml:space="preserve">The concern here is that the sponsor conducted two </w:t>
      </w:r>
      <w:r w:rsidRPr="00475509">
        <w:t>in vitro</w:t>
      </w:r>
      <w:r>
        <w:t xml:space="preserve"> studies that did not provide sufficient reassurance that the phosphate binding capacity of this generic was equivalent to </w:t>
      </w:r>
      <w:proofErr w:type="spellStart"/>
      <w:r>
        <w:t>Renagel</w:t>
      </w:r>
      <w:proofErr w:type="spellEnd"/>
      <w:r>
        <w:t xml:space="preserve"> since they did not do a sufficient number of repeat tests and that phosphate binding at the maximum concentration used in the studies was only assessed in two replicates instead of the required twelve and did not include 90% confidence intervals.</w:t>
      </w:r>
      <w:r w:rsidR="000325C5">
        <w:t xml:space="preserve"> </w:t>
      </w:r>
      <w:r>
        <w:t xml:space="preserve">The reduced testing and lack of confidence intervals reduces the confidence in concluding that the generic and reference are equivalent and thus the ability of the </w:t>
      </w:r>
      <w:r w:rsidR="00475509">
        <w:t>D</w:t>
      </w:r>
      <w:r>
        <w:t xml:space="preserve">elegate to conclude that efficacy and safety can be extrapolated through this method of assessing </w:t>
      </w:r>
      <w:r w:rsidR="00F77E39">
        <w:t>‘</w:t>
      </w:r>
      <w:r>
        <w:t>bioequivalence</w:t>
      </w:r>
      <w:r w:rsidR="00F77E39">
        <w:t>’</w:t>
      </w:r>
      <w:r>
        <w:t>.</w:t>
      </w:r>
      <w:r w:rsidR="000325C5">
        <w:t xml:space="preserve"> </w:t>
      </w:r>
      <w:r>
        <w:t>The FDA guidance, although not adopted by TGA, was relied upon by the sponsor to support their submission however the sponsor did not meet its current requirements.</w:t>
      </w:r>
      <w:r w:rsidR="000325C5">
        <w:t xml:space="preserve"> </w:t>
      </w:r>
      <w:r>
        <w:t xml:space="preserve">Thirdly, the differences observed between the generic and </w:t>
      </w:r>
      <w:proofErr w:type="spellStart"/>
      <w:r>
        <w:t>Renagel</w:t>
      </w:r>
      <w:proofErr w:type="spellEnd"/>
      <w:r>
        <w:t xml:space="preserve"> by the </w:t>
      </w:r>
      <w:r w:rsidR="00475509">
        <w:t>quality</w:t>
      </w:r>
      <w:r>
        <w:t xml:space="preserve"> evaluator in terms of total </w:t>
      </w:r>
      <w:proofErr w:type="spellStart"/>
      <w:r>
        <w:t>titratable</w:t>
      </w:r>
      <w:proofErr w:type="spellEnd"/>
      <w:r>
        <w:t xml:space="preserve"> amines and swell index suggests that this generic substance is of different quality to </w:t>
      </w:r>
      <w:proofErr w:type="spellStart"/>
      <w:r>
        <w:t>Renagel</w:t>
      </w:r>
      <w:proofErr w:type="spellEnd"/>
      <w:r>
        <w:t xml:space="preserve"> and therefore the phosphate binding capacity, </w:t>
      </w:r>
      <w:r w:rsidR="00475509">
        <w:t>that is,</w:t>
      </w:r>
      <w:r>
        <w:t xml:space="preserve"> efficacy, of this generic may be different.</w:t>
      </w:r>
      <w:r w:rsidR="000325C5">
        <w:t xml:space="preserve"> </w:t>
      </w:r>
      <w:r>
        <w:t xml:space="preserve">The lack of human data or convincing </w:t>
      </w:r>
      <w:r w:rsidRPr="00475509">
        <w:t>in vitro</w:t>
      </w:r>
      <w:r>
        <w:t xml:space="preserve"> data means that the differences observed by the </w:t>
      </w:r>
      <w:r w:rsidR="00475509">
        <w:t>quality</w:t>
      </w:r>
      <w:r>
        <w:t xml:space="preserve"> evaluator cannot be alleviated.</w:t>
      </w:r>
      <w:r w:rsidR="000325C5">
        <w:t xml:space="preserve"> </w:t>
      </w:r>
      <w:r>
        <w:t xml:space="preserve">Thus, there is doubt that the drug substance in this generic is the same as </w:t>
      </w:r>
      <w:proofErr w:type="spellStart"/>
      <w:r>
        <w:t>Renagel</w:t>
      </w:r>
      <w:proofErr w:type="spellEnd"/>
      <w:r>
        <w:t xml:space="preserve"> due to the differences in total </w:t>
      </w:r>
      <w:proofErr w:type="spellStart"/>
      <w:r>
        <w:t>titratable</w:t>
      </w:r>
      <w:proofErr w:type="spellEnd"/>
      <w:r>
        <w:t xml:space="preserve"> amines and swell index, the </w:t>
      </w:r>
      <w:r w:rsidRPr="00475509">
        <w:t>in vitro</w:t>
      </w:r>
      <w:r>
        <w:t xml:space="preserve"> studies were not conducted in full to provide convincing evidence of the </w:t>
      </w:r>
      <w:r w:rsidR="00F77E39">
        <w:t>‘</w:t>
      </w:r>
      <w:r>
        <w:t>bioequivalence</w:t>
      </w:r>
      <w:r w:rsidR="00F77E39">
        <w:t>’</w:t>
      </w:r>
      <w:r>
        <w:t xml:space="preserve"> of this generic with </w:t>
      </w:r>
      <w:proofErr w:type="spellStart"/>
      <w:r>
        <w:t>Renagel</w:t>
      </w:r>
      <w:proofErr w:type="spellEnd"/>
      <w:r>
        <w:t xml:space="preserve"> and there is no clinical study to alleviate these concerns such that efficacy and safety can be satisfactorily established to support registration.</w:t>
      </w:r>
    </w:p>
    <w:p w:rsidR="00700987" w:rsidRDefault="00700987" w:rsidP="00FD6342">
      <w:r>
        <w:t>Having noted these concerns, phosphate levels can be easily measured in a patient prescribed this generic and can be monitored over time such that to some extent these small differences between the generic and reference in terms of the drug substance and the deficiencies in the testing program conducted may not be clinically significant.</w:t>
      </w:r>
      <w:r w:rsidR="000325C5">
        <w:t xml:space="preserve"> </w:t>
      </w:r>
      <w:r>
        <w:t>However when registering a generic medicine it is important to remember that the safety and efficacy properties of both the generic and reference should be the same, noting that the products can be interchanged.</w:t>
      </w:r>
      <w:r w:rsidR="00DF3FB2">
        <w:t xml:space="preserve"> </w:t>
      </w:r>
      <w:r>
        <w:t xml:space="preserve">Unfortunately it is unknown whether this is the case given there are no clinical data and the </w:t>
      </w:r>
      <w:r w:rsidRPr="00475509">
        <w:t>in vitro</w:t>
      </w:r>
      <w:r>
        <w:t xml:space="preserve"> data supplied was insufficient to conclude that this generic and </w:t>
      </w:r>
      <w:proofErr w:type="spellStart"/>
      <w:r>
        <w:t>Renagel</w:t>
      </w:r>
      <w:proofErr w:type="spellEnd"/>
      <w:r>
        <w:t xml:space="preserve"> are bioequivalent.</w:t>
      </w:r>
    </w:p>
    <w:p w:rsidR="00356627" w:rsidRPr="00503002" w:rsidRDefault="00700987" w:rsidP="00503002">
      <w:pPr>
        <w:pStyle w:val="Heading5"/>
      </w:pPr>
      <w:r w:rsidRPr="00503002">
        <w:t>RMP</w:t>
      </w:r>
    </w:p>
    <w:p w:rsidR="00700987" w:rsidRPr="00475509" w:rsidRDefault="00700987" w:rsidP="00503002">
      <w:pPr>
        <w:rPr>
          <w:vertAlign w:val="superscript"/>
        </w:rPr>
      </w:pPr>
      <w:r>
        <w:t>The sponsor should address the outstanding RMP matters.</w:t>
      </w:r>
      <w:r w:rsidR="00475509" w:rsidRPr="00475509">
        <w:rPr>
          <w:vertAlign w:val="superscript"/>
        </w:rPr>
        <w:fldChar w:fldCharType="begin"/>
      </w:r>
      <w:r w:rsidR="00475509" w:rsidRPr="00475509">
        <w:rPr>
          <w:vertAlign w:val="superscript"/>
        </w:rPr>
        <w:instrText xml:space="preserve"> NOTEREF _Ref426548749 \h </w:instrText>
      </w:r>
      <w:r w:rsidR="00475509">
        <w:rPr>
          <w:vertAlign w:val="superscript"/>
        </w:rPr>
        <w:instrText xml:space="preserve"> \* MERGEFORMAT </w:instrText>
      </w:r>
      <w:r w:rsidR="00475509" w:rsidRPr="00475509">
        <w:rPr>
          <w:vertAlign w:val="superscript"/>
        </w:rPr>
      </w:r>
      <w:r w:rsidR="00475509" w:rsidRPr="00475509">
        <w:rPr>
          <w:vertAlign w:val="superscript"/>
        </w:rPr>
        <w:fldChar w:fldCharType="separate"/>
      </w:r>
      <w:r w:rsidR="00DC5E9C">
        <w:rPr>
          <w:vertAlign w:val="superscript"/>
        </w:rPr>
        <w:t>17</w:t>
      </w:r>
      <w:r w:rsidR="00475509" w:rsidRPr="00475509">
        <w:rPr>
          <w:vertAlign w:val="superscript"/>
        </w:rPr>
        <w:fldChar w:fldCharType="end"/>
      </w:r>
    </w:p>
    <w:p w:rsidR="00356627" w:rsidRPr="00503002" w:rsidRDefault="00700987" w:rsidP="00503002">
      <w:pPr>
        <w:pStyle w:val="Heading5"/>
      </w:pPr>
      <w:r w:rsidRPr="00503002">
        <w:lastRenderedPageBreak/>
        <w:t>Data deficiencies</w:t>
      </w:r>
    </w:p>
    <w:p w:rsidR="00700987" w:rsidRDefault="00700987" w:rsidP="00FD6342">
      <w:r>
        <w:rPr>
          <w:rFonts w:asciiTheme="minorHAnsi" w:hAnsiTheme="minorHAnsi"/>
        </w:rPr>
        <w:t xml:space="preserve">No clinical studies and a lack of sufficient testing as recommended by the FDA in its guidance for demonstrating bioequivalence between a generic </w:t>
      </w:r>
      <w:proofErr w:type="spellStart"/>
      <w:r>
        <w:rPr>
          <w:rFonts w:asciiTheme="minorHAnsi" w:hAnsiTheme="minorHAnsi"/>
        </w:rPr>
        <w:t>sevelamer</w:t>
      </w:r>
      <w:proofErr w:type="spellEnd"/>
      <w:r>
        <w:rPr>
          <w:rFonts w:asciiTheme="minorHAnsi" w:hAnsiTheme="minorHAnsi"/>
        </w:rPr>
        <w:t xml:space="preserve"> and reference.</w:t>
      </w:r>
    </w:p>
    <w:p w:rsidR="00356627" w:rsidRPr="00503002" w:rsidRDefault="00700987" w:rsidP="00503002">
      <w:pPr>
        <w:pStyle w:val="Heading5"/>
      </w:pPr>
      <w:r w:rsidRPr="00503002">
        <w:rPr>
          <w:rStyle w:val="Heading5Char"/>
          <w:b/>
          <w:bCs/>
          <w:i/>
        </w:rPr>
        <w:t xml:space="preserve">Conditions of </w:t>
      </w:r>
      <w:r w:rsidR="00503002" w:rsidRPr="00503002">
        <w:rPr>
          <w:rStyle w:val="Heading5Char"/>
          <w:b/>
          <w:bCs/>
          <w:i/>
        </w:rPr>
        <w:t>r</w:t>
      </w:r>
      <w:r w:rsidRPr="00503002">
        <w:rPr>
          <w:rStyle w:val="Heading5Char"/>
          <w:b/>
          <w:bCs/>
          <w:i/>
        </w:rPr>
        <w:t>egistration</w:t>
      </w:r>
    </w:p>
    <w:p w:rsidR="00700987" w:rsidRDefault="00700987" w:rsidP="00503002">
      <w:r>
        <w:t>The following are proposed as conditions of registration, should this product be approved:</w:t>
      </w:r>
    </w:p>
    <w:p w:rsidR="00700987" w:rsidRDefault="00700987" w:rsidP="00531D60">
      <w:pPr>
        <w:pStyle w:val="ListParagraph"/>
      </w:pPr>
      <w:r>
        <w:t xml:space="preserve">The implementation in Australia of the EU Risk Management Plan for </w:t>
      </w:r>
      <w:proofErr w:type="spellStart"/>
      <w:r>
        <w:t>Sevelamer</w:t>
      </w:r>
      <w:proofErr w:type="spellEnd"/>
      <w:r>
        <w:t xml:space="preserve"> GPPL, </w:t>
      </w:r>
      <w:proofErr w:type="spellStart"/>
      <w:r>
        <w:t>Sevelamer</w:t>
      </w:r>
      <w:proofErr w:type="spellEnd"/>
      <w:r>
        <w:t xml:space="preserve"> </w:t>
      </w:r>
      <w:proofErr w:type="spellStart"/>
      <w:r>
        <w:t>GxP</w:t>
      </w:r>
      <w:proofErr w:type="spellEnd"/>
      <w:r>
        <w:t xml:space="preserve">, </w:t>
      </w:r>
      <w:proofErr w:type="spellStart"/>
      <w:r>
        <w:t>Seveligand</w:t>
      </w:r>
      <w:proofErr w:type="spellEnd"/>
      <w:r>
        <w:t xml:space="preserve">, </w:t>
      </w:r>
      <w:proofErr w:type="spellStart"/>
      <w:r>
        <w:t>Phosligand</w:t>
      </w:r>
      <w:proofErr w:type="spellEnd"/>
      <w:r>
        <w:t>, APO-</w:t>
      </w:r>
      <w:proofErr w:type="spellStart"/>
      <w:r>
        <w:t>Sevelamer</w:t>
      </w:r>
      <w:proofErr w:type="spellEnd"/>
      <w:r>
        <w:t>, APOTEX-</w:t>
      </w:r>
      <w:proofErr w:type="spellStart"/>
      <w:r>
        <w:t>Sevelamer</w:t>
      </w:r>
      <w:proofErr w:type="spellEnd"/>
      <w:r>
        <w:t>,</w:t>
      </w:r>
      <w:r w:rsidR="000325C5">
        <w:t xml:space="preserve"> </w:t>
      </w:r>
      <w:proofErr w:type="spellStart"/>
      <w:r>
        <w:t>Chemmart</w:t>
      </w:r>
      <w:proofErr w:type="spellEnd"/>
      <w:r>
        <w:t xml:space="preserve"> </w:t>
      </w:r>
      <w:proofErr w:type="spellStart"/>
      <w:r>
        <w:t>Sevelamer</w:t>
      </w:r>
      <w:proofErr w:type="spellEnd"/>
      <w:r>
        <w:t xml:space="preserve">, </w:t>
      </w:r>
      <w:proofErr w:type="spellStart"/>
      <w:r>
        <w:t>GenRx</w:t>
      </w:r>
      <w:proofErr w:type="spellEnd"/>
      <w:r>
        <w:t xml:space="preserve"> </w:t>
      </w:r>
      <w:proofErr w:type="spellStart"/>
      <w:r>
        <w:t>Sevelamer</w:t>
      </w:r>
      <w:proofErr w:type="spellEnd"/>
      <w:r>
        <w:t xml:space="preserve">, Terry White Chemists </w:t>
      </w:r>
      <w:proofErr w:type="spellStart"/>
      <w:r>
        <w:t>Sevelamer</w:t>
      </w:r>
      <w:proofErr w:type="spellEnd"/>
      <w:r>
        <w:t xml:space="preserve"> (</w:t>
      </w:r>
      <w:proofErr w:type="spellStart"/>
      <w:r>
        <w:t>sevelamer</w:t>
      </w:r>
      <w:proofErr w:type="spellEnd"/>
      <w:r>
        <w:t>), version 1.0, dated September 2012, with the Australian Specific Annex, version 2.0, dated 25 March 2014, and the RMP agreements from the Pre-ACPM Response of [date], included with submission PM-2013-00742-1-3, and any subsequent revisions, as agreed with the TGA.</w:t>
      </w:r>
    </w:p>
    <w:p w:rsidR="00700987" w:rsidRPr="00475509" w:rsidRDefault="00700987" w:rsidP="00503002">
      <w:pPr>
        <w:pStyle w:val="Heading4"/>
      </w:pPr>
      <w:r>
        <w:t>Summary of issues</w:t>
      </w:r>
    </w:p>
    <w:p w:rsidR="00700987" w:rsidRDefault="00700987" w:rsidP="00700987">
      <w:pPr>
        <w:rPr>
          <w:rFonts w:asciiTheme="minorHAnsi" w:hAnsiTheme="minorHAnsi"/>
        </w:rPr>
      </w:pPr>
      <w:r>
        <w:rPr>
          <w:rFonts w:asciiTheme="minorHAnsi" w:hAnsiTheme="minorHAnsi"/>
        </w:rPr>
        <w:t>The primary issues with this submission are as follows:</w:t>
      </w:r>
    </w:p>
    <w:p w:rsidR="00700987" w:rsidRDefault="00700987" w:rsidP="00356627">
      <w:pPr>
        <w:pStyle w:val="Numberbullet0"/>
        <w:numPr>
          <w:ilvl w:val="0"/>
          <w:numId w:val="30"/>
        </w:numPr>
      </w:pPr>
      <w:r>
        <w:t xml:space="preserve">Whether the medicine has the same quantitative composition of therapeutically active substances, being substances of similar quality to those used in </w:t>
      </w:r>
      <w:proofErr w:type="spellStart"/>
      <w:r>
        <w:t>Renagel</w:t>
      </w:r>
      <w:proofErr w:type="spellEnd"/>
      <w:r>
        <w:t>.</w:t>
      </w:r>
    </w:p>
    <w:p w:rsidR="00356627" w:rsidRPr="00356627" w:rsidRDefault="00700987" w:rsidP="00356627">
      <w:pPr>
        <w:pStyle w:val="Numberbullet0"/>
        <w:numPr>
          <w:ilvl w:val="0"/>
          <w:numId w:val="30"/>
        </w:numPr>
        <w:rPr>
          <w:szCs w:val="24"/>
        </w:rPr>
      </w:pPr>
      <w:r w:rsidRPr="00356627">
        <w:t xml:space="preserve">Whether the </w:t>
      </w:r>
      <w:proofErr w:type="spellStart"/>
      <w:r w:rsidRPr="00356627">
        <w:t>sevelamer</w:t>
      </w:r>
      <w:proofErr w:type="spellEnd"/>
      <w:r w:rsidRPr="00356627">
        <w:t xml:space="preserve"> hydrochloride used in this product binds phosphate in an equivalent manner to </w:t>
      </w:r>
      <w:proofErr w:type="spellStart"/>
      <w:r w:rsidRPr="00356627">
        <w:t>Renagel</w:t>
      </w:r>
      <w:proofErr w:type="spellEnd"/>
      <w:r w:rsidRPr="00356627">
        <w:t xml:space="preserve"> and therefore has the same safety and efficacy properties.</w:t>
      </w:r>
    </w:p>
    <w:p w:rsidR="00700987" w:rsidRPr="00700987" w:rsidRDefault="00700987" w:rsidP="00356627">
      <w:pPr>
        <w:pStyle w:val="Numberbullet0"/>
        <w:numPr>
          <w:ilvl w:val="0"/>
          <w:numId w:val="30"/>
        </w:numPr>
      </w:pPr>
      <w:r>
        <w:t xml:space="preserve">Whether further studies, be they </w:t>
      </w:r>
      <w:r w:rsidRPr="00475509">
        <w:t>in vitro</w:t>
      </w:r>
      <w:r>
        <w:t xml:space="preserve"> or </w:t>
      </w:r>
      <w:proofErr w:type="gramStart"/>
      <w:r>
        <w:t>clinical ,</w:t>
      </w:r>
      <w:proofErr w:type="gramEnd"/>
      <w:r>
        <w:t xml:space="preserve"> are required to support the registration of a generic </w:t>
      </w:r>
      <w:proofErr w:type="spellStart"/>
      <w:r>
        <w:t>sevelamer</w:t>
      </w:r>
      <w:proofErr w:type="spellEnd"/>
      <w:r>
        <w:t>.</w:t>
      </w:r>
    </w:p>
    <w:p w:rsidR="00D23139" w:rsidRPr="00531D60" w:rsidRDefault="00D23139" w:rsidP="00503002">
      <w:pPr>
        <w:pStyle w:val="Heading4"/>
      </w:pPr>
      <w:r w:rsidRPr="00531D60">
        <w:t>Proposed action</w:t>
      </w:r>
    </w:p>
    <w:p w:rsidR="00700987" w:rsidRPr="00700987" w:rsidRDefault="00356627" w:rsidP="00700987">
      <w:r>
        <w:rPr>
          <w:rFonts w:asciiTheme="minorHAnsi" w:hAnsiTheme="minorHAnsi"/>
        </w:rPr>
        <w:t>The Delegate was</w:t>
      </w:r>
      <w:r w:rsidR="00700987">
        <w:rPr>
          <w:rFonts w:asciiTheme="minorHAnsi" w:hAnsiTheme="minorHAnsi"/>
        </w:rPr>
        <w:t xml:space="preserve"> not in a position to say, at this time, that the application for </w:t>
      </w:r>
      <w:proofErr w:type="spellStart"/>
      <w:r w:rsidR="00700987">
        <w:rPr>
          <w:rFonts w:asciiTheme="minorHAnsi" w:hAnsiTheme="minorHAnsi"/>
        </w:rPr>
        <w:t>Sevelamer</w:t>
      </w:r>
      <w:proofErr w:type="spellEnd"/>
      <w:r w:rsidR="00700987">
        <w:rPr>
          <w:rFonts w:asciiTheme="minorHAnsi" w:hAnsiTheme="minorHAnsi"/>
        </w:rPr>
        <w:t xml:space="preserve"> GPPL, </w:t>
      </w:r>
      <w:proofErr w:type="spellStart"/>
      <w:r w:rsidR="00700987">
        <w:rPr>
          <w:rFonts w:asciiTheme="minorHAnsi" w:hAnsiTheme="minorHAnsi"/>
        </w:rPr>
        <w:t>Sevelamer</w:t>
      </w:r>
      <w:proofErr w:type="spellEnd"/>
      <w:r w:rsidR="00700987">
        <w:rPr>
          <w:rFonts w:asciiTheme="minorHAnsi" w:hAnsiTheme="minorHAnsi"/>
        </w:rPr>
        <w:t xml:space="preserve"> </w:t>
      </w:r>
      <w:proofErr w:type="spellStart"/>
      <w:r w:rsidR="00700987">
        <w:rPr>
          <w:rFonts w:asciiTheme="minorHAnsi" w:hAnsiTheme="minorHAnsi"/>
        </w:rPr>
        <w:t>GxP</w:t>
      </w:r>
      <w:proofErr w:type="spellEnd"/>
      <w:r w:rsidR="00700987">
        <w:rPr>
          <w:rFonts w:asciiTheme="minorHAnsi" w:hAnsiTheme="minorHAnsi"/>
        </w:rPr>
        <w:t xml:space="preserve">, </w:t>
      </w:r>
      <w:proofErr w:type="spellStart"/>
      <w:r w:rsidR="00700987">
        <w:rPr>
          <w:rFonts w:asciiTheme="minorHAnsi" w:hAnsiTheme="minorHAnsi"/>
        </w:rPr>
        <w:t>Seveligand</w:t>
      </w:r>
      <w:proofErr w:type="spellEnd"/>
      <w:r w:rsidR="00700987">
        <w:rPr>
          <w:rFonts w:asciiTheme="minorHAnsi" w:hAnsiTheme="minorHAnsi"/>
        </w:rPr>
        <w:t xml:space="preserve">, </w:t>
      </w:r>
      <w:proofErr w:type="spellStart"/>
      <w:r w:rsidR="00700987">
        <w:rPr>
          <w:rFonts w:asciiTheme="minorHAnsi" w:hAnsiTheme="minorHAnsi"/>
        </w:rPr>
        <w:t>Phosligand</w:t>
      </w:r>
      <w:proofErr w:type="spellEnd"/>
      <w:r w:rsidR="00700987">
        <w:rPr>
          <w:rFonts w:asciiTheme="minorHAnsi" w:hAnsiTheme="minorHAnsi"/>
        </w:rPr>
        <w:t>, APO-</w:t>
      </w:r>
      <w:proofErr w:type="spellStart"/>
      <w:r w:rsidR="00700987">
        <w:rPr>
          <w:rFonts w:asciiTheme="minorHAnsi" w:hAnsiTheme="minorHAnsi"/>
        </w:rPr>
        <w:t>Sevelamer</w:t>
      </w:r>
      <w:proofErr w:type="spellEnd"/>
      <w:r w:rsidR="00700987">
        <w:rPr>
          <w:rFonts w:asciiTheme="minorHAnsi" w:hAnsiTheme="minorHAnsi"/>
        </w:rPr>
        <w:t>, APOTEX-</w:t>
      </w:r>
      <w:proofErr w:type="spellStart"/>
      <w:r w:rsidR="00700987">
        <w:rPr>
          <w:rFonts w:asciiTheme="minorHAnsi" w:hAnsiTheme="minorHAnsi"/>
        </w:rPr>
        <w:t>Sevelamer</w:t>
      </w:r>
      <w:proofErr w:type="spellEnd"/>
      <w:r w:rsidR="00700987">
        <w:rPr>
          <w:rFonts w:asciiTheme="minorHAnsi" w:hAnsiTheme="minorHAnsi"/>
        </w:rPr>
        <w:t>,</w:t>
      </w:r>
      <w:r w:rsidR="000325C5">
        <w:rPr>
          <w:rFonts w:asciiTheme="minorHAnsi" w:hAnsiTheme="minorHAnsi"/>
        </w:rPr>
        <w:t xml:space="preserve"> </w:t>
      </w:r>
      <w:proofErr w:type="spellStart"/>
      <w:r w:rsidR="00700987">
        <w:rPr>
          <w:rFonts w:asciiTheme="minorHAnsi" w:hAnsiTheme="minorHAnsi"/>
        </w:rPr>
        <w:t>Chemmart</w:t>
      </w:r>
      <w:proofErr w:type="spellEnd"/>
      <w:r w:rsidR="00700987">
        <w:rPr>
          <w:rFonts w:asciiTheme="minorHAnsi" w:hAnsiTheme="minorHAnsi"/>
        </w:rPr>
        <w:t xml:space="preserve"> </w:t>
      </w:r>
      <w:proofErr w:type="spellStart"/>
      <w:r w:rsidR="00700987">
        <w:rPr>
          <w:rFonts w:asciiTheme="minorHAnsi" w:hAnsiTheme="minorHAnsi"/>
        </w:rPr>
        <w:t>Sevelamer</w:t>
      </w:r>
      <w:proofErr w:type="spellEnd"/>
      <w:r w:rsidR="00700987">
        <w:rPr>
          <w:rFonts w:asciiTheme="minorHAnsi" w:hAnsiTheme="minorHAnsi"/>
        </w:rPr>
        <w:t xml:space="preserve">, </w:t>
      </w:r>
      <w:proofErr w:type="spellStart"/>
      <w:r w:rsidR="00700987">
        <w:rPr>
          <w:rFonts w:asciiTheme="minorHAnsi" w:hAnsiTheme="minorHAnsi"/>
        </w:rPr>
        <w:t>GenRx</w:t>
      </w:r>
      <w:proofErr w:type="spellEnd"/>
      <w:r w:rsidR="00700987">
        <w:rPr>
          <w:rFonts w:asciiTheme="minorHAnsi" w:hAnsiTheme="minorHAnsi"/>
        </w:rPr>
        <w:t xml:space="preserve"> </w:t>
      </w:r>
      <w:proofErr w:type="spellStart"/>
      <w:r w:rsidR="00700987">
        <w:rPr>
          <w:rFonts w:asciiTheme="minorHAnsi" w:hAnsiTheme="minorHAnsi"/>
        </w:rPr>
        <w:t>Sevelamer</w:t>
      </w:r>
      <w:proofErr w:type="spellEnd"/>
      <w:r w:rsidR="00700987">
        <w:rPr>
          <w:rFonts w:asciiTheme="minorHAnsi" w:hAnsiTheme="minorHAnsi"/>
        </w:rPr>
        <w:t xml:space="preserve"> and Terry White Chemists </w:t>
      </w:r>
      <w:proofErr w:type="spellStart"/>
      <w:r w:rsidR="00700987">
        <w:rPr>
          <w:rFonts w:asciiTheme="minorHAnsi" w:hAnsiTheme="minorHAnsi"/>
        </w:rPr>
        <w:t>Sevelamer</w:t>
      </w:r>
      <w:proofErr w:type="spellEnd"/>
      <w:r w:rsidR="00700987">
        <w:rPr>
          <w:rFonts w:asciiTheme="minorHAnsi" w:hAnsiTheme="minorHAnsi"/>
        </w:rPr>
        <w:t xml:space="preserve"> should be approved for registration.</w:t>
      </w:r>
    </w:p>
    <w:p w:rsidR="00D23139" w:rsidRDefault="00D23139" w:rsidP="00D23139">
      <w:pPr>
        <w:pStyle w:val="Heading4"/>
      </w:pPr>
      <w:r w:rsidRPr="00D23139">
        <w:t>Request for ACPM advice</w:t>
      </w:r>
    </w:p>
    <w:p w:rsidR="00700987" w:rsidRDefault="00700987" w:rsidP="00700987">
      <w:pPr>
        <w:rPr>
          <w:rFonts w:asciiTheme="minorHAnsi" w:hAnsiTheme="minorHAnsi"/>
        </w:rPr>
      </w:pPr>
      <w:r>
        <w:rPr>
          <w:rFonts w:asciiTheme="minorHAnsi" w:hAnsiTheme="minorHAnsi"/>
        </w:rPr>
        <w:t>The committee is requested to provide advice on the following specific issues:</w:t>
      </w:r>
    </w:p>
    <w:p w:rsidR="00700987" w:rsidRDefault="00700987" w:rsidP="00356627">
      <w:pPr>
        <w:pStyle w:val="Numberbullet0"/>
        <w:numPr>
          <w:ilvl w:val="0"/>
          <w:numId w:val="29"/>
        </w:numPr>
      </w:pPr>
      <w:r>
        <w:t xml:space="preserve">Does this generic product contain the same quantitative composition of therapeutically active substances, being substances of similar quality to those used in </w:t>
      </w:r>
      <w:proofErr w:type="spellStart"/>
      <w:r>
        <w:t>Renagel</w:t>
      </w:r>
      <w:proofErr w:type="spellEnd"/>
      <w:r>
        <w:t>?</w:t>
      </w:r>
    </w:p>
    <w:p w:rsidR="00700987" w:rsidRDefault="00700987" w:rsidP="00356627">
      <w:pPr>
        <w:pStyle w:val="Numberbullet0"/>
        <w:numPr>
          <w:ilvl w:val="0"/>
          <w:numId w:val="29"/>
        </w:numPr>
      </w:pPr>
      <w:r>
        <w:t xml:space="preserve">Are the differences observed in the drug substance (total </w:t>
      </w:r>
      <w:proofErr w:type="spellStart"/>
      <w:r>
        <w:t>titratable</w:t>
      </w:r>
      <w:proofErr w:type="spellEnd"/>
      <w:r>
        <w:t xml:space="preserve"> amines and swell index) of clinical concern that this generic may not have the same safety and efficacy properties as </w:t>
      </w:r>
      <w:proofErr w:type="spellStart"/>
      <w:r>
        <w:t>Renagel</w:t>
      </w:r>
      <w:proofErr w:type="spellEnd"/>
      <w:r>
        <w:t>?</w:t>
      </w:r>
    </w:p>
    <w:p w:rsidR="00700987" w:rsidRDefault="00700987" w:rsidP="00356627">
      <w:pPr>
        <w:pStyle w:val="Numberbullet0"/>
        <w:numPr>
          <w:ilvl w:val="0"/>
          <w:numId w:val="29"/>
        </w:numPr>
      </w:pPr>
      <w:r>
        <w:t xml:space="preserve">Has sufficient data been presented from the </w:t>
      </w:r>
      <w:r w:rsidRPr="00475509">
        <w:t>in vitro</w:t>
      </w:r>
      <w:r>
        <w:t xml:space="preserve"> studies to demonstrate equivalence between this generic and </w:t>
      </w:r>
      <w:proofErr w:type="spellStart"/>
      <w:r>
        <w:t>Renagel</w:t>
      </w:r>
      <w:proofErr w:type="spellEnd"/>
      <w:r>
        <w:t xml:space="preserve"> or should the sponsor undertake further testing?</w:t>
      </w:r>
    </w:p>
    <w:p w:rsidR="00700987" w:rsidRDefault="00700987" w:rsidP="00356627">
      <w:pPr>
        <w:pStyle w:val="Numberbullet0"/>
        <w:numPr>
          <w:ilvl w:val="0"/>
          <w:numId w:val="29"/>
        </w:numPr>
      </w:pPr>
      <w:r>
        <w:t xml:space="preserve">Should the sponsor conduct some form of clinical study such as a </w:t>
      </w:r>
      <w:proofErr w:type="spellStart"/>
      <w:r>
        <w:t>pharmacodynamic</w:t>
      </w:r>
      <w:proofErr w:type="spellEnd"/>
      <w:r>
        <w:t xml:space="preserve"> study to support the efficacy and safety of this generic compared with the reference?</w:t>
      </w:r>
    </w:p>
    <w:p w:rsidR="00700987" w:rsidRDefault="00700987" w:rsidP="00700987">
      <w:pPr>
        <w:rPr>
          <w:rFonts w:asciiTheme="minorHAnsi" w:hAnsiTheme="minorHAnsi"/>
        </w:rPr>
      </w:pPr>
      <w:r>
        <w:rPr>
          <w:rFonts w:asciiTheme="minorHAnsi" w:hAnsiTheme="minorHAnsi"/>
        </w:rPr>
        <w:t>The committee is also requested to provide advice on any other issues that it thinks may be relevant to a decision on whether or not to approve this application.</w:t>
      </w:r>
    </w:p>
    <w:p w:rsidR="00700987" w:rsidRDefault="00700987" w:rsidP="00475509">
      <w:pPr>
        <w:pStyle w:val="Heading4"/>
      </w:pPr>
      <w:r>
        <w:lastRenderedPageBreak/>
        <w:t xml:space="preserve">Questions for the </w:t>
      </w:r>
      <w:r w:rsidR="00475509">
        <w:t>s</w:t>
      </w:r>
      <w:r>
        <w:t xml:space="preserve">ponsor: </w:t>
      </w:r>
    </w:p>
    <w:p w:rsidR="00700987" w:rsidRDefault="00700987" w:rsidP="00700987">
      <w:pPr>
        <w:spacing w:before="0" w:after="0" w:line="240" w:lineRule="auto"/>
        <w:jc w:val="both"/>
      </w:pPr>
      <w:r>
        <w:t>The sponsor is requested to address the following issues in the Pre-ACPM Response:</w:t>
      </w:r>
    </w:p>
    <w:p w:rsidR="00700987" w:rsidRDefault="00700987" w:rsidP="00356627">
      <w:pPr>
        <w:pStyle w:val="Numberbullet0"/>
        <w:numPr>
          <w:ilvl w:val="0"/>
          <w:numId w:val="28"/>
        </w:numPr>
      </w:pPr>
      <w:r>
        <w:t xml:space="preserve">Is the sponsor intending to conduct any further </w:t>
      </w:r>
      <w:r w:rsidRPr="00356627">
        <w:rPr>
          <w:i/>
        </w:rPr>
        <w:t>in vitro</w:t>
      </w:r>
      <w:r>
        <w:t xml:space="preserve"> testing consistent with the FDA guidance on </w:t>
      </w:r>
      <w:proofErr w:type="spellStart"/>
      <w:r>
        <w:t>sevelamer</w:t>
      </w:r>
      <w:proofErr w:type="spellEnd"/>
      <w:r>
        <w:t>?</w:t>
      </w:r>
    </w:p>
    <w:p w:rsidR="00700987" w:rsidRDefault="00700987" w:rsidP="00356627">
      <w:pPr>
        <w:pStyle w:val="Numberbullet0"/>
        <w:numPr>
          <w:ilvl w:val="0"/>
          <w:numId w:val="28"/>
        </w:numPr>
      </w:pPr>
      <w:r>
        <w:t xml:space="preserve">Is the sponsor intending to further refine the specifications so that the total </w:t>
      </w:r>
      <w:proofErr w:type="spellStart"/>
      <w:r>
        <w:t>titratable</w:t>
      </w:r>
      <w:proofErr w:type="spellEnd"/>
      <w:r>
        <w:t xml:space="preserve"> amines and swell index will comply with the draft USP monograph? </w:t>
      </w:r>
    </w:p>
    <w:p w:rsidR="00700987" w:rsidRDefault="00700987" w:rsidP="00356627">
      <w:pPr>
        <w:pStyle w:val="Numberbullet0"/>
        <w:numPr>
          <w:ilvl w:val="0"/>
          <w:numId w:val="28"/>
        </w:numPr>
      </w:pPr>
      <w:r>
        <w:t>What is the current status of the submission in Germany, have any concerns been raised regarding this submission and when is an outcome expected?</w:t>
      </w:r>
    </w:p>
    <w:p w:rsidR="00700987" w:rsidRPr="00700987" w:rsidRDefault="00700987" w:rsidP="00700987">
      <w:r>
        <w:t xml:space="preserve">Has this generic product been registered anywhere globally and if so, are any </w:t>
      </w:r>
      <w:proofErr w:type="spellStart"/>
      <w:r>
        <w:t>postmarket</w:t>
      </w:r>
      <w:proofErr w:type="spellEnd"/>
      <w:r>
        <w:t xml:space="preserve"> data available?</w:t>
      </w:r>
    </w:p>
    <w:p w:rsidR="00D23139" w:rsidRDefault="00D23139" w:rsidP="00D23139">
      <w:pPr>
        <w:pStyle w:val="Heading4"/>
      </w:pPr>
      <w:r w:rsidRPr="00D23139">
        <w:t xml:space="preserve">Response from </w:t>
      </w:r>
      <w:r w:rsidR="00247512">
        <w:t>s</w:t>
      </w:r>
      <w:r w:rsidR="00503002">
        <w:t>ponsor</w:t>
      </w:r>
    </w:p>
    <w:p w:rsidR="002D64ED" w:rsidRDefault="00FC5AAB" w:rsidP="00503002">
      <w:r>
        <w:t xml:space="preserve">Regulatory approval of generic products without bioequivalence or other </w:t>
      </w:r>
      <w:r w:rsidRPr="00D272B8">
        <w:rPr>
          <w:iCs/>
        </w:rPr>
        <w:t>in vivo</w:t>
      </w:r>
      <w:r>
        <w:rPr>
          <w:i/>
          <w:iCs/>
        </w:rPr>
        <w:t xml:space="preserve"> </w:t>
      </w:r>
      <w:r>
        <w:t>data in humans is now commonplace in Australia and other comparable regulated markets. Since the development of the Biopharmaceutical Classification System (BCS) in the USA about 20 years ago, many products have been able to obtain a waiver from the requirement to provide such human data as part of the data package and have been approved on chemistry and manufacturing data alone</w:t>
      </w:r>
      <w:r w:rsidR="002D64ED">
        <w:t>.</w:t>
      </w:r>
    </w:p>
    <w:p w:rsidR="002D64ED" w:rsidRDefault="00FC5AAB" w:rsidP="00503002">
      <w:proofErr w:type="spellStart"/>
      <w:r>
        <w:t>Biowaivers</w:t>
      </w:r>
      <w:proofErr w:type="spellEnd"/>
      <w:r>
        <w:t xml:space="preserve"> under the BCS are now included in both FDA and EU bioequivalence guidelines; the EU guideline has been formally adopted by TGA. TGA has approved a number of such products using a BCS </w:t>
      </w:r>
      <w:proofErr w:type="spellStart"/>
      <w:r>
        <w:t>biowaiver</w:t>
      </w:r>
      <w:proofErr w:type="spellEnd"/>
      <w:r>
        <w:t xml:space="preserve"> without bioequivalence or other </w:t>
      </w:r>
      <w:r w:rsidRPr="00D272B8">
        <w:rPr>
          <w:iCs/>
        </w:rPr>
        <w:t>in vivo</w:t>
      </w:r>
      <w:r>
        <w:rPr>
          <w:i/>
          <w:iCs/>
        </w:rPr>
        <w:t xml:space="preserve"> </w:t>
      </w:r>
      <w:r>
        <w:t xml:space="preserve">data over recent years, including a number </w:t>
      </w:r>
      <w:r w:rsidR="00D272B8">
        <w:t xml:space="preserve">of applications </w:t>
      </w:r>
      <w:r>
        <w:t xml:space="preserve">sponsored by Generic Partners. These products are given </w:t>
      </w:r>
      <w:r w:rsidR="00D272B8">
        <w:t>Pharmaceutical Benefit Scheme (</w:t>
      </w:r>
      <w:r>
        <w:t>PBS</w:t>
      </w:r>
      <w:r w:rsidR="00D272B8">
        <w:t>)</w:t>
      </w:r>
      <w:r>
        <w:t xml:space="preserve"> listing and can be marketed to patients without prior clinical experience in humans</w:t>
      </w:r>
      <w:r w:rsidR="002D64ED">
        <w:t>.</w:t>
      </w:r>
    </w:p>
    <w:p w:rsidR="002D64ED" w:rsidRDefault="00FC5AAB" w:rsidP="00503002">
      <w:r>
        <w:t xml:space="preserve">One purpose of such waivers (as discussed in the US Code of Federal Regulations) is to reduce the need for unnecessary </w:t>
      </w:r>
      <w:r w:rsidRPr="00D272B8">
        <w:rPr>
          <w:iCs/>
        </w:rPr>
        <w:t>in vivo</w:t>
      </w:r>
      <w:r>
        <w:rPr>
          <w:i/>
          <w:iCs/>
        </w:rPr>
        <w:t xml:space="preserve"> </w:t>
      </w:r>
      <w:r>
        <w:t>clinical trials and exposure of human subjects to unnecessary risks, when alternatives are available that allow a conclusion of bioequivalence to be made</w:t>
      </w:r>
      <w:r w:rsidR="002D64ED">
        <w:t>.</w:t>
      </w:r>
    </w:p>
    <w:p w:rsidR="002D64ED" w:rsidRDefault="00FC5AAB" w:rsidP="00503002">
      <w:r>
        <w:t xml:space="preserve">In this case, the US FDA has provided a recommendation that bioequivalence of generic </w:t>
      </w:r>
      <w:proofErr w:type="spellStart"/>
      <w:r>
        <w:t>sevelamer</w:t>
      </w:r>
      <w:proofErr w:type="spellEnd"/>
      <w:r>
        <w:t xml:space="preserve"> products can be adequately demonstrated using an </w:t>
      </w:r>
      <w:r w:rsidRPr="00D272B8">
        <w:rPr>
          <w:iCs/>
        </w:rPr>
        <w:t>in vitro</w:t>
      </w:r>
      <w:r>
        <w:rPr>
          <w:i/>
          <w:iCs/>
        </w:rPr>
        <w:t xml:space="preserve"> </w:t>
      </w:r>
      <w:r>
        <w:t xml:space="preserve">phosphate binding assay in place of the human bioequivalence study normally required for approval of generic products. The rationale for this is that </w:t>
      </w:r>
      <w:proofErr w:type="spellStart"/>
      <w:r>
        <w:t>sevelamer</w:t>
      </w:r>
      <w:proofErr w:type="spellEnd"/>
      <w:r>
        <w:t xml:space="preserve"> is an insoluble, non-absorbed ion-exchange polymer that is taken orally to chemically bind phosphate in the </w:t>
      </w:r>
      <w:r w:rsidR="00D272B8">
        <w:t>gastrointestinal (</w:t>
      </w:r>
      <w:r>
        <w:t>GI</w:t>
      </w:r>
      <w:r w:rsidR="00D272B8">
        <w:t>)</w:t>
      </w:r>
      <w:r>
        <w:t xml:space="preserve"> tract and thereby prevent phosphate being absorbed into the systemic circulation. As the drug is not absorbed, it has no systemic action</w:t>
      </w:r>
      <w:r w:rsidR="002D64ED">
        <w:t>.</w:t>
      </w:r>
    </w:p>
    <w:p w:rsidR="002D64ED" w:rsidRDefault="00FC5AAB" w:rsidP="00503002">
      <w:r>
        <w:t xml:space="preserve">This approach is not unique to </w:t>
      </w:r>
      <w:proofErr w:type="spellStart"/>
      <w:r>
        <w:t>sevelamer</w:t>
      </w:r>
      <w:proofErr w:type="spellEnd"/>
      <w:r>
        <w:t xml:space="preserve">, with other drugs (such as </w:t>
      </w:r>
      <w:proofErr w:type="spellStart"/>
      <w:r>
        <w:t>cholestyramine</w:t>
      </w:r>
      <w:proofErr w:type="spellEnd"/>
      <w:r>
        <w:t xml:space="preserve"> and lanthanum carbonate) that act with the GI tract also having recommendations from the FDA that bioequivalence can be demonstrated by </w:t>
      </w:r>
      <w:r w:rsidRPr="00D272B8">
        <w:rPr>
          <w:iCs/>
        </w:rPr>
        <w:t>in vitro</w:t>
      </w:r>
      <w:r>
        <w:rPr>
          <w:i/>
          <w:iCs/>
        </w:rPr>
        <w:t xml:space="preserve"> </w:t>
      </w:r>
      <w:r>
        <w:t>binding studies analogous to that recommended for this product</w:t>
      </w:r>
      <w:r w:rsidR="002D64ED">
        <w:t>.</w:t>
      </w:r>
    </w:p>
    <w:p w:rsidR="002D64ED" w:rsidRDefault="00FC5AAB" w:rsidP="00503002">
      <w:r>
        <w:t xml:space="preserve">This approach is also consistent with published TGA guidelines. TGA Guidance 15: Biopharmaceutical Studies, which states that biopharmaceutical data is not required for medicines that are not systemically or locally absorbed and specifically refers to </w:t>
      </w:r>
      <w:r w:rsidR="00F77E39">
        <w:t>‘</w:t>
      </w:r>
      <w:proofErr w:type="spellStart"/>
      <w:r>
        <w:t>nonbiodegradable</w:t>
      </w:r>
      <w:proofErr w:type="spellEnd"/>
      <w:r>
        <w:t xml:space="preserve"> ion-exchange resins</w:t>
      </w:r>
      <w:r w:rsidR="00F77E39">
        <w:t>’</w:t>
      </w:r>
      <w:r>
        <w:t xml:space="preserve"> and </w:t>
      </w:r>
      <w:r w:rsidR="00F77E39">
        <w:t>‘</w:t>
      </w:r>
      <w:r>
        <w:t>other non-degradable long chain polymers</w:t>
      </w:r>
      <w:r w:rsidR="00F77E39">
        <w:t>’</w:t>
      </w:r>
      <w:r w:rsidR="002D64ED">
        <w:t>.</w:t>
      </w:r>
    </w:p>
    <w:p w:rsidR="002D64ED" w:rsidRDefault="00FC5AAB" w:rsidP="00503002">
      <w:r w:rsidRPr="00FC5AAB">
        <w:t xml:space="preserve">In this application, </w:t>
      </w:r>
      <w:r w:rsidR="00D272B8">
        <w:t xml:space="preserve">the sponsor </w:t>
      </w:r>
      <w:r w:rsidRPr="00FC5AAB">
        <w:t xml:space="preserve">demonstrated that the </w:t>
      </w:r>
      <w:r w:rsidRPr="00D272B8">
        <w:rPr>
          <w:iCs/>
        </w:rPr>
        <w:t>in vitro</w:t>
      </w:r>
      <w:r w:rsidRPr="00FC5AAB">
        <w:rPr>
          <w:i/>
          <w:iCs/>
        </w:rPr>
        <w:t xml:space="preserve"> </w:t>
      </w:r>
      <w:r w:rsidRPr="00FC5AAB">
        <w:t xml:space="preserve">phosphate binding of the proposed generic </w:t>
      </w:r>
      <w:proofErr w:type="spellStart"/>
      <w:r w:rsidRPr="00FC5AAB">
        <w:t>sevelamer</w:t>
      </w:r>
      <w:proofErr w:type="spellEnd"/>
      <w:r w:rsidRPr="00FC5AAB">
        <w:t xml:space="preserve"> hydrochloride tablets is equivalent to the innovator </w:t>
      </w:r>
      <w:proofErr w:type="spellStart"/>
      <w:r w:rsidRPr="00FC5AAB">
        <w:t>Renagel</w:t>
      </w:r>
      <w:proofErr w:type="spellEnd"/>
      <w:r w:rsidRPr="00FC5AAB">
        <w:t xml:space="preserve"> and therefore the two products can be taken to be clinically equivalent. Consistent with the requirements of the US FDA, an agency with comparable regulatory standards to the TGA, further clinical studies should therefore not be required and could be perceived to be unethical in view of appropriate </w:t>
      </w:r>
      <w:r w:rsidRPr="00D272B8">
        <w:rPr>
          <w:iCs/>
        </w:rPr>
        <w:t>in vitro</w:t>
      </w:r>
      <w:r w:rsidRPr="00FC5AAB">
        <w:rPr>
          <w:i/>
          <w:iCs/>
        </w:rPr>
        <w:t xml:space="preserve"> </w:t>
      </w:r>
      <w:r w:rsidRPr="00FC5AAB">
        <w:t>testing methods being established</w:t>
      </w:r>
      <w:r w:rsidR="002D64ED">
        <w:t>.</w:t>
      </w:r>
    </w:p>
    <w:p w:rsidR="002D64ED" w:rsidRDefault="00FC5AAB" w:rsidP="00D272B8">
      <w:r w:rsidRPr="00FC5AAB">
        <w:lastRenderedPageBreak/>
        <w:t xml:space="preserve">In addition to the current application to the TGA, the same generic product has been submitted by </w:t>
      </w:r>
      <w:r w:rsidR="00D272B8">
        <w:t xml:space="preserve">a </w:t>
      </w:r>
      <w:r w:rsidRPr="00FC5AAB">
        <w:t xml:space="preserve">product manufacturer in Germany, using an identical data package as submitted to the TGA. Although questions have been received, the German agency has not raised any issues in relation to the </w:t>
      </w:r>
      <w:r w:rsidRPr="00D272B8">
        <w:rPr>
          <w:iCs/>
        </w:rPr>
        <w:t>in vitro</w:t>
      </w:r>
      <w:r w:rsidRPr="00FC5AAB">
        <w:rPr>
          <w:i/>
          <w:iCs/>
        </w:rPr>
        <w:t xml:space="preserve"> </w:t>
      </w:r>
      <w:r w:rsidRPr="00FC5AAB">
        <w:t xml:space="preserve">equivalence approach or the conduct of the </w:t>
      </w:r>
      <w:r w:rsidRPr="00D272B8">
        <w:rPr>
          <w:iCs/>
        </w:rPr>
        <w:t>in vitro</w:t>
      </w:r>
      <w:r w:rsidRPr="00FC5AAB">
        <w:rPr>
          <w:i/>
          <w:iCs/>
        </w:rPr>
        <w:t xml:space="preserve"> </w:t>
      </w:r>
      <w:r w:rsidRPr="00FC5AAB">
        <w:t>studies</w:t>
      </w:r>
      <w:r w:rsidR="00D272B8">
        <w:t xml:space="preserve"> with the sponsor</w:t>
      </w:r>
      <w:r w:rsidRPr="00FC5AAB">
        <w:t xml:space="preserve">; these questions have been shared previously with TGA. It is also worth noting that USV has also submitted an application for the alternative salt form, </w:t>
      </w:r>
      <w:proofErr w:type="spellStart"/>
      <w:r w:rsidRPr="00FC5AAB">
        <w:t>sevelamer</w:t>
      </w:r>
      <w:proofErr w:type="spellEnd"/>
      <w:r w:rsidRPr="00FC5AAB">
        <w:t xml:space="preserve"> carbonate which is based on a comparable </w:t>
      </w:r>
      <w:r w:rsidRPr="00D272B8">
        <w:rPr>
          <w:iCs/>
        </w:rPr>
        <w:t>in vitro</w:t>
      </w:r>
      <w:r w:rsidRPr="00FC5AAB">
        <w:rPr>
          <w:i/>
          <w:iCs/>
        </w:rPr>
        <w:t xml:space="preserve"> </w:t>
      </w:r>
      <w:r w:rsidRPr="00FC5AAB">
        <w:t>equivalence strategy and dataset and this application has been accepted and is currently under review by the FDA</w:t>
      </w:r>
      <w:r w:rsidR="002D64ED">
        <w:t>.</w:t>
      </w:r>
    </w:p>
    <w:p w:rsidR="00FC5AAB" w:rsidRPr="00531D60" w:rsidRDefault="00FC5AAB" w:rsidP="00503002">
      <w:pPr>
        <w:pStyle w:val="Heading5"/>
      </w:pPr>
      <w:r w:rsidRPr="00531D60">
        <w:t>Quantitative composition of therapeutically active substances</w:t>
      </w:r>
      <w:r w:rsidR="00503002">
        <w:t xml:space="preserve"> and similar quality to </w:t>
      </w:r>
      <w:proofErr w:type="spellStart"/>
      <w:r w:rsidR="00503002">
        <w:t>Renagel</w:t>
      </w:r>
      <w:proofErr w:type="spellEnd"/>
    </w:p>
    <w:p w:rsidR="002D64ED" w:rsidRDefault="00FC5AAB" w:rsidP="00FD6342">
      <w:r w:rsidRPr="00FC5AAB">
        <w:t xml:space="preserve">One of the main concerns highlighted by the TGA is the quantitative composition of the therapeutically active substances in the generic product and whether the substances are of similar quality to those used in </w:t>
      </w:r>
      <w:proofErr w:type="spellStart"/>
      <w:r w:rsidRPr="00FC5AAB">
        <w:t>Renagel</w:t>
      </w:r>
      <w:proofErr w:type="spellEnd"/>
      <w:r w:rsidRPr="00FC5AAB">
        <w:t xml:space="preserve">. Specifically, the issue was regarding slight differences in the specifications proposed for </w:t>
      </w:r>
      <w:proofErr w:type="spellStart"/>
      <w:r w:rsidRPr="00FC5AAB">
        <w:t>titratable</w:t>
      </w:r>
      <w:proofErr w:type="spellEnd"/>
      <w:r w:rsidRPr="00FC5AAB">
        <w:t xml:space="preserve"> amines and swell index tests</w:t>
      </w:r>
      <w:r w:rsidR="002D64ED">
        <w:t>.</w:t>
      </w:r>
    </w:p>
    <w:p w:rsidR="002D64ED" w:rsidRDefault="00FC5AAB" w:rsidP="00D272B8">
      <w:r w:rsidRPr="00FC5AAB">
        <w:t xml:space="preserve">The </w:t>
      </w:r>
      <w:r w:rsidR="00D272B8">
        <w:t>s</w:t>
      </w:r>
      <w:r w:rsidRPr="00FC5AAB">
        <w:t xml:space="preserve">ponsor accepts the </w:t>
      </w:r>
      <w:r w:rsidR="00D272B8">
        <w:t>quality</w:t>
      </w:r>
      <w:r w:rsidRPr="00FC5AAB">
        <w:t xml:space="preserve"> evaluator’s conclusion that </w:t>
      </w:r>
      <w:r w:rsidR="00F77E39">
        <w:t>‘</w:t>
      </w:r>
      <w:r w:rsidRPr="00D272B8">
        <w:rPr>
          <w:i/>
        </w:rPr>
        <w:t>the only way to ensure equivalence between the proposed and reference products was if their respective drug substance and drug product specifications were matched</w:t>
      </w:r>
      <w:r w:rsidR="00F77E39">
        <w:t>’</w:t>
      </w:r>
      <w:r w:rsidR="002D64ED">
        <w:t>.</w:t>
      </w:r>
    </w:p>
    <w:p w:rsidR="002D64ED" w:rsidRDefault="00FC5AAB" w:rsidP="00503002">
      <w:r w:rsidRPr="00FC5AAB">
        <w:t xml:space="preserve">In response, the </w:t>
      </w:r>
      <w:r w:rsidR="00D272B8">
        <w:t>s</w:t>
      </w:r>
      <w:r w:rsidRPr="00FC5AAB">
        <w:t xml:space="preserve">ponsor would like to inform the TGA and ACPM that the manufacturer, </w:t>
      </w:r>
      <w:r w:rsidRPr="00DC5E9C">
        <w:t xml:space="preserve">has agreed to adopt the </w:t>
      </w:r>
      <w:proofErr w:type="spellStart"/>
      <w:r w:rsidRPr="00DC5E9C">
        <w:t>titratable</w:t>
      </w:r>
      <w:proofErr w:type="spellEnd"/>
      <w:r w:rsidRPr="00DC5E9C">
        <w:t xml:space="preserve"> amines and swell index limits to comply with the draft USP monographs. With</w:t>
      </w:r>
      <w:r w:rsidRPr="00FC5AAB">
        <w:t xml:space="preserve"> these specification revisions (discussed in more detail below), the proposed generic active substance and drug product will be fully compliant with all the tests included in the draft USP monograph</w:t>
      </w:r>
      <w:r w:rsidR="002D64ED">
        <w:t>.</w:t>
      </w:r>
    </w:p>
    <w:p w:rsidR="002D64ED" w:rsidRDefault="00FC5AAB" w:rsidP="00503002">
      <w:r w:rsidRPr="00FC5AAB">
        <w:t>The manufacturer will also revise the specification limit for phosphate binding in accordance with the TGA’s request. The phosphate binding capacity test is not mandated by the draft USP monograph but its inclusion as a routine quality control provides additional assurance of the quality of the drug substance and product with respect to its key quality and clinical parameter</w:t>
      </w:r>
      <w:r w:rsidR="002D64ED">
        <w:t>.</w:t>
      </w:r>
    </w:p>
    <w:p w:rsidR="002D64ED" w:rsidRDefault="00FC5AAB" w:rsidP="00503002">
      <w:r w:rsidRPr="00FC5AAB">
        <w:t xml:space="preserve">In adopting the draft USP monograph specifications, the quantitative composition of the generic product will be the same quantitative composition of therapeutically active substance and therefore be of similar quality to </w:t>
      </w:r>
      <w:proofErr w:type="spellStart"/>
      <w:r w:rsidRPr="00FC5AAB">
        <w:t>Renagel</w:t>
      </w:r>
      <w:proofErr w:type="spellEnd"/>
      <w:r w:rsidRPr="00FC5AAB">
        <w:t xml:space="preserve">. Furthermore, in adopting the draft USP limits for </w:t>
      </w:r>
      <w:proofErr w:type="spellStart"/>
      <w:r w:rsidRPr="00FC5AAB">
        <w:t>titratable</w:t>
      </w:r>
      <w:proofErr w:type="spellEnd"/>
      <w:r w:rsidRPr="00FC5AAB">
        <w:t xml:space="preserve"> amines and swell index it is reasonable to predict the generic product will also have the same safety and efficacy properties as the reference. This assumption is also made for all generic drugs for which bioequivalence testing is conducted in small numbers of patients</w:t>
      </w:r>
      <w:r w:rsidR="002D64ED">
        <w:t>.</w:t>
      </w:r>
    </w:p>
    <w:p w:rsidR="00FC5AAB" w:rsidRPr="00FC5AAB" w:rsidRDefault="00503002" w:rsidP="00503002">
      <w:pPr>
        <w:pStyle w:val="Heading5"/>
      </w:pPr>
      <w:r>
        <w:t>Drug substance swell index</w:t>
      </w:r>
    </w:p>
    <w:p w:rsidR="00FC5AAB" w:rsidRDefault="00FC5AAB" w:rsidP="00FD6342">
      <w:r w:rsidRPr="00FC5AAB">
        <w:t xml:space="preserve">The drug substance specification for </w:t>
      </w:r>
      <w:r w:rsidRPr="00DC5E9C">
        <w:t>swell index will be tightened to match the draft USP</w:t>
      </w:r>
      <w:r w:rsidRPr="00FC5AAB">
        <w:t xml:space="preserve"> monograph limit of 6.2</w:t>
      </w:r>
      <w:r w:rsidR="00D272B8">
        <w:t xml:space="preserve"> to </w:t>
      </w:r>
      <w:r w:rsidRPr="00FC5AAB">
        <w:t>8.4 on the dried basis. Available batch analytical data demonstrates that the drug substance can comply with this quality control limit.</w:t>
      </w:r>
    </w:p>
    <w:p w:rsidR="002D64ED" w:rsidRDefault="00FC5AAB" w:rsidP="00FD6342">
      <w:r w:rsidRPr="00FC5AAB">
        <w:t xml:space="preserve">It should be noted that the swell index test is not a measure of the extent of swelling of the </w:t>
      </w:r>
      <w:proofErr w:type="spellStart"/>
      <w:r w:rsidRPr="00FC5AAB">
        <w:t>sevelamer</w:t>
      </w:r>
      <w:proofErr w:type="spellEnd"/>
      <w:r w:rsidRPr="00FC5AAB">
        <w:t xml:space="preserve"> particles in the drug substance. That is, a swell index result of, say 8.0, does not mean that the swollen drug substance particles are eight times larger than the </w:t>
      </w:r>
      <w:proofErr w:type="spellStart"/>
      <w:r w:rsidRPr="00FC5AAB">
        <w:t>unswollen</w:t>
      </w:r>
      <w:proofErr w:type="spellEnd"/>
      <w:r w:rsidRPr="00FC5AAB">
        <w:t xml:space="preserve"> ones. Rather, the swell index is the ratio of the increase in mass of the drug substance saturated with water to the weight of the original dry drug substance and is more a measure related to drug substance crosslinking</w:t>
      </w:r>
      <w:r w:rsidR="002D64ED">
        <w:t>.</w:t>
      </w:r>
    </w:p>
    <w:p w:rsidR="00FC5AAB" w:rsidRPr="00FC5AAB" w:rsidRDefault="00503002" w:rsidP="00503002">
      <w:pPr>
        <w:pStyle w:val="Heading5"/>
      </w:pPr>
      <w:proofErr w:type="spellStart"/>
      <w:r>
        <w:t>Titratable</w:t>
      </w:r>
      <w:proofErr w:type="spellEnd"/>
      <w:r>
        <w:t xml:space="preserve"> amines</w:t>
      </w:r>
    </w:p>
    <w:p w:rsidR="00FC5AAB" w:rsidRDefault="00FC5AAB" w:rsidP="00503002">
      <w:r w:rsidRPr="00FC5AAB">
        <w:t xml:space="preserve">The level of </w:t>
      </w:r>
      <w:proofErr w:type="spellStart"/>
      <w:r w:rsidRPr="00FC5AAB">
        <w:t>titratable</w:t>
      </w:r>
      <w:proofErr w:type="spellEnd"/>
      <w:r w:rsidRPr="00FC5AAB">
        <w:t xml:space="preserve"> amines will be tightened to match the limit</w:t>
      </w:r>
      <w:r w:rsidR="00255083">
        <w:t>s</w:t>
      </w:r>
      <w:r w:rsidRPr="00FC5AAB">
        <w:t xml:space="preserve"> of 11.3</w:t>
      </w:r>
      <w:r w:rsidR="00D272B8">
        <w:t xml:space="preserve"> to </w:t>
      </w:r>
      <w:r w:rsidRPr="00FC5AAB">
        <w:t xml:space="preserve">14.1 </w:t>
      </w:r>
      <w:proofErr w:type="spellStart"/>
      <w:r w:rsidRPr="00FC5AAB">
        <w:t>mmol</w:t>
      </w:r>
      <w:proofErr w:type="spellEnd"/>
      <w:r w:rsidRPr="00FC5AAB">
        <w:t>/g</w:t>
      </w:r>
      <w:r w:rsidR="00255083">
        <w:t xml:space="preserve"> indicated in the </w:t>
      </w:r>
      <w:r w:rsidR="00255083" w:rsidRPr="00FC5AAB">
        <w:t>draft USP monograph</w:t>
      </w:r>
      <w:r w:rsidRPr="00FC5AAB">
        <w:t xml:space="preserve"> for the drug substance and</w:t>
      </w:r>
      <w:r w:rsidR="00531D60">
        <w:t xml:space="preserve"> the</w:t>
      </w:r>
      <w:r w:rsidRPr="00FC5AAB">
        <w:t xml:space="preserve"> drug product. The identical limits for the drug substance and </w:t>
      </w:r>
      <w:r w:rsidR="00D4540A">
        <w:t xml:space="preserve">the </w:t>
      </w:r>
      <w:r w:rsidRPr="00FC5AAB">
        <w:t xml:space="preserve">drug product reflect the high proportion of active substance which constitutes the dose form. Due to the current absence of an </w:t>
      </w:r>
      <w:r w:rsidRPr="00FC5AAB">
        <w:lastRenderedPageBreak/>
        <w:t xml:space="preserve">independent </w:t>
      </w:r>
      <w:proofErr w:type="spellStart"/>
      <w:r w:rsidRPr="00FC5AAB">
        <w:t>compendial</w:t>
      </w:r>
      <w:proofErr w:type="spellEnd"/>
      <w:r w:rsidRPr="00FC5AAB">
        <w:t xml:space="preserve"> reference standard, a minor amendment to the unit of expression for the drug product limits has been agreed with the TGA whereby the level of </w:t>
      </w:r>
      <w:proofErr w:type="spellStart"/>
      <w:r w:rsidRPr="00FC5AAB">
        <w:t>titratable</w:t>
      </w:r>
      <w:proofErr w:type="spellEnd"/>
      <w:r w:rsidRPr="00FC5AAB">
        <w:t xml:space="preserve"> amines for the drug product will be expressed as an absolute value (</w:t>
      </w:r>
      <w:proofErr w:type="spellStart"/>
      <w:r w:rsidRPr="00FC5AAB">
        <w:t>mmol</w:t>
      </w:r>
      <w:proofErr w:type="spellEnd"/>
      <w:r w:rsidRPr="00FC5AAB">
        <w:t xml:space="preserve">/g) rather than a percentage of a reference standard as recommended in the draft monograph. Batch analytical data for </w:t>
      </w:r>
      <w:proofErr w:type="spellStart"/>
      <w:r w:rsidRPr="00FC5AAB">
        <w:t>titratable</w:t>
      </w:r>
      <w:proofErr w:type="spellEnd"/>
      <w:r w:rsidRPr="00FC5AAB">
        <w:t xml:space="preserve"> amines demonstrates that batches of the generic product can be manufactured to comply with the draft monograph. Importantly, the batch characterised in the </w:t>
      </w:r>
      <w:r w:rsidRPr="00D272B8">
        <w:rPr>
          <w:iCs/>
        </w:rPr>
        <w:t>in vitro</w:t>
      </w:r>
      <w:r w:rsidRPr="00FC5AAB">
        <w:rPr>
          <w:i/>
          <w:iCs/>
        </w:rPr>
        <w:t xml:space="preserve"> </w:t>
      </w:r>
      <w:r w:rsidRPr="00FC5AAB">
        <w:t>binding studies and included in the TGA submission meets the draft USP monograph limits. While a number of the batches manufactured to date are towards the lower USP limit for this parameter, the product manufacturer is able to select drug substance batches specifically to ensure these limits will be met for all batches supplied to the Australian market.</w:t>
      </w:r>
    </w:p>
    <w:p w:rsidR="00FC5AAB" w:rsidRPr="00FC5AAB" w:rsidRDefault="00503002" w:rsidP="00503002">
      <w:pPr>
        <w:pStyle w:val="Heading5"/>
      </w:pPr>
      <w:r>
        <w:t>Phosphate binding capacity</w:t>
      </w:r>
    </w:p>
    <w:p w:rsidR="00FC5AAB" w:rsidRDefault="00FC5AAB" w:rsidP="00FD6342">
      <w:r w:rsidRPr="00FC5AAB">
        <w:t xml:space="preserve">The </w:t>
      </w:r>
      <w:r w:rsidRPr="00D004AA">
        <w:t>manufacturer accepts the TGA’s recommendation to revise the limits for phosphate binding capacity to 5.2</w:t>
      </w:r>
      <w:r w:rsidR="00072B13" w:rsidRPr="00D004AA">
        <w:t xml:space="preserve"> </w:t>
      </w:r>
      <w:proofErr w:type="gramStart"/>
      <w:r w:rsidR="00072B13" w:rsidRPr="00D004AA">
        <w:t xml:space="preserve">to </w:t>
      </w:r>
      <w:r w:rsidRPr="00D004AA">
        <w:t xml:space="preserve">6.4 </w:t>
      </w:r>
      <w:proofErr w:type="spellStart"/>
      <w:r w:rsidRPr="00D004AA">
        <w:t>mmol</w:t>
      </w:r>
      <w:proofErr w:type="spellEnd"/>
      <w:r w:rsidRPr="00D004AA">
        <w:t>/g</w:t>
      </w:r>
      <w:proofErr w:type="gramEnd"/>
      <w:r w:rsidRPr="00D004AA">
        <w:t xml:space="preserve"> for the drug substance and drug product. Batch analytical data demonstrates that the manufacturer can comply with these limits</w:t>
      </w:r>
      <w:r w:rsidRPr="00FC5AAB">
        <w:t xml:space="preserve">. As discussed in relation to </w:t>
      </w:r>
      <w:proofErr w:type="spellStart"/>
      <w:r w:rsidRPr="00FC5AAB">
        <w:t>titratable</w:t>
      </w:r>
      <w:proofErr w:type="spellEnd"/>
      <w:r w:rsidRPr="00FC5AAB">
        <w:t xml:space="preserve"> amines, as multiple drug substance batches are combined to manufacture finished product tablets, the manufacturer can select drug substance batches to ensure phosphate binding characteristics comply with the specification limits.</w:t>
      </w:r>
    </w:p>
    <w:p w:rsidR="00E8019C" w:rsidRPr="00E8019C" w:rsidRDefault="00E8019C" w:rsidP="00503002">
      <w:pPr>
        <w:pStyle w:val="Heading6"/>
        <w:rPr>
          <w:rFonts w:eastAsiaTheme="minorHAnsi"/>
        </w:rPr>
      </w:pPr>
      <w:r w:rsidRPr="00E8019C">
        <w:rPr>
          <w:rFonts w:eastAsiaTheme="minorHAnsi"/>
        </w:rPr>
        <w:t>Phosphate binding and equiv</w:t>
      </w:r>
      <w:r w:rsidR="00503002">
        <w:rPr>
          <w:rFonts w:eastAsiaTheme="minorHAnsi"/>
        </w:rPr>
        <w:t>alence to the innovator product</w:t>
      </w:r>
    </w:p>
    <w:p w:rsidR="002D64ED" w:rsidRDefault="00E8019C" w:rsidP="00FD6342">
      <w:r w:rsidRPr="00E8019C">
        <w:t xml:space="preserve">In demonstrating that the generic product binds to phosphate in an equivalent manner to </w:t>
      </w:r>
      <w:proofErr w:type="spellStart"/>
      <w:r w:rsidRPr="00E8019C">
        <w:t>Renagel</w:t>
      </w:r>
      <w:proofErr w:type="spellEnd"/>
      <w:r w:rsidRPr="00E8019C">
        <w:t>, it is helpful to consider the mechanism of binding</w:t>
      </w:r>
      <w:r w:rsidR="002D64ED">
        <w:t>.</w:t>
      </w:r>
    </w:p>
    <w:p w:rsidR="002D64ED" w:rsidRDefault="00E8019C" w:rsidP="00FD6342">
      <w:r w:rsidRPr="00E8019C">
        <w:t xml:space="preserve">Phosphate binding to the active substance is chemical in nature involving electrostatic interactions and hydrogen bonding. In context of the simple chemical and diffusional nature of the binding interactions with the target phosphate, prediction of clinical efficacy using </w:t>
      </w:r>
      <w:r w:rsidRPr="00072B13">
        <w:rPr>
          <w:iCs/>
        </w:rPr>
        <w:t>in vitro</w:t>
      </w:r>
      <w:r w:rsidRPr="00E8019C">
        <w:rPr>
          <w:i/>
          <w:iCs/>
        </w:rPr>
        <w:t xml:space="preserve"> </w:t>
      </w:r>
      <w:r w:rsidRPr="00E8019C">
        <w:t>techniques is the most direct method for assessing equivalence for this non-systemically absorbed active substance. Given the tablets act locally within the gastrointestinal tract, disintegration of the tablets in the aqueous environment is the main prerequisite for binding and the generic tablets have been demonstrated to disintegrate rapidly approximately within 6</w:t>
      </w:r>
      <w:r w:rsidR="00072B13">
        <w:t xml:space="preserve"> to </w:t>
      </w:r>
      <w:r w:rsidRPr="00E8019C">
        <w:t>10 minutes</w:t>
      </w:r>
      <w:r w:rsidR="002D64ED">
        <w:t>.</w:t>
      </w:r>
    </w:p>
    <w:p w:rsidR="002D64ED" w:rsidRDefault="00E8019C" w:rsidP="00D4540A">
      <w:r w:rsidRPr="00E8019C">
        <w:t xml:space="preserve">The original </w:t>
      </w:r>
      <w:r w:rsidRPr="00072B13">
        <w:rPr>
          <w:iCs/>
        </w:rPr>
        <w:t>in vitro</w:t>
      </w:r>
      <w:r w:rsidRPr="00E8019C">
        <w:rPr>
          <w:i/>
          <w:iCs/>
        </w:rPr>
        <w:t xml:space="preserve"> </w:t>
      </w:r>
      <w:r w:rsidRPr="00E8019C">
        <w:t xml:space="preserve">bioequivalence studies included in the application were conducted between September 2010 and January 2011. The studies were conducted in accordance with the August 2010 FDA Draft Guidelines in place at the time of the study. It is common practice for authorities to accept data generated in accordance with the current guideline at the study initiation. The differences between the earlier version (August 2010) and the current version (August 2011) are minor and the </w:t>
      </w:r>
      <w:r w:rsidR="00072B13">
        <w:t>s</w:t>
      </w:r>
      <w:r w:rsidRPr="00E8019C">
        <w:t>ponsor does not consider that repeating the studies would provide additional information or affect the conclusion of equivalence demonstrated by comparable phosphate binding of the reference and generic product</w:t>
      </w:r>
      <w:r w:rsidR="002D64ED">
        <w:t>.</w:t>
      </w:r>
    </w:p>
    <w:p w:rsidR="00E8019C" w:rsidRPr="00E8019C" w:rsidRDefault="00E8019C" w:rsidP="00D4540A">
      <w:r w:rsidRPr="00E8019C">
        <w:t xml:space="preserve">The methods described in the two guidelines are essentially </w:t>
      </w:r>
      <w:r w:rsidR="00503002">
        <w:t>the same, with two differences:</w:t>
      </w:r>
    </w:p>
    <w:p w:rsidR="00E8019C" w:rsidRPr="00072B13" w:rsidRDefault="00E8019C" w:rsidP="00072B13">
      <w:pPr>
        <w:pStyle w:val="ListBullet"/>
      </w:pPr>
      <w:r w:rsidRPr="00072B13">
        <w:t xml:space="preserve">The earlier 2010 guideline states that a phosphate concentration range of 1 </w:t>
      </w:r>
      <w:proofErr w:type="spellStart"/>
      <w:r w:rsidRPr="00072B13">
        <w:t>mM</w:t>
      </w:r>
      <w:proofErr w:type="spellEnd"/>
      <w:r w:rsidRPr="00072B13">
        <w:t xml:space="preserve"> to 40 </w:t>
      </w:r>
      <w:proofErr w:type="spellStart"/>
      <w:r w:rsidRPr="00072B13">
        <w:t>mM</w:t>
      </w:r>
      <w:proofErr w:type="spellEnd"/>
      <w:r w:rsidRPr="00072B13">
        <w:t xml:space="preserve"> should be used in the study, while the more recent 2011 guideline does not include a recommended concentration range, only that it should be ensured that maximal bindi</w:t>
      </w:r>
      <w:r w:rsidR="00503002">
        <w:t>ng has been achieved;</w:t>
      </w:r>
    </w:p>
    <w:p w:rsidR="002D64ED" w:rsidRDefault="00E8019C" w:rsidP="00072B13">
      <w:pPr>
        <w:pStyle w:val="ListBullet"/>
      </w:pPr>
      <w:r w:rsidRPr="00072B13">
        <w:t>The 2011 guideline states that 12 replicates should be used at each test point, while the earlier 2010 guideline did not specify the number of replicates required</w:t>
      </w:r>
      <w:r w:rsidR="002D64ED">
        <w:t>.</w:t>
      </w:r>
    </w:p>
    <w:p w:rsidR="002D64ED" w:rsidRDefault="00E8019C" w:rsidP="00072B13">
      <w:pPr>
        <w:pStyle w:val="ListBullet"/>
      </w:pPr>
      <w:r w:rsidRPr="00072B13">
        <w:t xml:space="preserve">The phosphate concentration range of 1 </w:t>
      </w:r>
      <w:proofErr w:type="spellStart"/>
      <w:r w:rsidRPr="00072B13">
        <w:t>mM</w:t>
      </w:r>
      <w:proofErr w:type="spellEnd"/>
      <w:r w:rsidRPr="00072B13">
        <w:t xml:space="preserve"> to 40 </w:t>
      </w:r>
      <w:proofErr w:type="spellStart"/>
      <w:r w:rsidRPr="00072B13">
        <w:t>mM</w:t>
      </w:r>
      <w:proofErr w:type="spellEnd"/>
      <w:r w:rsidRPr="00072B13">
        <w:t xml:space="preserve"> used in the submitted study as defined by the August 2010 version of the FDA guidance. This concentration range is also consistent with the concentration range of 1 </w:t>
      </w:r>
      <w:proofErr w:type="spellStart"/>
      <w:r w:rsidRPr="00072B13">
        <w:t>mM</w:t>
      </w:r>
      <w:proofErr w:type="spellEnd"/>
      <w:r w:rsidRPr="00072B13">
        <w:t xml:space="preserve"> to 38.7 </w:t>
      </w:r>
      <w:proofErr w:type="spellStart"/>
      <w:r w:rsidRPr="00072B13">
        <w:t>mM</w:t>
      </w:r>
      <w:proofErr w:type="spellEnd"/>
      <w:r w:rsidRPr="00072B13">
        <w:t xml:space="preserve"> referenced in the </w:t>
      </w:r>
      <w:r w:rsidRPr="00072B13">
        <w:lastRenderedPageBreak/>
        <w:t xml:space="preserve">paper </w:t>
      </w:r>
      <w:r w:rsidRPr="00D91930">
        <w:t>published by Swearingen (2002)</w:t>
      </w:r>
      <w:r w:rsidR="00D91930" w:rsidRPr="00D91930">
        <w:rPr>
          <w:rStyle w:val="FootnoteReference"/>
        </w:rPr>
        <w:footnoteReference w:id="19"/>
      </w:r>
      <w:r w:rsidRPr="00D91930">
        <w:t>, upon</w:t>
      </w:r>
      <w:r w:rsidRPr="00072B13">
        <w:t xml:space="preserve"> which the FDA draft guideline methodology is based</w:t>
      </w:r>
      <w:r w:rsidR="002D64ED">
        <w:t>.</w:t>
      </w:r>
    </w:p>
    <w:p w:rsidR="002D64ED" w:rsidRDefault="00E8019C" w:rsidP="00503002">
      <w:pPr>
        <w:ind w:right="-285"/>
      </w:pPr>
      <w:r w:rsidRPr="00E8019C">
        <w:t xml:space="preserve">Although it appeared that saturation had been reached by 40 </w:t>
      </w:r>
      <w:proofErr w:type="spellStart"/>
      <w:r w:rsidRPr="00E8019C">
        <w:t>mM</w:t>
      </w:r>
      <w:proofErr w:type="spellEnd"/>
      <w:r w:rsidRPr="00E8019C">
        <w:t xml:space="preserve"> phosphate concentration, in response to a TGA question on this issue, a bridging study was performed to understand the impact of extending the concentration range further up to 70 </w:t>
      </w:r>
      <w:proofErr w:type="spellStart"/>
      <w:r w:rsidRPr="00E8019C">
        <w:t>mM.</w:t>
      </w:r>
      <w:proofErr w:type="spellEnd"/>
      <w:r w:rsidRPr="00E8019C">
        <w:t xml:space="preserve"> These additional studies indicated that the level of bound phosphate does not significantly increase above 40 </w:t>
      </w:r>
      <w:proofErr w:type="spellStart"/>
      <w:r w:rsidRPr="00E8019C">
        <w:t>mM</w:t>
      </w:r>
      <w:proofErr w:type="spellEnd"/>
      <w:r w:rsidRPr="00E8019C">
        <w:t xml:space="preserve"> such that </w:t>
      </w:r>
      <w:r w:rsidR="00072B13">
        <w:t>the sponsor was</w:t>
      </w:r>
      <w:r w:rsidRPr="00E8019C">
        <w:t xml:space="preserve"> confident that the maximal binding was encompassed by the original experimental design and confirming the validity of the results of the original study as performed</w:t>
      </w:r>
      <w:r w:rsidR="002D64ED">
        <w:t>.</w:t>
      </w:r>
    </w:p>
    <w:p w:rsidR="002D64ED" w:rsidRDefault="00E8019C" w:rsidP="00503002">
      <w:r w:rsidRPr="00E8019C">
        <w:t>The pivotal parameter for assessment of bioequivalence (</w:t>
      </w:r>
      <w:proofErr w:type="gramStart"/>
      <w:r w:rsidRPr="00E8019C">
        <w:t>k</w:t>
      </w:r>
      <w:r w:rsidR="00072B13" w:rsidRPr="00072B13">
        <w:rPr>
          <w:vertAlign w:val="subscript"/>
        </w:rPr>
        <w:t>2</w:t>
      </w:r>
      <w:proofErr w:type="gramEnd"/>
      <w:r w:rsidRPr="00E8019C">
        <w:t>) is calculated from a Langmuir plot using the gradient of the graph comparing the unbound/bound phosphate ratio to the unbound concentration. Importantly, both graphs (over 1</w:t>
      </w:r>
      <w:r w:rsidR="00072B13">
        <w:t xml:space="preserve"> to </w:t>
      </w:r>
      <w:r w:rsidRPr="00E8019C">
        <w:t xml:space="preserve">40 </w:t>
      </w:r>
      <w:proofErr w:type="spellStart"/>
      <w:r w:rsidRPr="00E8019C">
        <w:t>mM</w:t>
      </w:r>
      <w:proofErr w:type="spellEnd"/>
      <w:r w:rsidRPr="00E8019C">
        <w:t xml:space="preserve"> and 1</w:t>
      </w:r>
      <w:r w:rsidR="00072B13">
        <w:t xml:space="preserve"> to </w:t>
      </w:r>
      <w:r w:rsidRPr="00E8019C">
        <w:t xml:space="preserve">70 </w:t>
      </w:r>
      <w:proofErr w:type="spellStart"/>
      <w:r w:rsidRPr="00E8019C">
        <w:t>mM</w:t>
      </w:r>
      <w:proofErr w:type="spellEnd"/>
      <w:r w:rsidRPr="00E8019C">
        <w:t xml:space="preserve">) have very similar gradients and therefore gave comparable </w:t>
      </w:r>
      <w:proofErr w:type="gramStart"/>
      <w:r w:rsidRPr="00E8019C">
        <w:t>k</w:t>
      </w:r>
      <w:r w:rsidRPr="00E8019C">
        <w:rPr>
          <w:sz w:val="16"/>
          <w:szCs w:val="16"/>
        </w:rPr>
        <w:t>2</w:t>
      </w:r>
      <w:proofErr w:type="gramEnd"/>
      <w:r w:rsidRPr="00E8019C">
        <w:rPr>
          <w:sz w:val="16"/>
          <w:szCs w:val="16"/>
        </w:rPr>
        <w:t xml:space="preserve"> </w:t>
      </w:r>
      <w:r w:rsidRPr="00E8019C">
        <w:t xml:space="preserve">values. This provides clear evidence that extending the concentration range to 70 </w:t>
      </w:r>
      <w:proofErr w:type="spellStart"/>
      <w:r w:rsidRPr="00E8019C">
        <w:t>mM</w:t>
      </w:r>
      <w:proofErr w:type="spellEnd"/>
      <w:r w:rsidRPr="00E8019C">
        <w:t xml:space="preserve"> has little effect on the results of the study and the results of the original study as submitted stand valid. </w:t>
      </w:r>
      <w:r w:rsidR="00072B13">
        <w:t>T</w:t>
      </w:r>
      <w:r w:rsidRPr="00E8019C">
        <w:t xml:space="preserve">his bridging study </w:t>
      </w:r>
      <w:r w:rsidR="00072B13">
        <w:t>w</w:t>
      </w:r>
      <w:r w:rsidRPr="00E8019C">
        <w:t xml:space="preserve">as submitted </w:t>
      </w:r>
      <w:r w:rsidR="00072B13">
        <w:t xml:space="preserve">to the TGA </w:t>
      </w:r>
      <w:r w:rsidRPr="00E8019C">
        <w:t>in the Milestone 5 Response</w:t>
      </w:r>
      <w:r w:rsidR="002D64ED">
        <w:t>.</w:t>
      </w:r>
    </w:p>
    <w:p w:rsidR="002D64ED" w:rsidRDefault="00E8019C" w:rsidP="00FD6342">
      <w:r w:rsidRPr="00E8019C">
        <w:t xml:space="preserve">The use of 6 replicates was consistent with published studies at the time this study was conducted, although the FDA guideline did not specify the number required. Although the updated guideline stated that 12 replicates were to be used, </w:t>
      </w:r>
      <w:r w:rsidR="00072B13">
        <w:t>the sponsor</w:t>
      </w:r>
      <w:r w:rsidRPr="00E8019C">
        <w:t xml:space="preserve"> believe</w:t>
      </w:r>
      <w:r w:rsidR="00072B13">
        <w:t>s</w:t>
      </w:r>
      <w:r w:rsidRPr="00E8019C">
        <w:t xml:space="preserve"> that this change would have little effect on the study and the results can still be considered valid. In general, the width of a confidence interval is inversely proportional to the square root of the number of replicates used, such that the larger the number of replicates, the higher the study power and the narrower the confidence interval observed. Therefore, although the change in the number of replicates would not be expected to have a significant effect on the results of the study, if anything the use of 12 replicates would result in a study more likely to show equivalence than the one presented in this application</w:t>
      </w:r>
      <w:r w:rsidR="002D64ED">
        <w:t>.</w:t>
      </w:r>
    </w:p>
    <w:p w:rsidR="002D64ED" w:rsidRDefault="00E8019C" w:rsidP="00FD6342">
      <w:r w:rsidRPr="00E8019C">
        <w:t xml:space="preserve">The </w:t>
      </w:r>
      <w:r w:rsidR="00072B13">
        <w:t>s</w:t>
      </w:r>
      <w:r w:rsidRPr="00E8019C">
        <w:t xml:space="preserve">ponsor believes that the slight differences between the two FDA guidelines do not affect the conclusions of the phosphate binding study provided to TGA and the products can be considered equivalent on that basis. It should also be noted that the level of </w:t>
      </w:r>
      <w:proofErr w:type="spellStart"/>
      <w:r w:rsidRPr="00E8019C">
        <w:t>titratable</w:t>
      </w:r>
      <w:proofErr w:type="spellEnd"/>
      <w:r w:rsidRPr="00E8019C">
        <w:t xml:space="preserve"> amines for the generic product batch included in the </w:t>
      </w:r>
      <w:r w:rsidRPr="00072B13">
        <w:rPr>
          <w:iCs/>
        </w:rPr>
        <w:t>in vitro</w:t>
      </w:r>
      <w:r w:rsidRPr="00E8019C">
        <w:rPr>
          <w:i/>
          <w:iCs/>
        </w:rPr>
        <w:t xml:space="preserve"> </w:t>
      </w:r>
      <w:r w:rsidRPr="00E8019C">
        <w:t>equivalence studies was compliant with the draft USP monograph which also confirms an equivalent quantitative composition between the two products</w:t>
      </w:r>
      <w:r w:rsidR="002D64ED">
        <w:t>.</w:t>
      </w:r>
    </w:p>
    <w:p w:rsidR="00E8019C" w:rsidRPr="00E8019C" w:rsidRDefault="00E8019C" w:rsidP="00503002">
      <w:pPr>
        <w:pStyle w:val="Heading5"/>
      </w:pPr>
      <w:r w:rsidRPr="00E8019C">
        <w:t xml:space="preserve">Global regulatory status and post-market experience </w:t>
      </w:r>
    </w:p>
    <w:p w:rsidR="00FC5AAB" w:rsidRDefault="00072B13" w:rsidP="00072B13">
      <w:r>
        <w:t>A</w:t>
      </w:r>
      <w:r w:rsidR="00E8019C" w:rsidRPr="00E8019C">
        <w:t xml:space="preserve">n identical dossier </w:t>
      </w:r>
      <w:r>
        <w:t xml:space="preserve">has been submitted </w:t>
      </w:r>
      <w:r w:rsidR="00E8019C" w:rsidRPr="00E8019C">
        <w:t>in Germany as a national application which is currently under review. Unlike Decentralised Procedures which typically involve a number of European member states and require a formal assessment timelines to coordinate activities, German national procedures do not have a formal assessment timeline. However, as noted above, although questions have been received from the German agency, no issues have been raised concerning the conduct or results of the comparative phosphate binding study.</w:t>
      </w:r>
    </w:p>
    <w:p w:rsidR="002D64ED" w:rsidRDefault="00072B13" w:rsidP="00072B13">
      <w:r>
        <w:t xml:space="preserve">An application for </w:t>
      </w:r>
      <w:proofErr w:type="spellStart"/>
      <w:r>
        <w:t>S</w:t>
      </w:r>
      <w:r w:rsidR="00E8019C" w:rsidRPr="00E8019C">
        <w:t>evelamer</w:t>
      </w:r>
      <w:proofErr w:type="spellEnd"/>
      <w:r w:rsidR="00E8019C" w:rsidRPr="00E8019C">
        <w:t xml:space="preserve"> carbonate, with bioequivalence based similarly on an </w:t>
      </w:r>
      <w:r w:rsidR="00E8019C" w:rsidRPr="00072B13">
        <w:rPr>
          <w:iCs/>
        </w:rPr>
        <w:t>in vitro</w:t>
      </w:r>
      <w:r w:rsidR="00E8019C" w:rsidRPr="00E8019C">
        <w:rPr>
          <w:i/>
          <w:iCs/>
        </w:rPr>
        <w:t xml:space="preserve"> </w:t>
      </w:r>
      <w:r w:rsidR="00E8019C" w:rsidRPr="00E8019C">
        <w:t>phosphate binding study</w:t>
      </w:r>
      <w:r>
        <w:t>, has been submitted to the FDA</w:t>
      </w:r>
      <w:r w:rsidR="002D64ED">
        <w:t>.</w:t>
      </w:r>
    </w:p>
    <w:p w:rsidR="002D64ED" w:rsidRDefault="00E8019C" w:rsidP="00072B13">
      <w:r w:rsidRPr="00E8019C">
        <w:t>The manufacturer, has an identical product approved and currently on the market in India (March 2008) and Uruguay (January 2014). No formal pharmacovigilance monitoring occurs in these markets but there have been no anecdotal reports of adverse effects to the manufacturer</w:t>
      </w:r>
      <w:r w:rsidR="002D64ED">
        <w:t>.</w:t>
      </w:r>
    </w:p>
    <w:p w:rsidR="00E8019C" w:rsidRPr="00E8019C" w:rsidRDefault="00503002" w:rsidP="00503002">
      <w:pPr>
        <w:pStyle w:val="Heading5"/>
      </w:pPr>
      <w:r>
        <w:lastRenderedPageBreak/>
        <w:t>Conclusion</w:t>
      </w:r>
    </w:p>
    <w:p w:rsidR="002D64ED" w:rsidRDefault="00E8019C" w:rsidP="00072B13">
      <w:r w:rsidRPr="00E8019C">
        <w:t>Registration of generic products without human studies is not uncommon</w:t>
      </w:r>
      <w:r w:rsidR="00072B13">
        <w:t>,</w:t>
      </w:r>
      <w:r w:rsidRPr="00E8019C">
        <w:t xml:space="preserve"> with BCS Class I and Class III products being registered routinely in regulated markets without </w:t>
      </w:r>
      <w:r w:rsidRPr="00072B13">
        <w:rPr>
          <w:iCs/>
        </w:rPr>
        <w:t>in vivo</w:t>
      </w:r>
      <w:r w:rsidRPr="00E8019C">
        <w:rPr>
          <w:i/>
          <w:iCs/>
        </w:rPr>
        <w:t xml:space="preserve"> </w:t>
      </w:r>
      <w:r w:rsidRPr="00E8019C">
        <w:t xml:space="preserve">data and FDA recommendations for a number of locally acting, non-absorbed locally acting products (including </w:t>
      </w:r>
      <w:proofErr w:type="spellStart"/>
      <w:r w:rsidRPr="00E8019C">
        <w:t>sevelamer</w:t>
      </w:r>
      <w:proofErr w:type="spellEnd"/>
      <w:r w:rsidRPr="00E8019C">
        <w:t xml:space="preserve">) for bioequivalence is based on </w:t>
      </w:r>
      <w:r w:rsidRPr="00072B13">
        <w:rPr>
          <w:iCs/>
        </w:rPr>
        <w:t>in vitro</w:t>
      </w:r>
      <w:r w:rsidRPr="00E8019C">
        <w:rPr>
          <w:i/>
          <w:iCs/>
        </w:rPr>
        <w:t xml:space="preserve"> </w:t>
      </w:r>
      <w:r w:rsidRPr="00E8019C">
        <w:t>binding studies alone</w:t>
      </w:r>
      <w:r w:rsidR="002D64ED">
        <w:t>.</w:t>
      </w:r>
    </w:p>
    <w:p w:rsidR="002D64ED" w:rsidRDefault="00E8019C" w:rsidP="00072B13">
      <w:r w:rsidRPr="00E8019C">
        <w:t xml:space="preserve">The current application references these TGA and international </w:t>
      </w:r>
      <w:r w:rsidRPr="00072B13">
        <w:rPr>
          <w:iCs/>
        </w:rPr>
        <w:t>in vitro</w:t>
      </w:r>
      <w:r w:rsidRPr="00E8019C">
        <w:rPr>
          <w:i/>
          <w:iCs/>
        </w:rPr>
        <w:t xml:space="preserve"> </w:t>
      </w:r>
      <w:r w:rsidRPr="00E8019C">
        <w:t xml:space="preserve">approach precedents for demonstrating equivalence to the innovator product. The equivalence of the generic product and the innovator product has been demonstrated using </w:t>
      </w:r>
      <w:r w:rsidRPr="00072B13">
        <w:rPr>
          <w:iCs/>
        </w:rPr>
        <w:t>in vitro</w:t>
      </w:r>
      <w:r w:rsidRPr="00E8019C">
        <w:rPr>
          <w:i/>
          <w:iCs/>
        </w:rPr>
        <w:t xml:space="preserve"> </w:t>
      </w:r>
      <w:r w:rsidRPr="00E8019C">
        <w:t xml:space="preserve">studies performed in accordance with the FDA guidelines for </w:t>
      </w:r>
      <w:proofErr w:type="spellStart"/>
      <w:r w:rsidRPr="00E8019C">
        <w:t>sevelamer</w:t>
      </w:r>
      <w:proofErr w:type="spellEnd"/>
      <w:r w:rsidRPr="00E8019C">
        <w:t xml:space="preserve"> hydrochloride. Despite some minor differences between the previous version of the FDA guideline and the current FDA recommendation, the </w:t>
      </w:r>
      <w:r w:rsidR="007A38A3">
        <w:t xml:space="preserve">sponsor considers that the </w:t>
      </w:r>
      <w:r w:rsidRPr="00E8019C">
        <w:t xml:space="preserve">results can still be considered robust and acceptable to demonstrate equivalence of the proposed generic product and </w:t>
      </w:r>
      <w:proofErr w:type="spellStart"/>
      <w:r w:rsidRPr="00E8019C">
        <w:t>Renagel</w:t>
      </w:r>
      <w:proofErr w:type="spellEnd"/>
      <w:r w:rsidRPr="00E8019C">
        <w:t xml:space="preserve">. Performing further </w:t>
      </w:r>
      <w:r w:rsidRPr="00072B13">
        <w:rPr>
          <w:iCs/>
        </w:rPr>
        <w:t>in vitro</w:t>
      </w:r>
      <w:r w:rsidRPr="00E8019C">
        <w:rPr>
          <w:i/>
          <w:iCs/>
        </w:rPr>
        <w:t xml:space="preserve"> </w:t>
      </w:r>
      <w:r w:rsidRPr="00E8019C">
        <w:t xml:space="preserve">studies would not provide additional information or change the conclusion. Furthermore, the conduct of clinical studies would not be justified and unethical in the context that internationally recognised </w:t>
      </w:r>
      <w:r w:rsidRPr="007A38A3">
        <w:rPr>
          <w:iCs/>
        </w:rPr>
        <w:t>in vitro</w:t>
      </w:r>
      <w:r w:rsidRPr="00E8019C">
        <w:rPr>
          <w:i/>
          <w:iCs/>
        </w:rPr>
        <w:t xml:space="preserve"> </w:t>
      </w:r>
      <w:r w:rsidRPr="00E8019C">
        <w:t>techniques are in existence</w:t>
      </w:r>
      <w:r w:rsidR="002D64ED">
        <w:t>.</w:t>
      </w:r>
    </w:p>
    <w:p w:rsidR="002D64ED" w:rsidRDefault="00E8019C" w:rsidP="00072B13">
      <w:r w:rsidRPr="00E8019C">
        <w:t xml:space="preserve">The </w:t>
      </w:r>
      <w:r w:rsidR="007A38A3">
        <w:t>s</w:t>
      </w:r>
      <w:r w:rsidRPr="00E8019C">
        <w:t xml:space="preserve">ponsor acknowledges the concerns raised by the </w:t>
      </w:r>
      <w:r w:rsidR="007A38A3">
        <w:t>quality</w:t>
      </w:r>
      <w:r w:rsidRPr="00E8019C">
        <w:t xml:space="preserve"> evaluator and the generic manufacturer has agreed to amend their specifications in accordance with the USP monograph. Adopting the same specifications as the innovator product will ensure that the quantitative composition and quality of the generic product is the same as </w:t>
      </w:r>
      <w:proofErr w:type="spellStart"/>
      <w:r w:rsidRPr="00E8019C">
        <w:t>Renagel</w:t>
      </w:r>
      <w:proofErr w:type="spellEnd"/>
      <w:r w:rsidR="002D64ED">
        <w:t>.</w:t>
      </w:r>
    </w:p>
    <w:p w:rsidR="002D64ED" w:rsidRDefault="00E8019C" w:rsidP="00072B13">
      <w:r w:rsidRPr="00E8019C">
        <w:t xml:space="preserve">Although the generic and </w:t>
      </w:r>
      <w:proofErr w:type="spellStart"/>
      <w:r w:rsidRPr="00E8019C">
        <w:t>Renagel</w:t>
      </w:r>
      <w:proofErr w:type="spellEnd"/>
      <w:r w:rsidRPr="00E8019C">
        <w:t xml:space="preserve"> tablets are equivalent in size, swallowing and the potential for choking may be a safety issue for both of these large tablets. In response, </w:t>
      </w:r>
      <w:r w:rsidR="007A38A3">
        <w:t>the sponsor is</w:t>
      </w:r>
      <w:r w:rsidRPr="00E8019C">
        <w:t xml:space="preserve"> willing to amend the PI and Consumer Medicine Information (CMI) in line with TGA’s advice to ensure this risk is minimised. It should be noted that the current generic product’s PI texts have been amended to include the most recent approved safety changes for </w:t>
      </w:r>
      <w:proofErr w:type="spellStart"/>
      <w:r w:rsidRPr="00E8019C">
        <w:t>Renagel</w:t>
      </w:r>
      <w:proofErr w:type="spellEnd"/>
      <w:r w:rsidR="002D64ED">
        <w:t>.</w:t>
      </w:r>
    </w:p>
    <w:p w:rsidR="00E8019C" w:rsidRDefault="00E8019C" w:rsidP="00072B13">
      <w:r w:rsidRPr="00E8019C">
        <w:t xml:space="preserve">The </w:t>
      </w:r>
      <w:r w:rsidR="007A38A3">
        <w:t>s</w:t>
      </w:r>
      <w:r w:rsidRPr="00E8019C">
        <w:t xml:space="preserve">ponsor has in place a RMP with </w:t>
      </w:r>
      <w:r w:rsidR="00D4540A">
        <w:t xml:space="preserve">an </w:t>
      </w:r>
      <w:r w:rsidR="007A38A3">
        <w:t>ASA</w:t>
      </w:r>
      <w:r w:rsidRPr="00E8019C">
        <w:t xml:space="preserve"> to manage safety risks and to enhance routine pharmacovigilance activities. The RMP has been accepted by the TGA and will be revised to include the approved PI and CMI as attachments.</w:t>
      </w:r>
    </w:p>
    <w:p w:rsidR="008E7846" w:rsidRDefault="008E7846" w:rsidP="00503002">
      <w:pPr>
        <w:pStyle w:val="Heading4"/>
      </w:pPr>
      <w:r>
        <w:t xml:space="preserve">Advisory </w:t>
      </w:r>
      <w:r w:rsidR="00503002">
        <w:t>c</w:t>
      </w:r>
      <w:r>
        <w:t xml:space="preserve">ommittee </w:t>
      </w:r>
      <w:r w:rsidR="00503002">
        <w:t>c</w:t>
      </w:r>
      <w:r>
        <w:t>onsiderations</w:t>
      </w:r>
    </w:p>
    <w:p w:rsidR="008E7846" w:rsidRDefault="00D23139" w:rsidP="008E7846">
      <w:pPr>
        <w:rPr>
          <w:bCs/>
        </w:rPr>
      </w:pPr>
      <w:r w:rsidRPr="00D23139">
        <w:rPr>
          <w:bCs/>
        </w:rPr>
        <w:t>The Advisory Committee on Prescription Medicines (ACPM), having considered the evaluations and the Delegate’s overview, as well as the sponsor’s response to these documents, advised the following:</w:t>
      </w:r>
    </w:p>
    <w:p w:rsidR="00E8019C" w:rsidRPr="002848CC" w:rsidRDefault="00E8019C" w:rsidP="00E8019C">
      <w:pPr>
        <w:rPr>
          <w:rFonts w:cs="Calibri"/>
          <w:bCs/>
        </w:rPr>
      </w:pPr>
      <w:r w:rsidRPr="002848CC">
        <w:rPr>
          <w:rFonts w:cs="Calibri"/>
          <w:bCs/>
        </w:rPr>
        <w:t xml:space="preserve">The submission seeks to register a </w:t>
      </w:r>
      <w:r>
        <w:rPr>
          <w:rFonts w:cs="Calibri"/>
          <w:bCs/>
          <w:noProof/>
        </w:rPr>
        <w:t>n</w:t>
      </w:r>
      <w:r w:rsidRPr="009A33A0">
        <w:rPr>
          <w:rFonts w:cs="Calibri"/>
          <w:bCs/>
          <w:noProof/>
        </w:rPr>
        <w:t>ew generic medicine</w:t>
      </w:r>
      <w:r w:rsidRPr="002848CC">
        <w:rPr>
          <w:rFonts w:cs="Calibri"/>
          <w:bCs/>
          <w:color w:val="FF0000"/>
        </w:rPr>
        <w:t>.</w:t>
      </w:r>
    </w:p>
    <w:p w:rsidR="00E8019C" w:rsidRPr="00643EC7" w:rsidRDefault="00E8019C" w:rsidP="00E8019C">
      <w:pPr>
        <w:rPr>
          <w:rFonts w:cs="Arial"/>
        </w:rPr>
      </w:pPr>
      <w:r w:rsidRPr="00643EC7">
        <w:rPr>
          <w:rFonts w:cs="Arial"/>
        </w:rPr>
        <w:t xml:space="preserve">The ACPM resolved to recommend to the TGA </w:t>
      </w:r>
      <w:r w:rsidR="00D4540A">
        <w:rPr>
          <w:rFonts w:cs="Arial"/>
        </w:rPr>
        <w:t>D</w:t>
      </w:r>
      <w:r w:rsidRPr="00643EC7">
        <w:rPr>
          <w:rFonts w:cs="Arial"/>
        </w:rPr>
        <w:t xml:space="preserve">elegate of the Minister and Secretary that: </w:t>
      </w:r>
    </w:p>
    <w:p w:rsidR="00E8019C" w:rsidRPr="00F2164D" w:rsidRDefault="00E8019C" w:rsidP="00E8019C">
      <w:pPr>
        <w:rPr>
          <w:bCs/>
        </w:rPr>
      </w:pPr>
      <w:r w:rsidRPr="00F2164D">
        <w:rPr>
          <w:bCs/>
        </w:rPr>
        <w:t xml:space="preserve">The ACPM, taking into account the submitted evidence of pharmaceutical quality, safety and efficacy agreed with the delegate that </w:t>
      </w:r>
      <w:proofErr w:type="spellStart"/>
      <w:r w:rsidR="007A38A3" w:rsidRPr="00F2164D">
        <w:rPr>
          <w:rFonts w:cs="Arial"/>
        </w:rPr>
        <w:t>Sevelamer</w:t>
      </w:r>
      <w:proofErr w:type="spellEnd"/>
      <w:r w:rsidR="007A38A3" w:rsidRPr="00F2164D">
        <w:rPr>
          <w:rFonts w:cs="Arial"/>
        </w:rPr>
        <w:t xml:space="preserve"> </w:t>
      </w:r>
      <w:proofErr w:type="spellStart"/>
      <w:r w:rsidR="007A38A3" w:rsidRPr="00F2164D">
        <w:rPr>
          <w:rFonts w:cs="Arial"/>
        </w:rPr>
        <w:t>G</w:t>
      </w:r>
      <w:r w:rsidR="007A38A3">
        <w:rPr>
          <w:rFonts w:cs="Arial"/>
        </w:rPr>
        <w:t>PPL</w:t>
      </w:r>
      <w:r w:rsidR="007A38A3" w:rsidRPr="00F2164D">
        <w:rPr>
          <w:rFonts w:cs="Arial"/>
        </w:rPr>
        <w:t>l</w:t>
      </w:r>
      <w:proofErr w:type="spellEnd"/>
      <w:r w:rsidR="007A38A3" w:rsidRPr="00F2164D">
        <w:rPr>
          <w:rFonts w:cs="Arial"/>
        </w:rPr>
        <w:t xml:space="preserve"> </w:t>
      </w:r>
      <w:proofErr w:type="spellStart"/>
      <w:r w:rsidR="007A38A3" w:rsidRPr="00F2164D">
        <w:rPr>
          <w:rFonts w:cs="Arial"/>
        </w:rPr>
        <w:t>Sevelamer</w:t>
      </w:r>
      <w:proofErr w:type="spellEnd"/>
      <w:r w:rsidR="007A38A3" w:rsidRPr="00F2164D">
        <w:rPr>
          <w:rFonts w:cs="Arial"/>
        </w:rPr>
        <w:t xml:space="preserve"> G</w:t>
      </w:r>
      <w:r w:rsidR="007A38A3">
        <w:rPr>
          <w:rFonts w:cs="Arial"/>
        </w:rPr>
        <w:t>XP</w:t>
      </w:r>
      <w:r w:rsidR="007A38A3" w:rsidRPr="00F2164D">
        <w:rPr>
          <w:rFonts w:cs="Arial"/>
        </w:rPr>
        <w:t xml:space="preserve">, </w:t>
      </w:r>
      <w:proofErr w:type="spellStart"/>
      <w:r w:rsidR="007A38A3" w:rsidRPr="00F2164D">
        <w:rPr>
          <w:rFonts w:cs="Arial"/>
        </w:rPr>
        <w:t>Seveligand</w:t>
      </w:r>
      <w:proofErr w:type="spellEnd"/>
      <w:r w:rsidR="007A38A3" w:rsidRPr="00F2164D">
        <w:rPr>
          <w:rFonts w:cs="Arial"/>
        </w:rPr>
        <w:t xml:space="preserve">, </w:t>
      </w:r>
      <w:proofErr w:type="spellStart"/>
      <w:r w:rsidR="007A38A3" w:rsidRPr="00F2164D">
        <w:rPr>
          <w:rFonts w:cs="Arial"/>
        </w:rPr>
        <w:t>Phosligand</w:t>
      </w:r>
      <w:proofErr w:type="spellEnd"/>
      <w:r w:rsidR="007A38A3" w:rsidRPr="00F2164D">
        <w:rPr>
          <w:rFonts w:cs="Arial"/>
        </w:rPr>
        <w:t>, A</w:t>
      </w:r>
      <w:r w:rsidR="007A38A3">
        <w:rPr>
          <w:rFonts w:cs="Arial"/>
        </w:rPr>
        <w:t>PO</w:t>
      </w:r>
      <w:r w:rsidR="007A38A3" w:rsidRPr="00F2164D">
        <w:rPr>
          <w:rFonts w:cs="Arial"/>
        </w:rPr>
        <w:t>-</w:t>
      </w:r>
      <w:proofErr w:type="spellStart"/>
      <w:r w:rsidR="007A38A3" w:rsidRPr="00F2164D">
        <w:rPr>
          <w:rFonts w:cs="Arial"/>
        </w:rPr>
        <w:t>Sevelamer</w:t>
      </w:r>
      <w:proofErr w:type="spellEnd"/>
      <w:r w:rsidR="007A38A3" w:rsidRPr="00F2164D">
        <w:rPr>
          <w:rFonts w:cs="Arial"/>
        </w:rPr>
        <w:t xml:space="preserve">, </w:t>
      </w:r>
      <w:proofErr w:type="spellStart"/>
      <w:r w:rsidR="007A38A3" w:rsidRPr="00F2164D">
        <w:rPr>
          <w:rFonts w:cs="Arial"/>
        </w:rPr>
        <w:t>Apotex-Sevelamer</w:t>
      </w:r>
      <w:proofErr w:type="spellEnd"/>
      <w:r w:rsidR="007A38A3" w:rsidRPr="00F2164D">
        <w:rPr>
          <w:rFonts w:cs="Arial"/>
        </w:rPr>
        <w:t xml:space="preserve">, </w:t>
      </w:r>
      <w:proofErr w:type="spellStart"/>
      <w:r w:rsidR="007A38A3" w:rsidRPr="00F2164D">
        <w:rPr>
          <w:rFonts w:cs="Arial"/>
        </w:rPr>
        <w:t>Chemmart</w:t>
      </w:r>
      <w:proofErr w:type="spellEnd"/>
      <w:r w:rsidR="007A38A3" w:rsidRPr="00F2164D">
        <w:rPr>
          <w:rFonts w:cs="Arial"/>
        </w:rPr>
        <w:t xml:space="preserve"> </w:t>
      </w:r>
      <w:proofErr w:type="spellStart"/>
      <w:r w:rsidR="007A38A3" w:rsidRPr="00F2164D">
        <w:rPr>
          <w:rFonts w:cs="Arial"/>
        </w:rPr>
        <w:t>Sevelamer</w:t>
      </w:r>
      <w:proofErr w:type="spellEnd"/>
      <w:r w:rsidR="007A38A3" w:rsidRPr="00F2164D">
        <w:rPr>
          <w:rFonts w:cs="Arial"/>
        </w:rPr>
        <w:t xml:space="preserve">, </w:t>
      </w:r>
      <w:proofErr w:type="spellStart"/>
      <w:r w:rsidR="007A38A3" w:rsidRPr="00F2164D">
        <w:rPr>
          <w:rFonts w:cs="Arial"/>
        </w:rPr>
        <w:t>Genrx</w:t>
      </w:r>
      <w:proofErr w:type="spellEnd"/>
      <w:r w:rsidR="007A38A3" w:rsidRPr="00F2164D">
        <w:rPr>
          <w:rFonts w:cs="Arial"/>
        </w:rPr>
        <w:t xml:space="preserve"> </w:t>
      </w:r>
      <w:proofErr w:type="spellStart"/>
      <w:r w:rsidR="007A38A3" w:rsidRPr="00F2164D">
        <w:rPr>
          <w:rFonts w:cs="Arial"/>
        </w:rPr>
        <w:t>Sevelamer</w:t>
      </w:r>
      <w:proofErr w:type="spellEnd"/>
      <w:r w:rsidR="007A38A3" w:rsidRPr="00F2164D">
        <w:rPr>
          <w:rFonts w:cs="Arial"/>
        </w:rPr>
        <w:t xml:space="preserve">, Terry White Chemists </w:t>
      </w:r>
      <w:proofErr w:type="spellStart"/>
      <w:r w:rsidR="007A38A3" w:rsidRPr="00F2164D">
        <w:rPr>
          <w:rFonts w:cs="Arial"/>
        </w:rPr>
        <w:t>Sevelamer</w:t>
      </w:r>
      <w:proofErr w:type="spellEnd"/>
      <w:r w:rsidR="007A38A3" w:rsidRPr="00F2164D">
        <w:t xml:space="preserve"> </w:t>
      </w:r>
      <w:r w:rsidRPr="00F2164D">
        <w:rPr>
          <w:bCs/>
        </w:rPr>
        <w:t xml:space="preserve">film coated tablets containing 800 mg of </w:t>
      </w:r>
      <w:proofErr w:type="spellStart"/>
      <w:r w:rsidRPr="00F2164D">
        <w:rPr>
          <w:bCs/>
        </w:rPr>
        <w:t>sevelamer</w:t>
      </w:r>
      <w:proofErr w:type="spellEnd"/>
      <w:r w:rsidRPr="00F2164D">
        <w:rPr>
          <w:bCs/>
        </w:rPr>
        <w:t xml:space="preserve"> hydrochloride</w:t>
      </w:r>
      <w:r w:rsidRPr="00F2164D">
        <w:rPr>
          <w:b/>
          <w:bCs/>
        </w:rPr>
        <w:t xml:space="preserve"> </w:t>
      </w:r>
      <w:r w:rsidRPr="00F2164D">
        <w:rPr>
          <w:bCs/>
        </w:rPr>
        <w:t>has an overall negative benefit-risk profile for the proposed indication.</w:t>
      </w:r>
    </w:p>
    <w:p w:rsidR="00E8019C" w:rsidRPr="00D23202" w:rsidRDefault="00E8019C" w:rsidP="00E8019C">
      <w:pPr>
        <w:rPr>
          <w:bCs/>
        </w:rPr>
      </w:pPr>
      <w:r w:rsidRPr="00F2164D">
        <w:rPr>
          <w:bCs/>
        </w:rPr>
        <w:t xml:space="preserve">The ACPM concluded that the evidence did not satisfactorily establish </w:t>
      </w:r>
      <w:r>
        <w:rPr>
          <w:bCs/>
        </w:rPr>
        <w:t xml:space="preserve">the same </w:t>
      </w:r>
      <w:r>
        <w:rPr>
          <w:rFonts w:cs="Cambria"/>
        </w:rPr>
        <w:t xml:space="preserve">quantitative composition </w:t>
      </w:r>
      <w:r w:rsidRPr="00F2164D">
        <w:rPr>
          <w:bCs/>
        </w:rPr>
        <w:t xml:space="preserve">of </w:t>
      </w:r>
      <w:r>
        <w:rPr>
          <w:bCs/>
        </w:rPr>
        <w:t xml:space="preserve">the generic </w:t>
      </w:r>
      <w:proofErr w:type="spellStart"/>
      <w:r w:rsidRPr="00F2164D">
        <w:rPr>
          <w:bCs/>
        </w:rPr>
        <w:t>sevelamer</w:t>
      </w:r>
      <w:proofErr w:type="spellEnd"/>
      <w:r w:rsidRPr="00F2164D">
        <w:rPr>
          <w:bCs/>
        </w:rPr>
        <w:t xml:space="preserve"> </w:t>
      </w:r>
      <w:r>
        <w:rPr>
          <w:bCs/>
        </w:rPr>
        <w:t xml:space="preserve">compared to the innovator product and in the absence of </w:t>
      </w:r>
      <w:r w:rsidRPr="00F2164D">
        <w:rPr>
          <w:bCs/>
        </w:rPr>
        <w:t>safety and efficacy</w:t>
      </w:r>
      <w:r>
        <w:rPr>
          <w:bCs/>
        </w:rPr>
        <w:t xml:space="preserve"> data it is not possible for the generic to assume the safety and efficacy profile of the innovator</w:t>
      </w:r>
      <w:r w:rsidRPr="00F2164D">
        <w:rPr>
          <w:bCs/>
        </w:rPr>
        <w:t>.</w:t>
      </w:r>
    </w:p>
    <w:p w:rsidR="00E8019C" w:rsidRDefault="00E8019C" w:rsidP="00E8019C">
      <w:pPr>
        <w:rPr>
          <w:bCs/>
          <w:iCs/>
        </w:rPr>
      </w:pPr>
      <w:r w:rsidRPr="004B42C7">
        <w:rPr>
          <w:bCs/>
          <w:iCs/>
        </w:rPr>
        <w:t>In maki</w:t>
      </w:r>
      <w:r>
        <w:rPr>
          <w:bCs/>
          <w:iCs/>
        </w:rPr>
        <w:t>ng this recommendation the ACPM:</w:t>
      </w:r>
    </w:p>
    <w:p w:rsidR="00E8019C" w:rsidRDefault="00E8019C" w:rsidP="007A38A3">
      <w:pPr>
        <w:pStyle w:val="ListBullet"/>
      </w:pPr>
      <w:r>
        <w:lastRenderedPageBreak/>
        <w:t xml:space="preserve">Noted that the sponsor </w:t>
      </w:r>
      <w:r w:rsidRPr="00EB464E">
        <w:t xml:space="preserve">has agreed to adopt the </w:t>
      </w:r>
      <w:proofErr w:type="spellStart"/>
      <w:r w:rsidRPr="00EB464E">
        <w:t>titratable</w:t>
      </w:r>
      <w:proofErr w:type="spellEnd"/>
      <w:r w:rsidRPr="00EB464E">
        <w:t xml:space="preserve"> amines and swell index limits to comply wit</w:t>
      </w:r>
      <w:r>
        <w:t>h the draft USP monographs and has also agreed to revise the limits for phosphate binding capacity.</w:t>
      </w:r>
    </w:p>
    <w:p w:rsidR="00E8019C" w:rsidRPr="00410A6C" w:rsidRDefault="00E8019C" w:rsidP="007A38A3">
      <w:pPr>
        <w:pStyle w:val="ListBullet"/>
      </w:pPr>
      <w:r>
        <w:t xml:space="preserve">Noted that </w:t>
      </w:r>
      <w:r>
        <w:rPr>
          <w:rFonts w:cs="Cambria"/>
        </w:rPr>
        <w:t xml:space="preserve">the sponsor did not conduct a therapeutic equivalence study or a human </w:t>
      </w:r>
      <w:proofErr w:type="spellStart"/>
      <w:r>
        <w:rPr>
          <w:rFonts w:cs="Cambria"/>
        </w:rPr>
        <w:t>pharmacodynamic</w:t>
      </w:r>
      <w:proofErr w:type="spellEnd"/>
      <w:r>
        <w:rPr>
          <w:rFonts w:cs="Cambria"/>
        </w:rPr>
        <w:t xml:space="preserve"> study, but has chosen to conduct two </w:t>
      </w:r>
      <w:r w:rsidRPr="007A38A3">
        <w:rPr>
          <w:rFonts w:ascii="Cambria-Italic" w:hAnsi="Cambria-Italic" w:cs="Cambria-Italic"/>
        </w:rPr>
        <w:t>in vitro</w:t>
      </w:r>
      <w:r>
        <w:rPr>
          <w:rFonts w:ascii="Cambria-Italic" w:hAnsi="Cambria-Italic" w:cs="Cambria-Italic"/>
          <w:i/>
        </w:rPr>
        <w:t xml:space="preserve"> </w:t>
      </w:r>
      <w:r>
        <w:rPr>
          <w:rFonts w:cs="Cambria"/>
        </w:rPr>
        <w:t xml:space="preserve">studies as per a guidance document from the FDA (FDA Draft Guidance on </w:t>
      </w:r>
      <w:proofErr w:type="spellStart"/>
      <w:r>
        <w:rPr>
          <w:rFonts w:cs="Cambria"/>
        </w:rPr>
        <w:t>sevelamer</w:t>
      </w:r>
      <w:proofErr w:type="spellEnd"/>
      <w:r>
        <w:rPr>
          <w:rFonts w:cs="Cambria"/>
        </w:rPr>
        <w:t xml:space="preserve"> hydrochloride, August 2011), which has not been adopted by the TGA.</w:t>
      </w:r>
    </w:p>
    <w:p w:rsidR="00E8019C" w:rsidRPr="00EB464E" w:rsidRDefault="00E8019C" w:rsidP="007A38A3">
      <w:pPr>
        <w:pStyle w:val="ListBullet"/>
      </w:pPr>
      <w:r>
        <w:t xml:space="preserve">Noted the </w:t>
      </w:r>
      <w:r w:rsidRPr="007A38A3">
        <w:t>in vitro</w:t>
      </w:r>
      <w:r w:rsidRPr="00133876">
        <w:t xml:space="preserve"> bioequivalence studies </w:t>
      </w:r>
      <w:r>
        <w:t>had an in</w:t>
      </w:r>
      <w:r>
        <w:rPr>
          <w:rFonts w:cs="Cambria"/>
        </w:rPr>
        <w:t>sufficient number of repeat tests, although they were in line with the FDA requirements at the time, and that the implications with respect to phosphate binding are uncertain.</w:t>
      </w:r>
    </w:p>
    <w:p w:rsidR="00E8019C" w:rsidRPr="00EB464E" w:rsidRDefault="00E8019C" w:rsidP="007A38A3">
      <w:pPr>
        <w:pStyle w:val="ListBullet"/>
      </w:pPr>
      <w:r>
        <w:t>Advis</w:t>
      </w:r>
      <w:r w:rsidRPr="00EB464E">
        <w:t xml:space="preserve">ed that the only way to provide </w:t>
      </w:r>
      <w:r>
        <w:t>absolute a</w:t>
      </w:r>
      <w:r w:rsidRPr="00EB464E">
        <w:t>ssurance that the drug was equivalent to the innovator was to conduct a clinical study to support the efficacy and safety of this generic compared with the reference product.</w:t>
      </w:r>
    </w:p>
    <w:p w:rsidR="00E8019C" w:rsidRPr="006401EC" w:rsidRDefault="00E8019C" w:rsidP="00503002">
      <w:pPr>
        <w:pStyle w:val="Heading5"/>
        <w:rPr>
          <w:szCs w:val="22"/>
          <w:highlight w:val="yellow"/>
          <w:lang w:val="en-GB"/>
        </w:rPr>
      </w:pPr>
      <w:r w:rsidRPr="006401EC">
        <w:rPr>
          <w:lang w:val="en-GB"/>
        </w:rPr>
        <w:t xml:space="preserve">Specific </w:t>
      </w:r>
      <w:r w:rsidR="00503002">
        <w:rPr>
          <w:lang w:val="en-GB"/>
        </w:rPr>
        <w:t>a</w:t>
      </w:r>
      <w:r w:rsidRPr="006401EC">
        <w:rPr>
          <w:lang w:val="en-GB"/>
        </w:rPr>
        <w:t>dvice</w:t>
      </w:r>
    </w:p>
    <w:p w:rsidR="00E8019C" w:rsidRPr="004B42C7" w:rsidRDefault="00E8019C" w:rsidP="00E8019C">
      <w:pPr>
        <w:rPr>
          <w:b/>
          <w:bCs/>
          <w:iCs/>
          <w:highlight w:val="yellow"/>
        </w:rPr>
      </w:pPr>
      <w:r w:rsidRPr="004B42C7">
        <w:rPr>
          <w:rFonts w:cs="Arial"/>
        </w:rPr>
        <w:t xml:space="preserve">The ACPM advised the following in response to the </w:t>
      </w:r>
      <w:r w:rsidR="007A38A3">
        <w:rPr>
          <w:rFonts w:cs="Arial"/>
        </w:rPr>
        <w:t>D</w:t>
      </w:r>
      <w:r w:rsidRPr="004B42C7">
        <w:rPr>
          <w:rFonts w:cs="Arial"/>
        </w:rPr>
        <w:t>elegate’s specific questions on this submission:</w:t>
      </w:r>
    </w:p>
    <w:p w:rsidR="00E8019C" w:rsidRPr="007A38A3" w:rsidRDefault="00E8019C" w:rsidP="007A38A3">
      <w:pPr>
        <w:pStyle w:val="Numberbullet0"/>
        <w:numPr>
          <w:ilvl w:val="0"/>
          <w:numId w:val="31"/>
        </w:numPr>
        <w:rPr>
          <w:lang w:val="en-GB"/>
        </w:rPr>
      </w:pPr>
      <w:r w:rsidRPr="007A38A3">
        <w:rPr>
          <w:lang w:val="en-GB"/>
        </w:rPr>
        <w:t xml:space="preserve">Does this generic product contain the same quantitative composition of therapeutically active substances, being substances of similar quality to those used in </w:t>
      </w:r>
      <w:proofErr w:type="spellStart"/>
      <w:r w:rsidRPr="007A38A3">
        <w:rPr>
          <w:lang w:val="en-GB"/>
        </w:rPr>
        <w:t>Renagel</w:t>
      </w:r>
      <w:proofErr w:type="spellEnd"/>
      <w:r w:rsidRPr="007A38A3">
        <w:rPr>
          <w:lang w:val="en-GB"/>
        </w:rPr>
        <w:t>?</w:t>
      </w:r>
    </w:p>
    <w:p w:rsidR="00E8019C" w:rsidRPr="00D651DF" w:rsidRDefault="00E8019C" w:rsidP="00E8019C">
      <w:pPr>
        <w:rPr>
          <w:bCs/>
          <w:iCs/>
        </w:rPr>
      </w:pPr>
      <w:r>
        <w:rPr>
          <w:bCs/>
          <w:iCs/>
        </w:rPr>
        <w:t xml:space="preserve">The ACPM considered that in the submitted data there were differences in quantitative composition of the proposed product, such as </w:t>
      </w:r>
      <w:proofErr w:type="spellStart"/>
      <w:r>
        <w:rPr>
          <w:bCs/>
          <w:iCs/>
        </w:rPr>
        <w:t>titratable</w:t>
      </w:r>
      <w:proofErr w:type="spellEnd"/>
      <w:r>
        <w:rPr>
          <w:bCs/>
          <w:iCs/>
        </w:rPr>
        <w:t xml:space="preserve"> amines, swell index and the number of replicates used in the bridging study to determine the level of bound phosphate. However, the </w:t>
      </w:r>
      <w:r w:rsidRPr="00D651DF">
        <w:rPr>
          <w:bCs/>
          <w:iCs/>
        </w:rPr>
        <w:t>ACP</w:t>
      </w:r>
      <w:r>
        <w:rPr>
          <w:bCs/>
          <w:iCs/>
        </w:rPr>
        <w:t>M</w:t>
      </w:r>
      <w:r w:rsidRPr="00D651DF">
        <w:rPr>
          <w:bCs/>
          <w:iCs/>
        </w:rPr>
        <w:t xml:space="preserve"> noted that the sponsor has agreed to adopt the </w:t>
      </w:r>
      <w:proofErr w:type="spellStart"/>
      <w:r w:rsidRPr="00D651DF">
        <w:rPr>
          <w:bCs/>
          <w:iCs/>
        </w:rPr>
        <w:t>titratable</w:t>
      </w:r>
      <w:proofErr w:type="spellEnd"/>
      <w:r w:rsidRPr="00D651DF">
        <w:rPr>
          <w:bCs/>
          <w:iCs/>
        </w:rPr>
        <w:t xml:space="preserve"> amines and swell index limits to comply with the draft USP monographs</w:t>
      </w:r>
      <w:r>
        <w:rPr>
          <w:bCs/>
          <w:iCs/>
        </w:rPr>
        <w:t xml:space="preserve">. The sponsor also stated that it would </w:t>
      </w:r>
      <w:r w:rsidRPr="00391E69">
        <w:rPr>
          <w:bCs/>
          <w:iCs/>
        </w:rPr>
        <w:t>revise the specification limit for phosphate binding</w:t>
      </w:r>
      <w:r>
        <w:rPr>
          <w:bCs/>
          <w:iCs/>
        </w:rPr>
        <w:t>. The ACPM agreed that the proposed product may have similar composition to the innovator product with these modifications.</w:t>
      </w:r>
    </w:p>
    <w:p w:rsidR="00E8019C" w:rsidRDefault="00E8019C" w:rsidP="007A38A3">
      <w:pPr>
        <w:pStyle w:val="Numberbullet0"/>
        <w:rPr>
          <w:lang w:val="en-GB"/>
        </w:rPr>
      </w:pPr>
      <w:r w:rsidRPr="00E71C6E">
        <w:rPr>
          <w:lang w:val="en-GB"/>
        </w:rPr>
        <w:t xml:space="preserve">Are the differences observed in the drug substance (total </w:t>
      </w:r>
      <w:proofErr w:type="spellStart"/>
      <w:r w:rsidRPr="00E71C6E">
        <w:rPr>
          <w:lang w:val="en-GB"/>
        </w:rPr>
        <w:t>titratable</w:t>
      </w:r>
      <w:proofErr w:type="spellEnd"/>
      <w:r w:rsidRPr="00E71C6E">
        <w:rPr>
          <w:lang w:val="en-GB"/>
        </w:rPr>
        <w:t xml:space="preserve"> amines and swell index) of clinical concern that this generic may not have the same safety and efficacy properties as </w:t>
      </w:r>
      <w:proofErr w:type="spellStart"/>
      <w:r w:rsidRPr="00E71C6E">
        <w:rPr>
          <w:lang w:val="en-GB"/>
        </w:rPr>
        <w:t>Renagel</w:t>
      </w:r>
      <w:proofErr w:type="spellEnd"/>
      <w:r w:rsidRPr="00E71C6E">
        <w:rPr>
          <w:lang w:val="en-GB"/>
        </w:rPr>
        <w:t>?</w:t>
      </w:r>
    </w:p>
    <w:p w:rsidR="00E8019C" w:rsidRPr="00D651DF" w:rsidRDefault="00E8019C" w:rsidP="00E8019C">
      <w:pPr>
        <w:rPr>
          <w:bCs/>
          <w:iCs/>
        </w:rPr>
      </w:pPr>
      <w:r>
        <w:rPr>
          <w:bCs/>
          <w:iCs/>
        </w:rPr>
        <w:t>The ACPM considered that the impact on the safety and efficacy of differences observed in the drug substance (prior to receiving the sponsor’s pre-ACPM response) was not completely known and that without a clinical study are uncertain.</w:t>
      </w:r>
    </w:p>
    <w:p w:rsidR="00E8019C" w:rsidRDefault="00E8019C" w:rsidP="007A38A3">
      <w:pPr>
        <w:pStyle w:val="Numberbullet0"/>
        <w:rPr>
          <w:lang w:val="en-GB"/>
        </w:rPr>
      </w:pPr>
      <w:r w:rsidRPr="00E71C6E">
        <w:rPr>
          <w:lang w:val="en-GB"/>
        </w:rPr>
        <w:t xml:space="preserve">Has sufficient data been presented from the </w:t>
      </w:r>
      <w:r w:rsidRPr="007A38A3">
        <w:rPr>
          <w:lang w:val="en-GB"/>
        </w:rPr>
        <w:t>in vitro</w:t>
      </w:r>
      <w:r w:rsidRPr="00E71C6E">
        <w:rPr>
          <w:lang w:val="en-GB"/>
        </w:rPr>
        <w:t xml:space="preserve"> studies to demonstrate equivalence between this generic and </w:t>
      </w:r>
      <w:proofErr w:type="spellStart"/>
      <w:r w:rsidRPr="00E71C6E">
        <w:rPr>
          <w:lang w:val="en-GB"/>
        </w:rPr>
        <w:t>Renagel</w:t>
      </w:r>
      <w:proofErr w:type="spellEnd"/>
      <w:r w:rsidRPr="00E71C6E">
        <w:rPr>
          <w:lang w:val="en-GB"/>
        </w:rPr>
        <w:t xml:space="preserve"> or should the sponsor undertake further testing?</w:t>
      </w:r>
    </w:p>
    <w:p w:rsidR="00E8019C" w:rsidRDefault="00E8019C" w:rsidP="007A38A3">
      <w:r>
        <w:t xml:space="preserve">The ACPM noted </w:t>
      </w:r>
      <w:proofErr w:type="spellStart"/>
      <w:r>
        <w:t>biopharmaceutic</w:t>
      </w:r>
      <w:proofErr w:type="spellEnd"/>
      <w:r>
        <w:t xml:space="preserve"> data are not required by the TGA for medicines that are not systemically or locally absorbed. However, </w:t>
      </w:r>
      <w:r w:rsidRPr="003F4FB8">
        <w:t>the TGA guidelines do not state that no clinical data are required.</w:t>
      </w:r>
      <w:r>
        <w:t xml:space="preserve"> The ACPM noted that the FDA will accept bioequivalence of these products if demonstrated by </w:t>
      </w:r>
      <w:r w:rsidRPr="007A38A3">
        <w:t>in vitro</w:t>
      </w:r>
      <w:r w:rsidRPr="00725D11">
        <w:t xml:space="preserve"> binding studies</w:t>
      </w:r>
      <w:r>
        <w:t xml:space="preserve">, data which the sponsor has submitted. The ACPM noted that the sponsor’s </w:t>
      </w:r>
      <w:r>
        <w:rPr>
          <w:rFonts w:cs="Cambria"/>
        </w:rPr>
        <w:t xml:space="preserve">study was in line with the FDA requirements at the time but the FDA Guideline is not adopted by the TGA and has since been updated. The ACPM </w:t>
      </w:r>
      <w:r w:rsidRPr="001A3B0C">
        <w:rPr>
          <w:rFonts w:cs="Cambria"/>
        </w:rPr>
        <w:t>w</w:t>
      </w:r>
      <w:r>
        <w:rPr>
          <w:rFonts w:cs="Cambria"/>
        </w:rPr>
        <w:t>as concerned about the limited number of replications and the impact</w:t>
      </w:r>
      <w:r w:rsidRPr="001A3B0C">
        <w:rPr>
          <w:rFonts w:cs="Cambria"/>
        </w:rPr>
        <w:t xml:space="preserve"> </w:t>
      </w:r>
      <w:r>
        <w:rPr>
          <w:rFonts w:cs="Cambria"/>
        </w:rPr>
        <w:t xml:space="preserve">they </w:t>
      </w:r>
      <w:r w:rsidRPr="001A3B0C">
        <w:rPr>
          <w:rFonts w:cs="Cambria"/>
        </w:rPr>
        <w:t>might have on the conclusion of equivalence between the proposed and innovator products.</w:t>
      </w:r>
      <w:r>
        <w:rPr>
          <w:rFonts w:cs="Cambria"/>
        </w:rPr>
        <w:t xml:space="preserve"> </w:t>
      </w:r>
      <w:r>
        <w:t>The ACPM considered that there is therefore still some doubt regarding the equivalence of the two products.</w:t>
      </w:r>
    </w:p>
    <w:p w:rsidR="00E8019C" w:rsidRPr="009E6169" w:rsidRDefault="00E8019C" w:rsidP="007A38A3">
      <w:pPr>
        <w:pStyle w:val="Numberbullet0"/>
      </w:pPr>
      <w:r w:rsidRPr="009E6169">
        <w:t xml:space="preserve">Should the sponsor conduct some form of clinical study such as a </w:t>
      </w:r>
      <w:proofErr w:type="spellStart"/>
      <w:r w:rsidRPr="009E6169">
        <w:t>pharmacodynamic</w:t>
      </w:r>
      <w:proofErr w:type="spellEnd"/>
      <w:r w:rsidRPr="009E6169">
        <w:t xml:space="preserve"> study to support the efficacy and safety of this generic compared with the reference?</w:t>
      </w:r>
    </w:p>
    <w:p w:rsidR="00E8019C" w:rsidRPr="00312720" w:rsidRDefault="00E8019C" w:rsidP="007A38A3">
      <w:pPr>
        <w:rPr>
          <w:bCs/>
          <w:iCs/>
          <w:szCs w:val="20"/>
        </w:rPr>
      </w:pPr>
      <w:r>
        <w:rPr>
          <w:bCs/>
          <w:iCs/>
        </w:rPr>
        <w:lastRenderedPageBreak/>
        <w:t>The ACPM noted</w:t>
      </w:r>
      <w:r w:rsidRPr="00047EE8">
        <w:rPr>
          <w:bCs/>
          <w:iCs/>
        </w:rPr>
        <w:t xml:space="preserve"> that </w:t>
      </w:r>
      <w:r w:rsidRPr="00047EE8">
        <w:t xml:space="preserve">the sponsor has not conducted a therapeutic equivalence study or a human </w:t>
      </w:r>
      <w:proofErr w:type="spellStart"/>
      <w:r w:rsidRPr="00047EE8">
        <w:t>pharmacodynamic</w:t>
      </w:r>
      <w:proofErr w:type="spellEnd"/>
      <w:r w:rsidRPr="00047EE8">
        <w:t xml:space="preserve"> study, but has chosen to conduct two </w:t>
      </w:r>
      <w:r w:rsidRPr="007A38A3">
        <w:rPr>
          <w:rFonts w:ascii="Cambria-Italic" w:hAnsi="Cambria-Italic" w:cs="Cambria-Italic"/>
          <w:iCs/>
        </w:rPr>
        <w:t>in vitro</w:t>
      </w:r>
      <w:r w:rsidRPr="00047EE8">
        <w:rPr>
          <w:rFonts w:ascii="Cambria-Italic" w:hAnsi="Cambria-Italic" w:cs="Cambria-Italic"/>
          <w:i/>
          <w:iCs/>
        </w:rPr>
        <w:t xml:space="preserve"> </w:t>
      </w:r>
      <w:r w:rsidRPr="00047EE8">
        <w:t xml:space="preserve">studies as per </w:t>
      </w:r>
      <w:r>
        <w:t>a</w:t>
      </w:r>
      <w:r w:rsidRPr="00047EE8">
        <w:t xml:space="preserve"> guidance document from the FDA (FDA Draft Guidance on </w:t>
      </w:r>
      <w:proofErr w:type="spellStart"/>
      <w:r w:rsidRPr="00047EE8">
        <w:t>sevelamer</w:t>
      </w:r>
      <w:proofErr w:type="spellEnd"/>
      <w:r w:rsidRPr="00047EE8">
        <w:t xml:space="preserve"> hydrochloride, August 2011), which has not been adopted by the TGA.</w:t>
      </w:r>
      <w:r>
        <w:t xml:space="preserve"> The ACPM considered that although the sponsor has agreed to adopt</w:t>
      </w:r>
      <w:r w:rsidRPr="00D651DF">
        <w:rPr>
          <w:bCs/>
          <w:iCs/>
        </w:rPr>
        <w:t xml:space="preserve"> the </w:t>
      </w:r>
      <w:proofErr w:type="spellStart"/>
      <w:r w:rsidRPr="00D651DF">
        <w:rPr>
          <w:bCs/>
          <w:iCs/>
        </w:rPr>
        <w:t>titratable</w:t>
      </w:r>
      <w:proofErr w:type="spellEnd"/>
      <w:r w:rsidRPr="00D651DF">
        <w:rPr>
          <w:bCs/>
          <w:iCs/>
        </w:rPr>
        <w:t xml:space="preserve"> amines and swell index limits to comply with the draft USP monographs</w:t>
      </w:r>
      <w:r>
        <w:rPr>
          <w:bCs/>
          <w:iCs/>
        </w:rPr>
        <w:t xml:space="preserve"> and will </w:t>
      </w:r>
      <w:r w:rsidRPr="00391E69">
        <w:rPr>
          <w:bCs/>
          <w:iCs/>
        </w:rPr>
        <w:t>revise the specification limit for phosphate binding</w:t>
      </w:r>
      <w:r>
        <w:rPr>
          <w:bCs/>
          <w:iCs/>
        </w:rPr>
        <w:t>, the only way that there can be assurance that the proposed product acts the same as the innovator is by conducting a clinical study. The ACPM noted that not all patients taking this medication are severely ill, as suggested by the pre-ACPM response, with some continuing to work, and that it would be possible to conduct a clinical study in this population.</w:t>
      </w:r>
    </w:p>
    <w:p w:rsidR="008E7846" w:rsidRPr="002E238E" w:rsidRDefault="008F7658" w:rsidP="008E7846">
      <w:pPr>
        <w:pStyle w:val="Heading3"/>
      </w:pPr>
      <w:bookmarkStart w:id="159" w:name="_Toc247691532"/>
      <w:bookmarkStart w:id="160" w:name="_Toc314842516"/>
      <w:bookmarkStart w:id="161" w:name="_Toc434909903"/>
      <w:bookmarkEnd w:id="87"/>
      <w:bookmarkEnd w:id="156"/>
      <w:bookmarkEnd w:id="157"/>
      <w:r>
        <w:t>Initial o</w:t>
      </w:r>
      <w:r w:rsidR="008E7846">
        <w:t>utcome</w:t>
      </w:r>
      <w:bookmarkEnd w:id="159"/>
      <w:bookmarkEnd w:id="160"/>
      <w:bookmarkEnd w:id="161"/>
    </w:p>
    <w:p w:rsidR="008F7658" w:rsidRDefault="00D23139" w:rsidP="007A38A3">
      <w:pPr>
        <w:rPr>
          <w:rFonts w:ascii="Arial" w:hAnsi="Arial" w:cs="Arial"/>
          <w:bCs/>
          <w:iCs/>
          <w:szCs w:val="23"/>
          <w:lang w:eastAsia="en-AU"/>
        </w:rPr>
      </w:pPr>
      <w:bookmarkStart w:id="162" w:name="_Toc247691533"/>
      <w:bookmarkStart w:id="163" w:name="_Toc314842517"/>
      <w:r w:rsidRPr="00D23139">
        <w:t xml:space="preserve">Based on a review of quality, safety and efficacy, TGA </w:t>
      </w:r>
      <w:r w:rsidR="00E8019C">
        <w:t>rejected</w:t>
      </w:r>
      <w:r w:rsidRPr="00D23139">
        <w:t xml:space="preserve"> the registration of </w:t>
      </w:r>
      <w:proofErr w:type="spellStart"/>
      <w:r w:rsidR="000325C5" w:rsidRPr="000325C5">
        <w:t>Sevelamer</w:t>
      </w:r>
      <w:proofErr w:type="spellEnd"/>
      <w:r w:rsidR="000325C5" w:rsidRPr="000325C5">
        <w:t xml:space="preserve"> G</w:t>
      </w:r>
      <w:r w:rsidR="000325C5">
        <w:t>PPL</w:t>
      </w:r>
      <w:r w:rsidR="000325C5" w:rsidRPr="000325C5">
        <w:t>/</w:t>
      </w:r>
      <w:proofErr w:type="spellStart"/>
      <w:r w:rsidR="000325C5" w:rsidRPr="000325C5">
        <w:t>Sevelamer</w:t>
      </w:r>
      <w:proofErr w:type="spellEnd"/>
      <w:r w:rsidR="000325C5" w:rsidRPr="000325C5">
        <w:t xml:space="preserve"> </w:t>
      </w:r>
      <w:proofErr w:type="spellStart"/>
      <w:r w:rsidR="000325C5" w:rsidRPr="000325C5">
        <w:t>Gxp</w:t>
      </w:r>
      <w:proofErr w:type="spellEnd"/>
      <w:r w:rsidR="000325C5" w:rsidRPr="000325C5">
        <w:t>/</w:t>
      </w:r>
      <w:proofErr w:type="spellStart"/>
      <w:r w:rsidR="000325C5" w:rsidRPr="000325C5">
        <w:t>Seveligand</w:t>
      </w:r>
      <w:proofErr w:type="spellEnd"/>
      <w:r w:rsidR="000325C5" w:rsidRPr="000325C5">
        <w:t xml:space="preserve"> </w:t>
      </w:r>
      <w:proofErr w:type="spellStart"/>
      <w:r w:rsidR="000325C5" w:rsidRPr="000325C5">
        <w:t>Phosligand</w:t>
      </w:r>
      <w:proofErr w:type="spellEnd"/>
      <w:r w:rsidR="000325C5" w:rsidRPr="000325C5">
        <w:t>/A</w:t>
      </w:r>
      <w:r w:rsidR="000325C5">
        <w:t>PO</w:t>
      </w:r>
      <w:r w:rsidR="000325C5" w:rsidRPr="000325C5">
        <w:t>-</w:t>
      </w:r>
      <w:proofErr w:type="spellStart"/>
      <w:r w:rsidR="000325C5" w:rsidRPr="000325C5">
        <w:t>Sevelamer</w:t>
      </w:r>
      <w:proofErr w:type="spellEnd"/>
      <w:r w:rsidR="000325C5" w:rsidRPr="000325C5">
        <w:t>/</w:t>
      </w:r>
      <w:proofErr w:type="spellStart"/>
      <w:r w:rsidR="000325C5" w:rsidRPr="000325C5">
        <w:t>Sevelamer</w:t>
      </w:r>
      <w:proofErr w:type="spellEnd"/>
      <w:r w:rsidR="000325C5" w:rsidRPr="000325C5">
        <w:t xml:space="preserve"> </w:t>
      </w:r>
      <w:proofErr w:type="spellStart"/>
      <w:r w:rsidR="000325C5" w:rsidRPr="000325C5">
        <w:t>Apotex</w:t>
      </w:r>
      <w:proofErr w:type="spellEnd"/>
      <w:r w:rsidR="000325C5" w:rsidRPr="000325C5">
        <w:t xml:space="preserve">/ </w:t>
      </w:r>
      <w:proofErr w:type="spellStart"/>
      <w:r w:rsidR="000325C5" w:rsidRPr="000325C5">
        <w:t>Chemmart</w:t>
      </w:r>
      <w:proofErr w:type="spellEnd"/>
      <w:r w:rsidR="000325C5" w:rsidRPr="000325C5">
        <w:t xml:space="preserve"> </w:t>
      </w:r>
      <w:proofErr w:type="spellStart"/>
      <w:r w:rsidR="000325C5" w:rsidRPr="000325C5">
        <w:t>Sevelamer</w:t>
      </w:r>
      <w:proofErr w:type="spellEnd"/>
      <w:r w:rsidR="000325C5" w:rsidRPr="000325C5">
        <w:t xml:space="preserve">/ </w:t>
      </w:r>
      <w:proofErr w:type="spellStart"/>
      <w:r w:rsidR="000325C5" w:rsidRPr="000325C5">
        <w:t>Genrx</w:t>
      </w:r>
      <w:proofErr w:type="spellEnd"/>
      <w:r w:rsidR="000325C5" w:rsidRPr="000325C5">
        <w:t xml:space="preserve"> </w:t>
      </w:r>
      <w:proofErr w:type="spellStart"/>
      <w:r w:rsidR="000325C5" w:rsidRPr="000325C5">
        <w:t>Sevelamer</w:t>
      </w:r>
      <w:proofErr w:type="spellEnd"/>
      <w:r w:rsidR="000325C5" w:rsidRPr="000325C5">
        <w:t xml:space="preserve">/Terry White Chemists </w:t>
      </w:r>
      <w:proofErr w:type="spellStart"/>
      <w:r w:rsidR="000325C5" w:rsidRPr="000325C5">
        <w:t>Sevelamer</w:t>
      </w:r>
      <w:proofErr w:type="spellEnd"/>
      <w:r w:rsidR="000325C5">
        <w:rPr>
          <w:rFonts w:ascii="Arial" w:hAnsi="Arial" w:cs="Arial"/>
          <w:bCs/>
          <w:iCs/>
          <w:szCs w:val="23"/>
          <w:lang w:eastAsia="en-AU"/>
        </w:rPr>
        <w:t xml:space="preserve"> </w:t>
      </w:r>
    </w:p>
    <w:p w:rsidR="007A38A3" w:rsidRPr="007A38A3" w:rsidRDefault="008F7658" w:rsidP="007A38A3">
      <w:pPr>
        <w:tabs>
          <w:tab w:val="left" w:pos="720"/>
        </w:tabs>
      </w:pPr>
      <w:r w:rsidRPr="007A38A3">
        <w:t xml:space="preserve">The Delegate notes that the 400 mg tablet initially included in the application was withdrawn as stated in the data enclosed with </w:t>
      </w:r>
      <w:r w:rsidR="00D4540A">
        <w:t>the</w:t>
      </w:r>
      <w:r w:rsidRPr="007A38A3">
        <w:t xml:space="preserve"> company’s email dated 20 May 2014, so from here all of the following, and the term the goods, only refer to the 800 mg tablet</w:t>
      </w:r>
      <w:r w:rsidR="00D23139" w:rsidRPr="007A38A3">
        <w:t>, indicated for:</w:t>
      </w:r>
    </w:p>
    <w:p w:rsidR="007A38A3" w:rsidRPr="007A38A3" w:rsidRDefault="007A38A3" w:rsidP="007A38A3">
      <w:pPr>
        <w:tabs>
          <w:tab w:val="left" w:pos="720"/>
        </w:tabs>
      </w:pPr>
      <w:r w:rsidRPr="007A38A3">
        <w:t>‘</w:t>
      </w:r>
      <w:r w:rsidR="00586D85">
        <w:rPr>
          <w:i/>
        </w:rPr>
        <w:t>F</w:t>
      </w:r>
      <w:r w:rsidRPr="007A38A3">
        <w:rPr>
          <w:i/>
        </w:rPr>
        <w:t xml:space="preserve">or the management of </w:t>
      </w:r>
      <w:proofErr w:type="spellStart"/>
      <w:r w:rsidRPr="007A38A3">
        <w:rPr>
          <w:i/>
        </w:rPr>
        <w:t>hyperphosphataemia</w:t>
      </w:r>
      <w:proofErr w:type="spellEnd"/>
      <w:r w:rsidRPr="007A38A3">
        <w:rPr>
          <w:i/>
        </w:rPr>
        <w:t xml:space="preserve"> in adult patients with </w:t>
      </w:r>
      <w:r w:rsidR="008021F8">
        <w:rPr>
          <w:i/>
        </w:rPr>
        <w:t>Stage 4</w:t>
      </w:r>
      <w:r w:rsidRPr="007A38A3">
        <w:rPr>
          <w:i/>
        </w:rPr>
        <w:t xml:space="preserve"> and 5 chronic kidney disease’</w:t>
      </w:r>
    </w:p>
    <w:p w:rsidR="008F7658" w:rsidRDefault="008F7658" w:rsidP="008F7658">
      <w:pPr>
        <w:pStyle w:val="Heading4"/>
      </w:pPr>
      <w:r>
        <w:t>Reasons for decision</w:t>
      </w:r>
    </w:p>
    <w:p w:rsidR="008F7658" w:rsidRDefault="008F7658" w:rsidP="00503002">
      <w:pPr>
        <w:pStyle w:val="Heading5"/>
      </w:pPr>
      <w:r>
        <w:t>Quality</w:t>
      </w:r>
    </w:p>
    <w:p w:rsidR="002D64ED" w:rsidRDefault="008F7658" w:rsidP="008F7658">
      <w:pPr>
        <w:tabs>
          <w:tab w:val="left" w:pos="426"/>
        </w:tabs>
        <w:spacing w:before="0"/>
      </w:pPr>
      <w:r>
        <w:t xml:space="preserve">There are draft USP monographs for </w:t>
      </w:r>
      <w:proofErr w:type="spellStart"/>
      <w:r>
        <w:t>Sevelamer</w:t>
      </w:r>
      <w:proofErr w:type="spellEnd"/>
      <w:r>
        <w:t xml:space="preserve"> Hydrochloride and </w:t>
      </w:r>
      <w:proofErr w:type="spellStart"/>
      <w:r>
        <w:t>Sevelamer</w:t>
      </w:r>
      <w:proofErr w:type="spellEnd"/>
      <w:r>
        <w:t xml:space="preserve"> Hydrochloride Tablets. In an iterative process up to and including the Pre-ACPM response, the sponsor has amended their specifications of the drug substance and the finished product to align with the requirements of these draft monographs</w:t>
      </w:r>
      <w:r w:rsidR="002D64ED">
        <w:t>.</w:t>
      </w:r>
    </w:p>
    <w:p w:rsidR="002D64ED" w:rsidRDefault="008F7658" w:rsidP="008F7658">
      <w:pPr>
        <w:tabs>
          <w:tab w:val="left" w:pos="426"/>
        </w:tabs>
        <w:spacing w:before="0"/>
      </w:pPr>
      <w:r>
        <w:t xml:space="preserve">Though some batches of the drug substance failed to meet the final limits for phosphate binding capacity (5 of 22 results were low), chloride content (3 of 22 results were low) and </w:t>
      </w:r>
      <w:proofErr w:type="spellStart"/>
      <w:r>
        <w:t>titratable</w:t>
      </w:r>
      <w:proofErr w:type="spellEnd"/>
      <w:r>
        <w:t xml:space="preserve"> amines (9 of 14 results were low), the sponsor has stated that it will pick batches such that the product supplied to Australia will meet the accepted </w:t>
      </w:r>
      <w:r w:rsidRPr="007A38A3">
        <w:t>limits</w:t>
      </w:r>
      <w:r w:rsidR="002D64ED">
        <w:t>.</w:t>
      </w:r>
    </w:p>
    <w:p w:rsidR="002D64ED" w:rsidRDefault="008F7658" w:rsidP="008F7658">
      <w:pPr>
        <w:tabs>
          <w:tab w:val="left" w:pos="426"/>
        </w:tabs>
        <w:spacing w:before="0"/>
      </w:pPr>
      <w:r>
        <w:t>Sufficient other quality data were also included in the dossier and subsequent correspondence</w:t>
      </w:r>
      <w:r w:rsidR="002D64ED">
        <w:t>.</w:t>
      </w:r>
    </w:p>
    <w:p w:rsidR="008F7658" w:rsidRDefault="007A38A3" w:rsidP="008F7658">
      <w:pPr>
        <w:tabs>
          <w:tab w:val="left" w:pos="426"/>
        </w:tabs>
        <w:spacing w:before="0"/>
      </w:pPr>
      <w:r>
        <w:t>The Delegate</w:t>
      </w:r>
      <w:r w:rsidR="008F7658">
        <w:t xml:space="preserve"> therefore accept</w:t>
      </w:r>
      <w:r w:rsidR="002C03E3">
        <w:t>s</w:t>
      </w:r>
      <w:r w:rsidR="008F7658">
        <w:t xml:space="preserve"> that the proposed drug substance and drug product are of adequate quality.</w:t>
      </w:r>
    </w:p>
    <w:p w:rsidR="008F7658" w:rsidRDefault="008F7658" w:rsidP="00503002">
      <w:pPr>
        <w:pStyle w:val="Heading5"/>
      </w:pPr>
      <w:r>
        <w:t>Efficacy</w:t>
      </w:r>
    </w:p>
    <w:p w:rsidR="002D64ED" w:rsidRDefault="008F7658" w:rsidP="008F7658">
      <w:pPr>
        <w:tabs>
          <w:tab w:val="left" w:pos="426"/>
        </w:tabs>
        <w:spacing w:before="0"/>
        <w:rPr>
          <w:szCs w:val="16"/>
        </w:rPr>
      </w:pPr>
      <w:r>
        <w:rPr>
          <w:szCs w:val="16"/>
        </w:rPr>
        <w:t>The sponsor has argued throughout that just matching certain parameters relating to the drug substance and the drug product to those of the Australian Reference product and performing the phosphate binding studies as stipulated in the FDA Draft Guidance of August 2010 should be sufficient to register the product</w:t>
      </w:r>
      <w:r w:rsidR="002D64ED">
        <w:rPr>
          <w:szCs w:val="16"/>
        </w:rPr>
        <w:t>.</w:t>
      </w:r>
    </w:p>
    <w:p w:rsidR="008F7658" w:rsidRDefault="008F7658" w:rsidP="008F7658">
      <w:pPr>
        <w:tabs>
          <w:tab w:val="left" w:pos="426"/>
        </w:tabs>
        <w:spacing w:before="0"/>
        <w:rPr>
          <w:szCs w:val="16"/>
        </w:rPr>
      </w:pPr>
      <w:r>
        <w:rPr>
          <w:szCs w:val="16"/>
        </w:rPr>
        <w:t>This premise is not accepted for a number of reasons (in no order of merit).</w:t>
      </w:r>
    </w:p>
    <w:p w:rsidR="008F7658" w:rsidRDefault="008F7658" w:rsidP="007A38A3">
      <w:pPr>
        <w:pStyle w:val="Numberbullet2"/>
        <w:rPr>
          <w:szCs w:val="20"/>
        </w:rPr>
      </w:pPr>
      <w:r>
        <w:t>The FDA guidance is still draft, is stated to contain nonbinding recommendations (so that even if all the criteria are met the FDA may still decide not to register), and this guidance has not been adopted by the TGA.</w:t>
      </w:r>
    </w:p>
    <w:p w:rsidR="002D64ED" w:rsidRDefault="008F7658" w:rsidP="007A38A3">
      <w:pPr>
        <w:pStyle w:val="Numberbullet2"/>
        <w:rPr>
          <w:szCs w:val="16"/>
        </w:rPr>
      </w:pPr>
      <w:r>
        <w:lastRenderedPageBreak/>
        <w:t>Though the sponsor now agrees to match the draft USP monograph requirements for the drug substance and drug product and the quality is acceptable, the results of some parameters were d</w:t>
      </w:r>
      <w:r>
        <w:rPr>
          <w:szCs w:val="16"/>
        </w:rPr>
        <w:t xml:space="preserve">ifferent for the goods compared to the Australian Reference product and some batches would not have met the </w:t>
      </w:r>
      <w:r>
        <w:t>draft USP monograph requirements</w:t>
      </w:r>
      <w:r w:rsidR="002D64ED">
        <w:rPr>
          <w:szCs w:val="16"/>
        </w:rPr>
        <w:t>.</w:t>
      </w:r>
    </w:p>
    <w:p w:rsidR="008F7658" w:rsidRDefault="008F7658" w:rsidP="007A38A3">
      <w:pPr>
        <w:pStyle w:val="Numberbullet2"/>
        <w:rPr>
          <w:szCs w:val="16"/>
        </w:rPr>
      </w:pPr>
      <w:r>
        <w:rPr>
          <w:szCs w:val="16"/>
        </w:rPr>
        <w:t xml:space="preserve">Further </w:t>
      </w:r>
      <w:r>
        <w:t>the nature of the drug substance is such that differences in the method of manufacture may lead to differences in the 3D structure (which cannot be controlled by the routine quality control tests) that may lead to the proposed product having a different safety and efficacy compared to the Australian Reference product.</w:t>
      </w:r>
      <w:r w:rsidR="000325C5">
        <w:t xml:space="preserve"> </w:t>
      </w:r>
      <w:r>
        <w:rPr>
          <w:szCs w:val="16"/>
        </w:rPr>
        <w:t>This is borne out by the most recent (December 2014) version of the FDA draft guidance that is the first version to refer to applying to generic products and includes two pages of data required to demonstrate the chemical equivalence of drug substances from different sources.</w:t>
      </w:r>
    </w:p>
    <w:p w:rsidR="008F7658" w:rsidRDefault="008F7658" w:rsidP="007A38A3">
      <w:pPr>
        <w:pStyle w:val="Numberbullet2"/>
      </w:pPr>
      <w:r>
        <w:t xml:space="preserve">The phosphate studies performed by the sponsor (and in particular the equilibrium studies) were only repeated for 6 replicates and only to a phosphate concentration of 40 </w:t>
      </w:r>
      <w:proofErr w:type="spellStart"/>
      <w:r>
        <w:t>mM.</w:t>
      </w:r>
      <w:proofErr w:type="spellEnd"/>
      <w:r>
        <w:t xml:space="preserve"> This was the requirement in the August 2010 version of the FDA guidance. However this requirement was changed in later versions to the performance of 12 replicates to a phosphate concentration such as to encompass the maximum phosphate binding concentration.</w:t>
      </w:r>
    </w:p>
    <w:p w:rsidR="002D64ED" w:rsidRDefault="008F7658" w:rsidP="007A38A3">
      <w:pPr>
        <w:pStyle w:val="Numberbullet2"/>
      </w:pPr>
      <w:r>
        <w:t xml:space="preserve">Though some data to a phosphate binding concentration of 70 </w:t>
      </w:r>
      <w:proofErr w:type="spellStart"/>
      <w:r>
        <w:t>mM</w:t>
      </w:r>
      <w:proofErr w:type="spellEnd"/>
      <w:r>
        <w:t xml:space="preserve"> were provided, </w:t>
      </w:r>
      <w:r w:rsidR="007A38A3">
        <w:t>the Delegate</w:t>
      </w:r>
      <w:r>
        <w:t xml:space="preserve"> accept</w:t>
      </w:r>
      <w:r w:rsidR="007A38A3">
        <w:t>s</w:t>
      </w:r>
      <w:r>
        <w:t xml:space="preserve"> the advice of the PSC that because of the apparent variability, 12 replicates to a phosphate concentration which clearly shows maximum binding would be required</w:t>
      </w:r>
      <w:r w:rsidR="002D64ED">
        <w:t>.</w:t>
      </w:r>
    </w:p>
    <w:p w:rsidR="008F7658" w:rsidRDefault="008F7658" w:rsidP="007A38A3">
      <w:pPr>
        <w:pStyle w:val="Numberbullet2"/>
      </w:pPr>
      <w:r>
        <w:t>The TGA clinical evaluator and the ACPM concluded that it can only be assured that the proposed product acts the same as the innovator is by conducting a clinical study.</w:t>
      </w:r>
    </w:p>
    <w:p w:rsidR="008F7658" w:rsidRDefault="008F7658" w:rsidP="008F7658">
      <w:pPr>
        <w:pStyle w:val="ListParagraph"/>
        <w:tabs>
          <w:tab w:val="left" w:pos="426"/>
        </w:tabs>
        <w:ind w:left="851"/>
      </w:pPr>
      <w:r>
        <w:t xml:space="preserve">This is consistent with the EU Guidance adopted in Australia (CPMP/QWP/239/95) and the approach taken in Europe where the first generic product of </w:t>
      </w:r>
      <w:proofErr w:type="spellStart"/>
      <w:r>
        <w:t>sevelamer</w:t>
      </w:r>
      <w:proofErr w:type="spellEnd"/>
      <w:r>
        <w:t xml:space="preserve"> carbonate tablets was approved in 2014</w:t>
      </w:r>
      <w:r>
        <w:rPr>
          <w:rStyle w:val="FootnoteReference"/>
        </w:rPr>
        <w:footnoteReference w:id="20"/>
      </w:r>
      <w:r>
        <w:t>. The news item for this event clearly indicated that a Phase III safety and efficacy study was required for this approval: ‘</w:t>
      </w:r>
      <w:r w:rsidRPr="005648DE">
        <w:rPr>
          <w:i/>
        </w:rPr>
        <w:t xml:space="preserve">as </w:t>
      </w:r>
      <w:proofErr w:type="spellStart"/>
      <w:r w:rsidRPr="005648DE">
        <w:rPr>
          <w:i/>
        </w:rPr>
        <w:t>sevelamer</w:t>
      </w:r>
      <w:proofErr w:type="spellEnd"/>
      <w:r w:rsidRPr="005648DE">
        <w:rPr>
          <w:i/>
        </w:rPr>
        <w:t xml:space="preserve"> is a polymer that is not absorbed from the gastro-intestinal tract, a conventional bioequivalence study is not possible for this product. </w:t>
      </w:r>
      <w:proofErr w:type="spellStart"/>
      <w:r w:rsidRPr="005648DE">
        <w:rPr>
          <w:i/>
        </w:rPr>
        <w:t>Synthon’s</w:t>
      </w:r>
      <w:proofErr w:type="spellEnd"/>
      <w:r w:rsidRPr="005648DE">
        <w:rPr>
          <w:i/>
        </w:rPr>
        <w:t xml:space="preserve"> clinical equivalence study was set up following Scientific Advice from several European regulatory authorities’</w:t>
      </w:r>
      <w:r>
        <w:t>.</w:t>
      </w:r>
    </w:p>
    <w:p w:rsidR="008F7658" w:rsidRDefault="008F7658" w:rsidP="008F7658">
      <w:pPr>
        <w:pStyle w:val="ListParagraph"/>
        <w:tabs>
          <w:tab w:val="left" w:pos="426"/>
        </w:tabs>
        <w:ind w:left="851"/>
      </w:pPr>
    </w:p>
    <w:p w:rsidR="008F7658" w:rsidRDefault="008F7658" w:rsidP="008F7658">
      <w:pPr>
        <w:tabs>
          <w:tab w:val="left" w:pos="426"/>
          <w:tab w:val="left" w:pos="851"/>
        </w:tabs>
        <w:spacing w:before="0" w:after="0" w:line="240" w:lineRule="auto"/>
      </w:pPr>
      <w:r>
        <w:t xml:space="preserve">Thus </w:t>
      </w:r>
      <w:r w:rsidR="005648DE">
        <w:t>the Delegate</w:t>
      </w:r>
      <w:r>
        <w:t xml:space="preserve"> conclude</w:t>
      </w:r>
      <w:r w:rsidR="005648DE">
        <w:t>s</w:t>
      </w:r>
      <w:r>
        <w:t xml:space="preserve"> that a clinical study is required to demonstrate the efficacy of the proposed 800 mg goods.</w:t>
      </w:r>
    </w:p>
    <w:p w:rsidR="008F7658" w:rsidRDefault="008F7658" w:rsidP="00503002">
      <w:pPr>
        <w:pStyle w:val="Heading5"/>
      </w:pPr>
      <w:r>
        <w:t>Safety</w:t>
      </w:r>
    </w:p>
    <w:p w:rsidR="008F7658" w:rsidRDefault="008F7658" w:rsidP="008F7658">
      <w:pPr>
        <w:tabs>
          <w:tab w:val="left" w:pos="426"/>
          <w:tab w:val="left" w:pos="851"/>
        </w:tabs>
        <w:spacing w:before="0" w:after="0" w:line="240" w:lineRule="auto"/>
        <w:rPr>
          <w:szCs w:val="20"/>
        </w:rPr>
      </w:pPr>
      <w:r>
        <w:t xml:space="preserve">For the same reasons mentioned under efficacy above, </w:t>
      </w:r>
      <w:r w:rsidR="005648DE">
        <w:t>the Delegate</w:t>
      </w:r>
      <w:r>
        <w:t xml:space="preserve"> conclude</w:t>
      </w:r>
      <w:r w:rsidR="005648DE">
        <w:t>s</w:t>
      </w:r>
      <w:r>
        <w:t xml:space="preserve"> that a clinical study is required to demonstrate the safety of the proposed 800 mg goods.</w:t>
      </w:r>
    </w:p>
    <w:p w:rsidR="002D64ED" w:rsidRDefault="008F7658" w:rsidP="008F7658">
      <w:pPr>
        <w:tabs>
          <w:tab w:val="left" w:pos="426"/>
          <w:tab w:val="left" w:pos="851"/>
        </w:tabs>
        <w:spacing w:before="0" w:after="0" w:line="240" w:lineRule="auto"/>
      </w:pPr>
      <w:r>
        <w:t xml:space="preserve">In particular, the clinical evaluation points out that a known adverse event of the Australian Reference product is related to the decrease in systemic bicarbonate ions (the drug substance may bind bicarbonate ions as well as phosphate ions) and no data was </w:t>
      </w:r>
      <w:r w:rsidRPr="005648DE">
        <w:t>provided to demonstrate that the goods will not lead to lower systemic levels of bicarbonate</w:t>
      </w:r>
      <w:r w:rsidR="002D64ED">
        <w:t>.</w:t>
      </w:r>
    </w:p>
    <w:p w:rsidR="008F7658" w:rsidRDefault="008F7658" w:rsidP="008F7658">
      <w:pPr>
        <w:pStyle w:val="Heading4"/>
      </w:pPr>
      <w:r>
        <w:lastRenderedPageBreak/>
        <w:t>Conclusion</w:t>
      </w:r>
      <w:r w:rsidR="00EF56D8">
        <w:t xml:space="preserve"> and decision</w:t>
      </w:r>
    </w:p>
    <w:p w:rsidR="002D64ED" w:rsidRDefault="008F7658" w:rsidP="005648DE">
      <w:r>
        <w:t xml:space="preserve">For the reasons set out above, </w:t>
      </w:r>
      <w:r w:rsidR="005648DE">
        <w:t>the Delegate</w:t>
      </w:r>
      <w:r>
        <w:t xml:space="preserve"> decided not to register the goods because the safety and efficacy of the goods has not been satisfactorily established</w:t>
      </w:r>
      <w:r w:rsidR="002D64ED">
        <w:t>.</w:t>
      </w:r>
    </w:p>
    <w:p w:rsidR="008F7658" w:rsidRDefault="00EF56D8" w:rsidP="005648DE">
      <w:r>
        <w:t xml:space="preserve">Following the initial decision described above, the sponsor sought a review under the </w:t>
      </w:r>
      <w:r w:rsidRPr="005648DE">
        <w:t>provisions of Section 60 of the Therapeutics Goods Act.</w:t>
      </w:r>
    </w:p>
    <w:p w:rsidR="00D23139" w:rsidRPr="00D23139" w:rsidRDefault="00D23139" w:rsidP="00503002">
      <w:pPr>
        <w:pStyle w:val="Heading3"/>
      </w:pPr>
      <w:bookmarkStart w:id="164" w:name="_Toc434909904"/>
      <w:r w:rsidRPr="00D23139">
        <w:t>Final outcome</w:t>
      </w:r>
      <w:bookmarkEnd w:id="164"/>
    </w:p>
    <w:p w:rsidR="008F7658" w:rsidRPr="005648DE" w:rsidRDefault="008F7658" w:rsidP="008F7658">
      <w:r w:rsidRPr="005648DE">
        <w:t>The Delegate of the Minister for the review noted that paragraph 25(1</w:t>
      </w:r>
      <w:proofErr w:type="gramStart"/>
      <w:r w:rsidRPr="005648DE">
        <w:t>)(</w:t>
      </w:r>
      <w:proofErr w:type="gramEnd"/>
      <w:r w:rsidRPr="005648DE">
        <w:t>d) of the Therapeutic Goods Act, which requires the goods to be evaluated with regard to whether the quality, safety and efficacy of the goods for the purposes for which they are to be used have been satisfactorily established, is of particular relevance.</w:t>
      </w:r>
    </w:p>
    <w:p w:rsidR="008F7658" w:rsidRDefault="008F7658" w:rsidP="008F7658">
      <w:r>
        <w:t>The following is an excerpt from the Delegate of the Minister’s report</w:t>
      </w:r>
      <w:r w:rsidR="000325C5">
        <w:t>:</w:t>
      </w:r>
    </w:p>
    <w:p w:rsidR="002D64ED" w:rsidRDefault="000325C5" w:rsidP="00503002">
      <w:r>
        <w:t>Concerns regarding the quality of the product were resolved. The outstanding issues concern therapeutic equivalence and safety of the product proposed for registration. There is no clinical evidence to support therapeutic equivalence or safety of the product proposed for registration on the ARTG</w:t>
      </w:r>
      <w:r w:rsidR="002D64ED">
        <w:t>.</w:t>
      </w:r>
    </w:p>
    <w:p w:rsidR="000325C5" w:rsidRDefault="000325C5" w:rsidP="00503002">
      <w:r w:rsidRPr="00E62714">
        <w:t>The sponsor has claimed that matching certain parameters relating to the drug substance and the drug product to those of the Australian Reference product and performing the phosphate binding studies as stipulated in the FDA Draft Guidance of August 2010 should be sufficient to register the product.</w:t>
      </w:r>
    </w:p>
    <w:p w:rsidR="002D64ED" w:rsidRDefault="000325C5" w:rsidP="00503002">
      <w:r>
        <w:t xml:space="preserve">It has not been made clear to the TGA why that FDA document should be the basis for a conclusion of therapeutic equivalence. </w:t>
      </w:r>
      <w:r w:rsidRPr="000A414F">
        <w:t xml:space="preserve">The FDA document Draft Guidance on </w:t>
      </w:r>
      <w:proofErr w:type="spellStart"/>
      <w:r w:rsidRPr="000A414F">
        <w:t>Sevelamer</w:t>
      </w:r>
      <w:proofErr w:type="spellEnd"/>
      <w:r w:rsidRPr="000A414F">
        <w:t xml:space="preserve"> Hydrochloride (2010) is a draft document and has since been superseded by another draft FDA document.</w:t>
      </w:r>
      <w:r>
        <w:t xml:space="preserve"> </w:t>
      </w:r>
      <w:r w:rsidRPr="000A414F">
        <w:t xml:space="preserve">These FDA guidelines include the statement that </w:t>
      </w:r>
      <w:r w:rsidR="005648DE">
        <w:t>‘</w:t>
      </w:r>
      <w:r w:rsidRPr="00A2423F">
        <w:rPr>
          <w:i/>
        </w:rPr>
        <w:t>This draft guidance, once finalized will represent the Food and Drug Administration’s (FDA’s) current thinking on this topic.</w:t>
      </w:r>
      <w:r>
        <w:rPr>
          <w:i/>
        </w:rPr>
        <w:t xml:space="preserve"> </w:t>
      </w:r>
      <w:r w:rsidRPr="00A2423F">
        <w:rPr>
          <w:i/>
        </w:rPr>
        <w:t>It is a draft and does not create or confer any rights for or on any person and does not operate to bind the FDA or the public</w:t>
      </w:r>
      <w:r w:rsidR="005648DE">
        <w:rPr>
          <w:i/>
        </w:rPr>
        <w:t>’</w:t>
      </w:r>
      <w:r w:rsidRPr="000A414F">
        <w:t>.</w:t>
      </w:r>
      <w:r>
        <w:t xml:space="preserve"> Additionally the </w:t>
      </w:r>
      <w:r w:rsidRPr="000A414F">
        <w:t xml:space="preserve">recommendations for equilibrium binding studies in those guidance documents were not </w:t>
      </w:r>
      <w:r>
        <w:t xml:space="preserve">fully </w:t>
      </w:r>
      <w:r w:rsidRPr="000A414F">
        <w:t>met in the submitted data</w:t>
      </w:r>
      <w:r w:rsidR="002D64ED">
        <w:t>.</w:t>
      </w:r>
    </w:p>
    <w:p w:rsidR="002D64ED" w:rsidRDefault="000325C5" w:rsidP="00503002">
      <w:r>
        <w:t>T</w:t>
      </w:r>
      <w:r w:rsidRPr="001F6E85">
        <w:t xml:space="preserve">he sponsor has not demonstrated that the </w:t>
      </w:r>
      <w:proofErr w:type="spellStart"/>
      <w:r w:rsidRPr="001F6E85">
        <w:t>sevelamer</w:t>
      </w:r>
      <w:proofErr w:type="spellEnd"/>
      <w:r w:rsidRPr="001F6E85">
        <w:t xml:space="preserve"> product proposed for registration has the same 3-dimentional structure as the reference product.</w:t>
      </w:r>
      <w:r>
        <w:t xml:space="preserve"> Therefore the product may not be therapeutically equivalent to the reference product and the safety profile may differ from that of the reference product</w:t>
      </w:r>
      <w:r w:rsidR="002D64ED">
        <w:t>.</w:t>
      </w:r>
    </w:p>
    <w:p w:rsidR="002D64ED" w:rsidRDefault="000325C5" w:rsidP="00503002">
      <w:r>
        <w:t>Differences in phosphate binding between the product proposed for registration and the reference product also suggest that the products may not be therapeutically equivalent and that there may be differences in safety between these products. While some samples of the product proposed for registration have shown the same phosphate binding profile as the reference product</w:t>
      </w:r>
      <w:r w:rsidRPr="001F6E85">
        <w:t xml:space="preserve"> on in vitro testing</w:t>
      </w:r>
      <w:r>
        <w:t xml:space="preserve">, it is not known whether the binding sites will act in the same way for other molecules </w:t>
      </w:r>
      <w:r w:rsidRPr="001F6E85">
        <w:t>in vivo</w:t>
      </w:r>
      <w:r w:rsidRPr="005648DE">
        <w:t xml:space="preserve">. </w:t>
      </w:r>
      <w:r w:rsidR="005648DE" w:rsidRPr="005648DE">
        <w:t>The Delegate has</w:t>
      </w:r>
      <w:r w:rsidRPr="005648DE">
        <w:t xml:space="preserve"> particular</w:t>
      </w:r>
      <w:r>
        <w:t xml:space="preserve"> concern that the binding of bicarbonate ions may differ from that of the reference product. Differences in bicarbonate binding could affect the incidence of metabolic acidosis, a condition to which patients with chronic renal failure are vulnerable</w:t>
      </w:r>
      <w:r w:rsidR="002D64ED">
        <w:t>.</w:t>
      </w:r>
    </w:p>
    <w:p w:rsidR="002D64ED" w:rsidRDefault="000325C5" w:rsidP="00503002">
      <w:r>
        <w:t xml:space="preserve">The TGA has issued guidance via adopted EMA documents and </w:t>
      </w:r>
      <w:r w:rsidRPr="00912BF7">
        <w:t xml:space="preserve">Guidance 15: </w:t>
      </w:r>
      <w:proofErr w:type="spellStart"/>
      <w:r w:rsidRPr="00912BF7">
        <w:t>Biopharmaceutic</w:t>
      </w:r>
      <w:proofErr w:type="spellEnd"/>
      <w:r w:rsidRPr="00912BF7">
        <w:t xml:space="preserve"> studies Version 1.1(previously ARGPM 15 </w:t>
      </w:r>
      <w:proofErr w:type="spellStart"/>
      <w:r w:rsidRPr="00912BF7">
        <w:t>Biopharmaceutic</w:t>
      </w:r>
      <w:proofErr w:type="spellEnd"/>
      <w:r w:rsidRPr="00912BF7">
        <w:t xml:space="preserve"> studies) </w:t>
      </w:r>
      <w:r>
        <w:t xml:space="preserve">to provide recommendations on the data that should be submitted to support registrations of these types of therapeutic goods </w:t>
      </w:r>
      <w:r w:rsidR="00EF56D8">
        <w:t>that is</w:t>
      </w:r>
      <w:r>
        <w:t xml:space="preserve"> locally applied, locally acting products. The recommendations in that guideline have not been adequately met</w:t>
      </w:r>
      <w:r w:rsidR="002D64ED">
        <w:t>.</w:t>
      </w:r>
    </w:p>
    <w:p w:rsidR="000325C5" w:rsidRDefault="000325C5" w:rsidP="00503002">
      <w:pPr>
        <w:pStyle w:val="Heading4"/>
      </w:pPr>
      <w:r>
        <w:lastRenderedPageBreak/>
        <w:t>Conclusion</w:t>
      </w:r>
      <w:r w:rsidR="00EF56D8">
        <w:t xml:space="preserve"> and decision</w:t>
      </w:r>
    </w:p>
    <w:p w:rsidR="002D64ED" w:rsidRDefault="000325C5" w:rsidP="00503002">
      <w:r>
        <w:t xml:space="preserve">Therapeutic equivalence </w:t>
      </w:r>
      <w:r w:rsidR="004A46DC">
        <w:t xml:space="preserve">between </w:t>
      </w:r>
      <w:r>
        <w:t>the reference product and the safety of the product proposed for registration ha</w:t>
      </w:r>
      <w:r w:rsidR="004A46DC">
        <w:t>s</w:t>
      </w:r>
      <w:r>
        <w:t xml:space="preserve"> not been demonstrated. Therefore </w:t>
      </w:r>
      <w:r w:rsidR="005648DE">
        <w:t>the Delegate</w:t>
      </w:r>
      <w:r>
        <w:t xml:space="preserve"> ha</w:t>
      </w:r>
      <w:r w:rsidR="005648DE">
        <w:t>s</w:t>
      </w:r>
      <w:r>
        <w:t xml:space="preserve"> decided to </w:t>
      </w:r>
      <w:r w:rsidRPr="00AF58CE">
        <w:t xml:space="preserve">confirm the initial decision on the basis that safety and efficacy of the product proposed for registration on the ARTG have not been </w:t>
      </w:r>
      <w:r>
        <w:t>satisfactorily established</w:t>
      </w:r>
      <w:r w:rsidR="002D64ED">
        <w:t>.</w:t>
      </w:r>
    </w:p>
    <w:p w:rsidR="008F7658" w:rsidRDefault="008F7658" w:rsidP="00503002">
      <w:pPr>
        <w:pStyle w:val="Heading3"/>
      </w:pPr>
      <w:bookmarkStart w:id="165" w:name="_Toc434909905"/>
      <w:r>
        <w:t xml:space="preserve">Outcome from appeal to the Administrative </w:t>
      </w:r>
      <w:r w:rsidRPr="005648DE">
        <w:t>Appeals</w:t>
      </w:r>
      <w:r>
        <w:t xml:space="preserve"> Tribunal (AAT)</w:t>
      </w:r>
      <w:bookmarkEnd w:id="165"/>
    </w:p>
    <w:p w:rsidR="008F7658" w:rsidRDefault="008F7658" w:rsidP="008F7658">
      <w:r>
        <w:t xml:space="preserve">The sponsor has appealed to the Administrative Appeals Tribunal (AAT) for review of the TGA’s decision not to register </w:t>
      </w:r>
      <w:proofErr w:type="spellStart"/>
      <w:r w:rsidRPr="005648DE">
        <w:t>Sevelamer</w:t>
      </w:r>
      <w:proofErr w:type="spellEnd"/>
      <w:r w:rsidRPr="005648DE">
        <w:t>. Th</w:t>
      </w:r>
      <w:r w:rsidR="008408A6" w:rsidRPr="005648DE">
        <w:t xml:space="preserve">is </w:t>
      </w:r>
      <w:proofErr w:type="spellStart"/>
      <w:r w:rsidR="008408A6" w:rsidRPr="005648DE">
        <w:t>AusPAR</w:t>
      </w:r>
      <w:proofErr w:type="spellEnd"/>
      <w:r w:rsidR="008408A6" w:rsidRPr="005648DE">
        <w:t xml:space="preserve"> will be updated with the outcome of this review when </w:t>
      </w:r>
      <w:r w:rsidRPr="005648DE">
        <w:t>known.</w:t>
      </w:r>
    </w:p>
    <w:p w:rsidR="00C80137" w:rsidRDefault="00C80137" w:rsidP="00C80137">
      <w:pPr>
        <w:pStyle w:val="Heading2"/>
        <w:rPr>
          <w:lang w:eastAsia="en-AU"/>
        </w:rPr>
      </w:pPr>
      <w:bookmarkStart w:id="166" w:name="_Toc434909906"/>
      <w:bookmarkEnd w:id="162"/>
      <w:bookmarkEnd w:id="163"/>
      <w:proofErr w:type="gramStart"/>
      <w:r>
        <w:rPr>
          <w:lang w:eastAsia="en-AU"/>
        </w:rPr>
        <w:t xml:space="preserve">Attachment </w:t>
      </w:r>
      <w:r w:rsidR="00E8019C">
        <w:rPr>
          <w:lang w:eastAsia="en-AU"/>
        </w:rPr>
        <w:t>1</w:t>
      </w:r>
      <w:r>
        <w:rPr>
          <w:lang w:eastAsia="en-AU"/>
        </w:rPr>
        <w:t>.</w:t>
      </w:r>
      <w:proofErr w:type="gramEnd"/>
      <w:r w:rsidR="00A80B5B">
        <w:rPr>
          <w:lang w:eastAsia="en-AU"/>
        </w:rPr>
        <w:t xml:space="preserve"> </w:t>
      </w:r>
      <w:r>
        <w:rPr>
          <w:lang w:eastAsia="en-AU"/>
        </w:rPr>
        <w:t>Extract from the Clinical Evaluation Report</w:t>
      </w:r>
      <w:bookmarkEnd w:id="166"/>
    </w:p>
    <w:p w:rsidR="00291957" w:rsidRDefault="00291957" w:rsidP="00291957">
      <w:pPr>
        <w:rPr>
          <w:lang w:eastAsia="ja-JP"/>
        </w:rPr>
      </w:pPr>
    </w:p>
    <w:p w:rsidR="00C80137" w:rsidRPr="001D043B" w:rsidRDefault="00C80137" w:rsidP="003A7F6C">
      <w:pPr>
        <w:pStyle w:val="TableTitle"/>
        <w:sectPr w:rsidR="00C80137" w:rsidRPr="001D043B" w:rsidSect="00B452CE">
          <w:headerReference w:type="even" r:id="rId15"/>
          <w:headerReference w:type="default" r:id="rId16"/>
          <w:headerReference w:type="first" r:id="rId17"/>
          <w:footerReference w:type="first" r:id="rId18"/>
          <w:pgSz w:w="11906" w:h="16838" w:code="9"/>
          <w:pgMar w:top="834" w:right="1701" w:bottom="1191" w:left="1701" w:header="907" w:footer="216" w:gutter="0"/>
          <w:cols w:space="708"/>
          <w:docGrid w:linePitch="360"/>
        </w:sectPr>
      </w:pPr>
    </w:p>
    <w:tbl>
      <w:tblPr>
        <w:tblW w:w="9175" w:type="dxa"/>
        <w:tblInd w:w="-284" w:type="dxa"/>
        <w:tblLayout w:type="fixed"/>
        <w:tblCellMar>
          <w:left w:w="0" w:type="dxa"/>
          <w:right w:w="0" w:type="dxa"/>
        </w:tblCellMar>
        <w:tblLook w:val="04A0" w:firstRow="1" w:lastRow="0" w:firstColumn="1" w:lastColumn="0" w:noHBand="0" w:noVBand="1"/>
      </w:tblPr>
      <w:tblGrid>
        <w:gridCol w:w="9175"/>
      </w:tblGrid>
      <w:tr w:rsidR="001C32CD" w:rsidRPr="00487162" w:rsidTr="00A05FA4">
        <w:trPr>
          <w:trHeight w:hRule="exact" w:val="704"/>
        </w:trPr>
        <w:tc>
          <w:tcPr>
            <w:tcW w:w="9175" w:type="dxa"/>
          </w:tcPr>
          <w:p w:rsidR="001C32CD" w:rsidRPr="00487162" w:rsidRDefault="001C32CD" w:rsidP="00A05FA4">
            <w:pPr>
              <w:pStyle w:val="TGASignoff"/>
            </w:pPr>
            <w:r w:rsidRPr="00487162">
              <w:lastRenderedPageBreak/>
              <w:t>Therapeutic Goods Administration</w:t>
            </w:r>
          </w:p>
        </w:tc>
      </w:tr>
      <w:tr w:rsidR="001C32CD" w:rsidRPr="004C239D" w:rsidTr="00A05FA4">
        <w:trPr>
          <w:trHeight w:val="1221"/>
        </w:trPr>
        <w:tc>
          <w:tcPr>
            <w:tcW w:w="9175" w:type="dxa"/>
            <w:tcMar>
              <w:top w:w="28" w:type="dxa"/>
            </w:tcMar>
          </w:tcPr>
          <w:p w:rsidR="001C32CD" w:rsidRPr="00487162" w:rsidRDefault="001C32CD" w:rsidP="00A05FA4">
            <w:pPr>
              <w:pStyle w:val="Address"/>
            </w:pPr>
            <w:r w:rsidRPr="00487162">
              <w:t>PO Box 100 Woden ACT 2606 Australia</w:t>
            </w:r>
          </w:p>
          <w:p w:rsidR="001C32CD" w:rsidRPr="00487162" w:rsidRDefault="001C32CD" w:rsidP="00A05FA4">
            <w:pPr>
              <w:pStyle w:val="Address"/>
            </w:pPr>
            <w:r w:rsidRPr="00487162">
              <w:t xml:space="preserve">Email: </w:t>
            </w:r>
            <w:hyperlink r:id="rId19" w:history="1">
              <w:r w:rsidRPr="004C239D">
                <w:rPr>
                  <w:rStyle w:val="Hyperlink"/>
                </w:rPr>
                <w:t>info@tga.gov.au</w:t>
              </w:r>
            </w:hyperlink>
            <w:r w:rsidR="000325C5">
              <w:t xml:space="preserve"> </w:t>
            </w:r>
            <w:r w:rsidRPr="00487162">
              <w:t>Phone: 1800 020 653</w:t>
            </w:r>
            <w:r w:rsidR="000325C5">
              <w:t xml:space="preserve"> </w:t>
            </w:r>
            <w:r w:rsidRPr="00487162">
              <w:t>Fax: 02 6232 8605</w:t>
            </w:r>
          </w:p>
          <w:p w:rsidR="001C32CD" w:rsidRPr="004C239D" w:rsidRDefault="00141024" w:rsidP="00A05FA4">
            <w:pPr>
              <w:pStyle w:val="Address"/>
              <w:spacing w:line="260" w:lineRule="atLeast"/>
              <w:rPr>
                <w:b/>
                <w:color w:val="0000FF"/>
                <w:u w:val="single"/>
              </w:rPr>
            </w:pPr>
            <w:hyperlink r:id="rId20" w:history="1">
              <w:r w:rsidR="004F47D6">
                <w:rPr>
                  <w:rStyle w:val="Hyperlink"/>
                  <w:b/>
                </w:rPr>
                <w:t>https://www.tga.gov.au</w:t>
              </w:r>
            </w:hyperlink>
          </w:p>
        </w:tc>
      </w:tr>
    </w:tbl>
    <w:p w:rsidR="00774E1D" w:rsidRPr="008A5E0B" w:rsidRDefault="00774E1D" w:rsidP="004C239D"/>
    <w:sectPr w:rsidR="00774E1D" w:rsidRPr="008A5E0B" w:rsidSect="001C32CD">
      <w:headerReference w:type="even" r:id="rId21"/>
      <w:headerReference w:type="default" r:id="rId22"/>
      <w:footerReference w:type="default" r:id="rId23"/>
      <w:headerReference w:type="first" r:id="rId24"/>
      <w:footerReference w:type="first" r:id="rId25"/>
      <w:pgSz w:w="11906" w:h="16838" w:code="9"/>
      <w:pgMar w:top="13467" w:right="1701" w:bottom="426" w:left="1701" w:header="90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4ED" w:rsidRDefault="002D64ED" w:rsidP="00C40A36">
      <w:pPr>
        <w:spacing w:after="0"/>
      </w:pPr>
      <w:r>
        <w:separator/>
      </w:r>
    </w:p>
  </w:endnote>
  <w:endnote w:type="continuationSeparator" w:id="0">
    <w:p w:rsidR="002D64ED" w:rsidRDefault="002D64ED" w:rsidP="00C40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Italic">
    <w:panose1 w:val="00000000000000000000"/>
    <w:charset w:val="00"/>
    <w:family w:val="roman"/>
    <w:notTrueType/>
    <w:pitch w:val="default"/>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61" w:type="dxa"/>
      <w:tblBorders>
        <w:top w:val="single" w:sz="4" w:space="0" w:color="auto"/>
      </w:tblBorders>
      <w:tblLayout w:type="fixed"/>
      <w:tblCellMar>
        <w:top w:w="170" w:type="dxa"/>
        <w:left w:w="0" w:type="dxa"/>
        <w:bottom w:w="227" w:type="dxa"/>
        <w:right w:w="0" w:type="dxa"/>
      </w:tblCellMar>
      <w:tblLook w:val="04A0" w:firstRow="1" w:lastRow="0" w:firstColumn="1" w:lastColumn="0" w:noHBand="0" w:noVBand="1"/>
    </w:tblPr>
    <w:tblGrid>
      <w:gridCol w:w="7371"/>
      <w:gridCol w:w="1490"/>
    </w:tblGrid>
    <w:tr w:rsidR="002D64ED" w:rsidRPr="00487162" w:rsidTr="00DB750B">
      <w:trPr>
        <w:trHeight w:val="269"/>
      </w:trPr>
      <w:tc>
        <w:tcPr>
          <w:tcW w:w="7371" w:type="dxa"/>
          <w:tcMar>
            <w:top w:w="142" w:type="dxa"/>
            <w:bottom w:w="0" w:type="dxa"/>
          </w:tcMar>
        </w:tcPr>
        <w:p w:rsidR="002D64ED" w:rsidRPr="00FC5AAB" w:rsidRDefault="002D64ED" w:rsidP="00DC5E9C">
          <w:pPr>
            <w:pStyle w:val="Footer"/>
            <w:rPr>
              <w:rFonts w:asciiTheme="minorHAnsi" w:hAnsiTheme="minorHAnsi"/>
              <w:szCs w:val="17"/>
            </w:rPr>
          </w:pPr>
          <w:proofErr w:type="spellStart"/>
          <w:r w:rsidRPr="00FC5AAB">
            <w:rPr>
              <w:rFonts w:asciiTheme="minorHAnsi" w:hAnsiTheme="minorHAnsi"/>
              <w:szCs w:val="17"/>
            </w:rPr>
            <w:t>AusPAR</w:t>
          </w:r>
          <w:proofErr w:type="spellEnd"/>
          <w:r w:rsidRPr="00FC5AAB">
            <w:rPr>
              <w:rFonts w:asciiTheme="minorHAnsi" w:hAnsiTheme="minorHAnsi"/>
              <w:szCs w:val="17"/>
            </w:rPr>
            <w:t xml:space="preserve"> Product </w:t>
          </w:r>
          <w:proofErr w:type="spellStart"/>
          <w:r w:rsidRPr="00FC5AAB">
            <w:rPr>
              <w:rFonts w:asciiTheme="minorHAnsi" w:hAnsiTheme="minorHAnsi"/>
              <w:szCs w:val="17"/>
            </w:rPr>
            <w:t>Sevelmaer</w:t>
          </w:r>
          <w:proofErr w:type="spellEnd"/>
          <w:r w:rsidRPr="00FC5AAB">
            <w:rPr>
              <w:rFonts w:asciiTheme="minorHAnsi" w:hAnsiTheme="minorHAnsi"/>
              <w:szCs w:val="17"/>
            </w:rPr>
            <w:t xml:space="preserve"> GPPL </w:t>
          </w:r>
          <w:proofErr w:type="spellStart"/>
          <w:r w:rsidRPr="00FC5AAB">
            <w:rPr>
              <w:rFonts w:asciiTheme="minorHAnsi" w:hAnsiTheme="minorHAnsi"/>
              <w:szCs w:val="17"/>
            </w:rPr>
            <w:t>etc</w:t>
          </w:r>
          <w:proofErr w:type="spellEnd"/>
          <w:r w:rsidRPr="00FC5AAB">
            <w:rPr>
              <w:rFonts w:asciiTheme="minorHAnsi" w:hAnsiTheme="minorHAnsi"/>
              <w:szCs w:val="17"/>
            </w:rPr>
            <w:t xml:space="preserve"> </w:t>
          </w:r>
          <w:proofErr w:type="spellStart"/>
          <w:r w:rsidRPr="00FC5AAB">
            <w:rPr>
              <w:rFonts w:asciiTheme="minorHAnsi" w:hAnsiTheme="minorHAnsi"/>
              <w:szCs w:val="17"/>
            </w:rPr>
            <w:t>Sevelamer</w:t>
          </w:r>
          <w:proofErr w:type="spellEnd"/>
          <w:r w:rsidRPr="00FC5AAB">
            <w:rPr>
              <w:rFonts w:asciiTheme="minorHAnsi" w:hAnsiTheme="minorHAnsi"/>
              <w:szCs w:val="17"/>
            </w:rPr>
            <w:t xml:space="preserve"> hydrochloride Generic Partners PM-2013-00742-1-3 </w:t>
          </w:r>
          <w:r>
            <w:rPr>
              <w:rFonts w:asciiTheme="minorHAnsi" w:hAnsiTheme="minorHAnsi"/>
              <w:szCs w:val="17"/>
            </w:rPr>
            <w:t>Final 5 November 2015</w:t>
          </w:r>
        </w:p>
      </w:tc>
      <w:tc>
        <w:tcPr>
          <w:tcW w:w="1490" w:type="dxa"/>
          <w:tcMar>
            <w:top w:w="142" w:type="dxa"/>
            <w:bottom w:w="0" w:type="dxa"/>
          </w:tcMar>
        </w:tcPr>
        <w:p w:rsidR="002D64ED" w:rsidRPr="00487162" w:rsidRDefault="002D64ED" w:rsidP="00DB750B">
          <w:pPr>
            <w:pStyle w:val="Footer"/>
            <w:jc w:val="right"/>
          </w:pPr>
          <w:r w:rsidRPr="00487162">
            <w:t xml:space="preserve">Page </w:t>
          </w:r>
          <w:r>
            <w:fldChar w:fldCharType="begin"/>
          </w:r>
          <w:r>
            <w:instrText xml:space="preserve"> PAGE  \* Arabic </w:instrText>
          </w:r>
          <w:r>
            <w:fldChar w:fldCharType="separate"/>
          </w:r>
          <w:r w:rsidR="00141024">
            <w:rPr>
              <w:noProof/>
            </w:rPr>
            <w:t>3</w:t>
          </w:r>
          <w:r>
            <w:fldChar w:fldCharType="end"/>
          </w:r>
          <w:r w:rsidRPr="00487162">
            <w:t xml:space="preserve"> of </w:t>
          </w:r>
          <w:fldSimple w:instr=" NUMPAGES  \* Arabic ">
            <w:r w:rsidR="00141024">
              <w:rPr>
                <w:noProof/>
              </w:rPr>
              <w:t>50</w:t>
            </w:r>
          </w:fldSimple>
        </w:p>
      </w:tc>
    </w:tr>
  </w:tbl>
  <w:p w:rsidR="002D64ED" w:rsidRDefault="002D64ED" w:rsidP="003D1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61" w:type="dxa"/>
      <w:tblLayout w:type="fixed"/>
      <w:tblCellMar>
        <w:top w:w="170" w:type="dxa"/>
        <w:left w:w="0" w:type="dxa"/>
        <w:bottom w:w="227" w:type="dxa"/>
        <w:right w:w="0" w:type="dxa"/>
      </w:tblCellMar>
      <w:tblLook w:val="04A0" w:firstRow="1" w:lastRow="0" w:firstColumn="1" w:lastColumn="0" w:noHBand="0" w:noVBand="1"/>
    </w:tblPr>
    <w:tblGrid>
      <w:gridCol w:w="4519"/>
      <w:gridCol w:w="4342"/>
    </w:tblGrid>
    <w:tr w:rsidR="002D64ED" w:rsidRPr="00487162" w:rsidTr="00E45619">
      <w:trPr>
        <w:trHeight w:val="269"/>
      </w:trPr>
      <w:tc>
        <w:tcPr>
          <w:tcW w:w="4519" w:type="dxa"/>
          <w:tcBorders>
            <w:top w:val="single" w:sz="4" w:space="0" w:color="auto"/>
          </w:tcBorders>
          <w:tcMar>
            <w:top w:w="142" w:type="dxa"/>
            <w:bottom w:w="0" w:type="dxa"/>
          </w:tcMar>
        </w:tcPr>
        <w:p w:rsidR="002D64ED" w:rsidRPr="00487162" w:rsidRDefault="002D64ED" w:rsidP="00FE1DEE">
          <w:pPr>
            <w:pStyle w:val="Footer"/>
          </w:pPr>
          <w:r w:rsidRPr="00487162">
            <w:t>Document title, Part #, Section # - Section title</w:t>
          </w:r>
        </w:p>
        <w:p w:rsidR="002D64ED" w:rsidRPr="00487162" w:rsidRDefault="002D64ED" w:rsidP="00FE1DEE">
          <w:pPr>
            <w:pStyle w:val="Footer"/>
          </w:pPr>
          <w:r w:rsidRPr="00487162">
            <w:t>V1.0 October 2010</w:t>
          </w:r>
        </w:p>
      </w:tc>
      <w:tc>
        <w:tcPr>
          <w:tcW w:w="4342" w:type="dxa"/>
          <w:tcBorders>
            <w:top w:val="single" w:sz="4" w:space="0" w:color="auto"/>
          </w:tcBorders>
          <w:tcMar>
            <w:top w:w="142" w:type="dxa"/>
            <w:bottom w:w="0" w:type="dxa"/>
          </w:tcMar>
        </w:tcPr>
        <w:p w:rsidR="002D64ED" w:rsidRPr="00487162" w:rsidRDefault="002D64ED" w:rsidP="00E45619">
          <w:pPr>
            <w:pStyle w:val="Footer"/>
            <w:jc w:val="right"/>
          </w:pPr>
          <w:r w:rsidRPr="00487162">
            <w:t xml:space="preserve">Page </w:t>
          </w:r>
          <w:r>
            <w:fldChar w:fldCharType="begin"/>
          </w:r>
          <w:r>
            <w:instrText xml:space="preserve"> PAGE   \* MERGEFORMAT </w:instrText>
          </w:r>
          <w:r>
            <w:fldChar w:fldCharType="separate"/>
          </w:r>
          <w:r w:rsidRPr="00487162">
            <w:rPr>
              <w:noProof/>
            </w:rPr>
            <w:t>3</w:t>
          </w:r>
          <w:r>
            <w:rPr>
              <w:noProof/>
            </w:rPr>
            <w:fldChar w:fldCharType="end"/>
          </w:r>
          <w:r w:rsidRPr="00487162">
            <w:t xml:space="preserve"> of </w:t>
          </w:r>
          <w:fldSimple w:instr=" NUMPAGES  ">
            <w:r>
              <w:rPr>
                <w:noProof/>
              </w:rPr>
              <w:t>49</w:t>
            </w:r>
          </w:fldSimple>
        </w:p>
      </w:tc>
    </w:tr>
  </w:tbl>
  <w:p w:rsidR="002D64ED" w:rsidRDefault="002D64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Pr="001C32CD" w:rsidRDefault="002D64ED" w:rsidP="001C32C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75" w:type="dxa"/>
      <w:tblLayout w:type="fixed"/>
      <w:tblCellMar>
        <w:top w:w="170" w:type="dxa"/>
        <w:left w:w="0" w:type="dxa"/>
        <w:bottom w:w="227" w:type="dxa"/>
        <w:right w:w="0" w:type="dxa"/>
      </w:tblCellMar>
      <w:tblLook w:val="04A0" w:firstRow="1" w:lastRow="0" w:firstColumn="1" w:lastColumn="0" w:noHBand="0" w:noVBand="1"/>
    </w:tblPr>
    <w:tblGrid>
      <w:gridCol w:w="4519"/>
      <w:gridCol w:w="4356"/>
    </w:tblGrid>
    <w:tr w:rsidR="002D64ED" w:rsidTr="0010601F">
      <w:trPr>
        <w:trHeight w:val="108"/>
      </w:trPr>
      <w:tc>
        <w:tcPr>
          <w:tcW w:w="8875" w:type="dxa"/>
          <w:gridSpan w:val="2"/>
          <w:tcBorders>
            <w:bottom w:val="single" w:sz="4" w:space="0" w:color="auto"/>
          </w:tcBorders>
          <w:tcMar>
            <w:right w:w="284" w:type="dxa"/>
          </w:tcMar>
        </w:tcPr>
        <w:p w:rsidR="002D64ED" w:rsidRDefault="002D64ED" w:rsidP="006E08B3">
          <w:pPr>
            <w:pStyle w:val="Heading3"/>
          </w:pPr>
          <w:r>
            <w:t>Copyright</w:t>
          </w:r>
        </w:p>
        <w:p w:rsidR="002D64ED" w:rsidRDefault="002D64ED" w:rsidP="006E08B3">
          <w:r>
            <w:rPr>
              <w:rFonts w:cs="Arial"/>
            </w:rPr>
            <w:t>©</w:t>
          </w:r>
          <w:r>
            <w:t xml:space="preserve"> Commonwealth of Australia [add year]</w:t>
          </w:r>
        </w:p>
        <w:p w:rsidR="002D64ED" w:rsidRDefault="002D64ED" w:rsidP="006E08B3"/>
        <w:p w:rsidR="002D64ED" w:rsidRDefault="002D64ED" w:rsidP="006E08B3">
          <w:r>
            <w:t xml:space="preserve">This work is copyright. Apart from any use as permitted under the Copyright Act 1968, no part may be reproduced by any process without prior written permission from the Commonwealth Copyright Administration, Attorney General’s Department, National Circuit, Barton ACT 2600 or posted at </w:t>
          </w:r>
          <w:r w:rsidRPr="006E08B3">
            <w:t>http://www.ag.gov.au/cca</w:t>
          </w:r>
        </w:p>
        <w:p w:rsidR="002D64ED" w:rsidRDefault="002D64ED" w:rsidP="006E08B3"/>
        <w:p w:rsidR="002D64ED" w:rsidRDefault="002D64ED" w:rsidP="006E08B3">
          <w:pPr>
            <w:pStyle w:val="Heading3"/>
          </w:pPr>
          <w:r>
            <w:t>Confidentiality</w:t>
          </w:r>
        </w:p>
        <w:p w:rsidR="002D64ED" w:rsidRDefault="002D64ED" w:rsidP="006E08B3">
          <w:r>
            <w:t>All submissions received will be placed on the TGA’s Internet site, unless marked confidential. Any confidential material contained within your submission should be provided under a separate cover and clearly marked ‘IN CONFIDENCE’. Reasons for a claim to confidentiality must be included in the space provided on the TGA submission coversheet.</w:t>
          </w:r>
        </w:p>
        <w:p w:rsidR="002D64ED" w:rsidRDefault="002D64ED" w:rsidP="006E08B3"/>
        <w:p w:rsidR="002D64ED" w:rsidRDefault="002D64ED" w:rsidP="006E08B3">
          <w:r>
            <w:t>For submission made by individuals, all personal details, other than your name, will be removed from your submission before it is published on the TGA’s Internet site.</w:t>
          </w:r>
        </w:p>
        <w:p w:rsidR="002D64ED" w:rsidRDefault="002D64ED" w:rsidP="006E08B3"/>
        <w:p w:rsidR="002D64ED" w:rsidRDefault="002D64ED" w:rsidP="006E08B3">
          <w:r>
            <w:t xml:space="preserve">In addition, a list of parties making submissions will be published. If you do not wish to be identified with your submission you must specifically request this in the space provided </w:t>
          </w:r>
          <w:proofErr w:type="spellStart"/>
          <w:r>
            <w:t>ib</w:t>
          </w:r>
          <w:proofErr w:type="spellEnd"/>
          <w:r>
            <w:t xml:space="preserve"> the submission coversheet.</w:t>
          </w:r>
        </w:p>
      </w:tc>
    </w:tr>
    <w:tr w:rsidR="002D64ED" w:rsidTr="0010601F">
      <w:trPr>
        <w:trHeight w:val="417"/>
      </w:trPr>
      <w:tc>
        <w:tcPr>
          <w:tcW w:w="4519" w:type="dxa"/>
          <w:tcBorders>
            <w:top w:val="single" w:sz="4" w:space="0" w:color="auto"/>
          </w:tcBorders>
          <w:tcMar>
            <w:top w:w="142" w:type="dxa"/>
            <w:bottom w:w="0" w:type="dxa"/>
          </w:tcMar>
        </w:tcPr>
        <w:p w:rsidR="002D64ED" w:rsidRDefault="002D64ED" w:rsidP="006E08B3">
          <w:r>
            <w:t>Document title, Part #, Section # - Section title</w:t>
          </w:r>
        </w:p>
        <w:p w:rsidR="002D64ED" w:rsidRDefault="002D64ED" w:rsidP="006E08B3">
          <w:r>
            <w:t>V1.0 October 2010</w:t>
          </w:r>
        </w:p>
      </w:tc>
      <w:tc>
        <w:tcPr>
          <w:tcW w:w="4356" w:type="dxa"/>
          <w:tcBorders>
            <w:top w:val="single" w:sz="4" w:space="0" w:color="auto"/>
          </w:tcBorders>
          <w:tcMar>
            <w:top w:w="142" w:type="dxa"/>
            <w:bottom w:w="0" w:type="dxa"/>
          </w:tcMar>
        </w:tcPr>
        <w:p w:rsidR="002D64ED" w:rsidRDefault="002D64ED" w:rsidP="006E08B3">
          <w:pPr>
            <w:jc w:val="right"/>
          </w:pPr>
          <w:r>
            <w:t xml:space="preserve">Page </w:t>
          </w:r>
          <w:r>
            <w:fldChar w:fldCharType="begin"/>
          </w:r>
          <w:r>
            <w:instrText xml:space="preserve"> PAGE   \* MERGEFORMAT </w:instrText>
          </w:r>
          <w:r>
            <w:fldChar w:fldCharType="separate"/>
          </w:r>
          <w:r>
            <w:rPr>
              <w:noProof/>
            </w:rPr>
            <w:t>1</w:t>
          </w:r>
          <w:r>
            <w:rPr>
              <w:noProof/>
            </w:rPr>
            <w:fldChar w:fldCharType="end"/>
          </w:r>
          <w:r>
            <w:t xml:space="preserve"> of </w:t>
          </w:r>
          <w:fldSimple w:instr=" NUMPAGES  \* Arabic ">
            <w:r>
              <w:rPr>
                <w:noProof/>
              </w:rPr>
              <w:t>49</w:t>
            </w:r>
          </w:fldSimple>
          <w:r>
            <w:t xml:space="preserve"> </w:t>
          </w:r>
        </w:p>
      </w:tc>
    </w:tr>
  </w:tbl>
  <w:p w:rsidR="002D64ED" w:rsidRDefault="002D64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4ED" w:rsidRDefault="002D64ED" w:rsidP="00C40A36">
      <w:pPr>
        <w:spacing w:after="0"/>
      </w:pPr>
      <w:r>
        <w:separator/>
      </w:r>
    </w:p>
  </w:footnote>
  <w:footnote w:type="continuationSeparator" w:id="0">
    <w:p w:rsidR="002D64ED" w:rsidRDefault="002D64ED" w:rsidP="00C40A36">
      <w:pPr>
        <w:spacing w:after="0"/>
      </w:pPr>
      <w:r>
        <w:continuationSeparator/>
      </w:r>
    </w:p>
  </w:footnote>
  <w:footnote w:id="1">
    <w:p w:rsidR="002D64ED" w:rsidRPr="001A2EFD" w:rsidRDefault="002D64ED" w:rsidP="00DE150A">
      <w:pPr>
        <w:pStyle w:val="FootnoteText"/>
      </w:pPr>
      <w:r>
        <w:rPr>
          <w:rStyle w:val="FootnoteReference"/>
        </w:rPr>
        <w:footnoteRef/>
      </w:r>
      <w:r>
        <w:t xml:space="preserve">The initial Delegate’s decision was reviewed in accordance with section 60(4) of the </w:t>
      </w:r>
      <w:r>
        <w:rPr>
          <w:i/>
          <w:iCs/>
        </w:rPr>
        <w:t>Therapeutic Goods Act1989</w:t>
      </w:r>
      <w:r>
        <w:t xml:space="preserve">. For further details see the </w:t>
      </w:r>
      <w:r>
        <w:rPr>
          <w:i/>
        </w:rPr>
        <w:t>Final Outcome</w:t>
      </w:r>
      <w:r>
        <w:t xml:space="preserve"> section of this </w:t>
      </w:r>
      <w:proofErr w:type="spellStart"/>
      <w:r>
        <w:t>AusPAR</w:t>
      </w:r>
      <w:proofErr w:type="spellEnd"/>
      <w:r>
        <w:t>.</w:t>
      </w:r>
    </w:p>
  </w:footnote>
  <w:footnote w:id="2">
    <w:p w:rsidR="002D64ED" w:rsidRDefault="002D64ED" w:rsidP="00DE150A">
      <w:pPr>
        <w:pStyle w:val="FootnoteText"/>
      </w:pPr>
      <w:r>
        <w:rPr>
          <w:rStyle w:val="FootnoteReference"/>
        </w:rPr>
        <w:footnoteRef/>
      </w:r>
      <w:r>
        <w:t xml:space="preserve"> The sponsor has appealed to the AAT for a review of the TGA’s decision not to register </w:t>
      </w:r>
      <w:proofErr w:type="spellStart"/>
      <w:r>
        <w:t>Sevelamer</w:t>
      </w:r>
      <w:proofErr w:type="spellEnd"/>
      <w:r>
        <w:t xml:space="preserve">. This </w:t>
      </w:r>
      <w:proofErr w:type="spellStart"/>
      <w:r>
        <w:t>AusPAR</w:t>
      </w:r>
      <w:proofErr w:type="spellEnd"/>
      <w:r>
        <w:t xml:space="preserve"> will be updated with the AAT’s decision once know.</w:t>
      </w:r>
    </w:p>
  </w:footnote>
  <w:footnote w:id="3">
    <w:p w:rsidR="002D64ED" w:rsidRDefault="002D64ED">
      <w:pPr>
        <w:pStyle w:val="FootnoteText"/>
      </w:pPr>
      <w:r>
        <w:rPr>
          <w:rStyle w:val="FootnoteReference"/>
        </w:rPr>
        <w:footnoteRef/>
      </w:r>
      <w:r>
        <w:t xml:space="preserve">The sponsor later agreed to comply with the draft USP specification in their pre-ACPM response (see </w:t>
      </w:r>
      <w:r w:rsidRPr="00DC5E9C">
        <w:rPr>
          <w:i/>
        </w:rPr>
        <w:t>Response from sponsor</w:t>
      </w:r>
      <w:r>
        <w:t xml:space="preserve"> page 41 below).</w:t>
      </w:r>
    </w:p>
  </w:footnote>
  <w:footnote w:id="4">
    <w:p w:rsidR="002D64ED" w:rsidRDefault="002D64ED">
      <w:pPr>
        <w:pStyle w:val="FootnoteText"/>
      </w:pPr>
      <w:r>
        <w:rPr>
          <w:rStyle w:val="FootnoteReference"/>
        </w:rPr>
        <w:footnoteRef/>
      </w:r>
      <w:r>
        <w:t xml:space="preserve">The sponsor later agreed to comply </w:t>
      </w:r>
      <w:proofErr w:type="gramStart"/>
      <w:r>
        <w:t xml:space="preserve">with 5.2 to 6.4 </w:t>
      </w:r>
      <w:proofErr w:type="spellStart"/>
      <w:r>
        <w:t>mmol</w:t>
      </w:r>
      <w:proofErr w:type="spellEnd"/>
      <w:r>
        <w:t xml:space="preserve">/g in their Pre-ACPM response (see </w:t>
      </w:r>
      <w:r w:rsidRPr="00DC5E9C">
        <w:rPr>
          <w:i/>
        </w:rPr>
        <w:t>Response from sponsor</w:t>
      </w:r>
      <w:r>
        <w:t xml:space="preserve"> below)</w:t>
      </w:r>
      <w:proofErr w:type="gramEnd"/>
      <w:r>
        <w:t>.</w:t>
      </w:r>
    </w:p>
  </w:footnote>
  <w:footnote w:id="5">
    <w:p w:rsidR="002D64ED" w:rsidRDefault="002D64ED">
      <w:pPr>
        <w:pStyle w:val="FootnoteText"/>
      </w:pPr>
      <w:r>
        <w:rPr>
          <w:rStyle w:val="FootnoteReference"/>
        </w:rPr>
        <w:footnoteRef/>
      </w:r>
      <w:r>
        <w:t xml:space="preserve"> T</w:t>
      </w:r>
      <w:r w:rsidRPr="00B94B54">
        <w:t xml:space="preserve">he </w:t>
      </w:r>
      <w:r>
        <w:t>sponsor agreed to comply with the USP monograph limit in P</w:t>
      </w:r>
      <w:r w:rsidRPr="00B94B54">
        <w:t>re-ACPM response</w:t>
      </w:r>
      <w:r>
        <w:t xml:space="preserve"> (see </w:t>
      </w:r>
      <w:r w:rsidRPr="00BC246C">
        <w:rPr>
          <w:i/>
        </w:rPr>
        <w:t>Response from sponsor</w:t>
      </w:r>
      <w:r>
        <w:t xml:space="preserve"> below).</w:t>
      </w:r>
    </w:p>
  </w:footnote>
  <w:footnote w:id="6">
    <w:p w:rsidR="002D64ED" w:rsidRPr="001D2451" w:rsidRDefault="002D64ED" w:rsidP="00723EFB">
      <w:pPr>
        <w:pStyle w:val="FootnoteText"/>
      </w:pPr>
      <w:r w:rsidRPr="006229C6">
        <w:rPr>
          <w:rStyle w:val="FootnoteReference"/>
          <w:szCs w:val="18"/>
        </w:rPr>
        <w:footnoteRef/>
      </w:r>
      <w:r w:rsidRPr="006229C6">
        <w:t xml:space="preserve"> The sponsor has </w:t>
      </w:r>
      <w:r>
        <w:t xml:space="preserve">since </w:t>
      </w:r>
      <w:r w:rsidRPr="006229C6">
        <w:t xml:space="preserve">agreed to the draft USP specification (see </w:t>
      </w:r>
      <w:r w:rsidRPr="006229C6">
        <w:rPr>
          <w:i/>
        </w:rPr>
        <w:t>Response from sponsor</w:t>
      </w:r>
      <w:r w:rsidRPr="006229C6">
        <w:t xml:space="preserve"> below</w:t>
      </w:r>
      <w:r>
        <w:t>).</w:t>
      </w:r>
    </w:p>
  </w:footnote>
  <w:footnote w:id="7">
    <w:p w:rsidR="002D64ED" w:rsidRDefault="002D64ED">
      <w:pPr>
        <w:pStyle w:val="FootnoteText"/>
      </w:pPr>
      <w:r>
        <w:rPr>
          <w:rStyle w:val="FootnoteReference"/>
        </w:rPr>
        <w:footnoteRef/>
      </w:r>
      <w:r>
        <w:t xml:space="preserve"> </w:t>
      </w:r>
      <w:proofErr w:type="spellStart"/>
      <w:r>
        <w:t>Daugirdas</w:t>
      </w:r>
      <w:proofErr w:type="spellEnd"/>
      <w:r>
        <w:t xml:space="preserve"> JT, Finn WF, Emmett M </w:t>
      </w:r>
      <w:proofErr w:type="spellStart"/>
      <w:r>
        <w:t>Chertow</w:t>
      </w:r>
      <w:proofErr w:type="spellEnd"/>
      <w:r>
        <w:t xml:space="preserve"> GM et al </w:t>
      </w:r>
      <w:r w:rsidRPr="0098314E">
        <w:rPr>
          <w:i/>
        </w:rPr>
        <w:t>The Phosphate Binder Equivalent Dose</w:t>
      </w:r>
      <w:r>
        <w:t xml:space="preserve"> </w:t>
      </w:r>
      <w:proofErr w:type="spellStart"/>
      <w:r>
        <w:t>Semin</w:t>
      </w:r>
      <w:proofErr w:type="spellEnd"/>
      <w:r>
        <w:t xml:space="preserve"> Dialysis 2011;24:41-48</w:t>
      </w:r>
    </w:p>
  </w:footnote>
  <w:footnote w:id="8">
    <w:p w:rsidR="002D64ED" w:rsidRDefault="002D64ED">
      <w:pPr>
        <w:pStyle w:val="FootnoteText"/>
      </w:pPr>
      <w:r>
        <w:rPr>
          <w:rStyle w:val="FootnoteReference"/>
        </w:rPr>
        <w:footnoteRef/>
      </w:r>
      <w:r>
        <w:t xml:space="preserve"> The limits for particle size were subsequently resolved (see page 10 </w:t>
      </w:r>
      <w:r w:rsidRPr="00DC5E9C">
        <w:rPr>
          <w:i/>
        </w:rPr>
        <w:t>Quality findings</w:t>
      </w:r>
      <w:r>
        <w:t>).</w:t>
      </w:r>
    </w:p>
  </w:footnote>
  <w:footnote w:id="9">
    <w:p w:rsidR="002D64ED" w:rsidRPr="00D91930" w:rsidRDefault="002D64ED" w:rsidP="00723EFB">
      <w:pPr>
        <w:pStyle w:val="FootnoteText"/>
      </w:pPr>
      <w:r w:rsidRPr="00D91930">
        <w:rPr>
          <w:rStyle w:val="FootnoteReference"/>
          <w:szCs w:val="18"/>
        </w:rPr>
        <w:footnoteRef/>
      </w:r>
      <w:r w:rsidRPr="00D91930">
        <w:t xml:space="preserve"> Burke SK, </w:t>
      </w:r>
      <w:proofErr w:type="spellStart"/>
      <w:r w:rsidRPr="00D91930">
        <w:t>Slatopolsky</w:t>
      </w:r>
      <w:proofErr w:type="spellEnd"/>
      <w:r w:rsidRPr="00D91930">
        <w:t xml:space="preserve"> EA and Goldberg, DI; </w:t>
      </w:r>
      <w:proofErr w:type="spellStart"/>
      <w:r w:rsidRPr="00D91930">
        <w:t>Nephrol</w:t>
      </w:r>
      <w:proofErr w:type="spellEnd"/>
      <w:r w:rsidRPr="00D91930">
        <w:t xml:space="preserve"> Dial Transplant (1997) 12: 1640–1644.</w:t>
      </w:r>
    </w:p>
  </w:footnote>
  <w:footnote w:id="10">
    <w:p w:rsidR="002D64ED" w:rsidRPr="007A1D60" w:rsidRDefault="002D64ED" w:rsidP="00723EFB">
      <w:pPr>
        <w:pStyle w:val="FootnoteText"/>
      </w:pPr>
      <w:r>
        <w:rPr>
          <w:rStyle w:val="FootnoteReference"/>
        </w:rPr>
        <w:footnoteRef/>
      </w:r>
      <w:r>
        <w:t xml:space="preserve"> </w:t>
      </w:r>
      <w:r w:rsidRPr="007A1D60">
        <w:rPr>
          <w:rStyle w:val="tgc"/>
          <w:rFonts w:asciiTheme="minorHAnsi" w:hAnsiTheme="minorHAnsi" w:cs="Arial"/>
          <w:color w:val="222222"/>
        </w:rPr>
        <w:t>A measurement of parathyroid hormone (</w:t>
      </w:r>
      <w:r w:rsidRPr="007A1D60">
        <w:rPr>
          <w:rStyle w:val="tgc"/>
          <w:rFonts w:asciiTheme="minorHAnsi" w:hAnsiTheme="minorHAnsi" w:cs="Arial"/>
          <w:bCs/>
          <w:color w:val="222222"/>
        </w:rPr>
        <w:t>PTH</w:t>
      </w:r>
      <w:r w:rsidRPr="007A1D60">
        <w:rPr>
          <w:rStyle w:val="tgc"/>
          <w:rFonts w:asciiTheme="minorHAnsi" w:hAnsiTheme="minorHAnsi" w:cs="Arial"/>
          <w:color w:val="222222"/>
        </w:rPr>
        <w:t xml:space="preserve">) is the intact </w:t>
      </w:r>
      <w:r w:rsidRPr="007A1D60">
        <w:rPr>
          <w:rStyle w:val="tgc"/>
          <w:rFonts w:asciiTheme="minorHAnsi" w:hAnsiTheme="minorHAnsi" w:cs="Arial"/>
          <w:bCs/>
          <w:color w:val="222222"/>
        </w:rPr>
        <w:t>PTH</w:t>
      </w:r>
      <w:r w:rsidRPr="007A1D60">
        <w:rPr>
          <w:rStyle w:val="tgc"/>
          <w:rFonts w:asciiTheme="minorHAnsi" w:hAnsiTheme="minorHAnsi" w:cs="Arial"/>
          <w:color w:val="222222"/>
        </w:rPr>
        <w:t xml:space="preserve"> (</w:t>
      </w:r>
      <w:proofErr w:type="spellStart"/>
      <w:r w:rsidRPr="007A1D60">
        <w:rPr>
          <w:rStyle w:val="tgc"/>
          <w:rFonts w:asciiTheme="minorHAnsi" w:hAnsiTheme="minorHAnsi" w:cs="Arial"/>
          <w:bCs/>
          <w:color w:val="222222"/>
        </w:rPr>
        <w:t>iPTH</w:t>
      </w:r>
      <w:proofErr w:type="spellEnd"/>
      <w:r w:rsidRPr="007A1D60">
        <w:rPr>
          <w:rStyle w:val="tgc"/>
          <w:rFonts w:asciiTheme="minorHAnsi" w:hAnsiTheme="minorHAnsi" w:cs="Arial"/>
          <w:color w:val="222222"/>
        </w:rPr>
        <w:t>) assay.</w:t>
      </w:r>
    </w:p>
  </w:footnote>
  <w:footnote w:id="11">
    <w:p w:rsidR="002D64ED" w:rsidRPr="00D91930" w:rsidRDefault="002D64ED" w:rsidP="00723EFB">
      <w:pPr>
        <w:pStyle w:val="FootnoteText"/>
        <w:rPr>
          <w:kern w:val="16"/>
          <w:vertAlign w:val="superscript"/>
        </w:rPr>
      </w:pPr>
      <w:r w:rsidRPr="00D91930">
        <w:rPr>
          <w:rStyle w:val="FootnoteReference"/>
          <w:szCs w:val="18"/>
        </w:rPr>
        <w:footnoteRef/>
      </w:r>
      <w:r w:rsidRPr="00D91930">
        <w:t xml:space="preserve"> Approximating volume of an ellipsoid figure V= </w:t>
      </w:r>
      <w:r w:rsidRPr="00D91930">
        <w:rPr>
          <w:vertAlign w:val="superscript"/>
        </w:rPr>
        <w:t>4</w:t>
      </w:r>
      <w:r w:rsidRPr="00D91930">
        <w:t>/</w:t>
      </w:r>
      <w:r w:rsidRPr="00D91930">
        <w:rPr>
          <w:vertAlign w:val="subscript"/>
        </w:rPr>
        <w:t>3</w:t>
      </w:r>
      <w:r w:rsidRPr="00D91930">
        <w:t>π r</w:t>
      </w:r>
      <w:r w:rsidRPr="00D91930">
        <w:rPr>
          <w:vertAlign w:val="superscript"/>
        </w:rPr>
        <w:t>1</w:t>
      </w:r>
      <w:r w:rsidRPr="00D91930">
        <w:t xml:space="preserve"> r</w:t>
      </w:r>
      <w:r w:rsidRPr="00D91930">
        <w:rPr>
          <w:vertAlign w:val="superscript"/>
        </w:rPr>
        <w:t>2</w:t>
      </w:r>
      <w:r w:rsidRPr="00D91930">
        <w:t xml:space="preserve"> r</w:t>
      </w:r>
      <w:r w:rsidRPr="00D91930">
        <w:rPr>
          <w:vertAlign w:val="superscript"/>
        </w:rPr>
        <w:t>3</w:t>
      </w:r>
    </w:p>
  </w:footnote>
  <w:footnote w:id="12">
    <w:p w:rsidR="002D64ED" w:rsidRPr="00D91930" w:rsidRDefault="002D64ED" w:rsidP="00723EFB">
      <w:pPr>
        <w:pStyle w:val="FootnoteText"/>
        <w:rPr>
          <w:vertAlign w:val="superscript"/>
        </w:rPr>
      </w:pPr>
      <w:r w:rsidRPr="00D91930">
        <w:rPr>
          <w:rStyle w:val="FootnoteReference"/>
          <w:szCs w:val="18"/>
        </w:rPr>
        <w:footnoteRef/>
      </w:r>
      <w:r w:rsidRPr="00D91930">
        <w:t xml:space="preserve"> Approximating cross-sectional area of an ellipse A = π r</w:t>
      </w:r>
      <w:r w:rsidRPr="00D91930">
        <w:rPr>
          <w:vertAlign w:val="superscript"/>
        </w:rPr>
        <w:t>1</w:t>
      </w:r>
      <w:r w:rsidRPr="00D91930">
        <w:t xml:space="preserve"> r</w:t>
      </w:r>
      <w:r w:rsidRPr="00D91930">
        <w:rPr>
          <w:vertAlign w:val="superscript"/>
        </w:rPr>
        <w:t>2</w:t>
      </w:r>
    </w:p>
  </w:footnote>
  <w:footnote w:id="13">
    <w:p w:rsidR="002D64ED" w:rsidRPr="00D91930" w:rsidRDefault="002D64ED" w:rsidP="00723EFB">
      <w:pPr>
        <w:pStyle w:val="FootnoteText"/>
      </w:pPr>
      <w:r w:rsidRPr="00D91930">
        <w:rPr>
          <w:rStyle w:val="FootnoteReference"/>
          <w:szCs w:val="18"/>
        </w:rPr>
        <w:footnoteRef/>
      </w:r>
      <w:r w:rsidRPr="00D91930">
        <w:t xml:space="preserve"> </w:t>
      </w:r>
      <w:proofErr w:type="spellStart"/>
      <w:r w:rsidRPr="00D91930">
        <w:t>Plone</w:t>
      </w:r>
      <w:proofErr w:type="spellEnd"/>
      <w:r w:rsidRPr="00D91930">
        <w:t xml:space="preserve"> MA, Petersen JS, Rosenbaum DP and Burke SK; </w:t>
      </w:r>
      <w:proofErr w:type="spellStart"/>
      <w:r w:rsidRPr="00D91930">
        <w:t>Clin</w:t>
      </w:r>
      <w:proofErr w:type="spellEnd"/>
      <w:r w:rsidRPr="00D91930">
        <w:t xml:space="preserve"> </w:t>
      </w:r>
      <w:proofErr w:type="spellStart"/>
      <w:r w:rsidRPr="00D91930">
        <w:t>Pharmacokinet</w:t>
      </w:r>
      <w:proofErr w:type="spellEnd"/>
      <w:r w:rsidRPr="00D91930">
        <w:t xml:space="preserve"> 2002; 41 (7): 517-523</w:t>
      </w:r>
    </w:p>
  </w:footnote>
  <w:footnote w:id="14">
    <w:p w:rsidR="002D64ED" w:rsidRPr="00DC1D1B" w:rsidRDefault="002D64ED" w:rsidP="00723EFB">
      <w:pPr>
        <w:pStyle w:val="FootnoteText"/>
      </w:pPr>
      <w:r>
        <w:rPr>
          <w:rStyle w:val="FootnoteReference"/>
        </w:rPr>
        <w:footnoteRef/>
      </w:r>
      <w:r>
        <w:t xml:space="preserve"> </w:t>
      </w:r>
      <w:r w:rsidRPr="00DC1D1B">
        <w:t xml:space="preserve">At Milestone 5 the sponsor provided the following </w:t>
      </w:r>
      <w:r>
        <w:t>response</w:t>
      </w:r>
      <w:r w:rsidRPr="00DC1D1B">
        <w:t xml:space="preserve">: </w:t>
      </w:r>
      <w:r>
        <w:t>‘</w:t>
      </w:r>
      <w:r w:rsidRPr="00DC1D1B">
        <w:t>The sponsor has no objection to including the recommended text “</w:t>
      </w:r>
      <w:proofErr w:type="spellStart"/>
      <w:r w:rsidRPr="00DC1D1B">
        <w:t>Sevelamer</w:t>
      </w:r>
      <w:proofErr w:type="spellEnd"/>
      <w:r w:rsidRPr="00DC1D1B">
        <w:t xml:space="preserve"> is not recommended in children below the age of 18 years” and is willing to incorporate text amendments in accordance with the corresponding change for the innovator </w:t>
      </w:r>
      <w:proofErr w:type="spellStart"/>
      <w:r w:rsidRPr="00DC1D1B">
        <w:t>Renagel</w:t>
      </w:r>
      <w:proofErr w:type="spellEnd"/>
      <w:r w:rsidRPr="00DC1D1B">
        <w:t xml:space="preserve"> PI’.</w:t>
      </w:r>
    </w:p>
  </w:footnote>
  <w:footnote w:id="15">
    <w:p w:rsidR="002D64ED" w:rsidRPr="00DC1D1B" w:rsidRDefault="002D64ED" w:rsidP="00723EFB">
      <w:pPr>
        <w:pStyle w:val="FootnoteText"/>
      </w:pPr>
      <w:r>
        <w:rPr>
          <w:rStyle w:val="FootnoteReference"/>
        </w:rPr>
        <w:footnoteRef/>
      </w:r>
      <w:r>
        <w:t xml:space="preserve"> </w:t>
      </w:r>
      <w:r w:rsidRPr="00DC1D1B">
        <w:t xml:space="preserve">At Milestone 5 the sponsor provided the following </w:t>
      </w:r>
      <w:r>
        <w:t>response</w:t>
      </w:r>
      <w:r w:rsidRPr="00DC1D1B">
        <w:t xml:space="preserve">: </w:t>
      </w:r>
      <w:r>
        <w:t>‘</w:t>
      </w:r>
      <w:r w:rsidRPr="00DC1D1B">
        <w:t xml:space="preserve">The sponsor has no objection to revising the text in the PI in relation to pre‐dialysis patients and is willing to incorporate text amendments in accordance with the corresponding change for the innovator </w:t>
      </w:r>
      <w:proofErr w:type="spellStart"/>
      <w:r w:rsidRPr="00DC1D1B">
        <w:t>Renagel</w:t>
      </w:r>
      <w:proofErr w:type="spellEnd"/>
      <w:r w:rsidRPr="00DC1D1B">
        <w:t xml:space="preserve"> PI.’</w:t>
      </w:r>
    </w:p>
  </w:footnote>
  <w:footnote w:id="16">
    <w:p w:rsidR="002D64ED" w:rsidRPr="00DC1D1B" w:rsidRDefault="002D64ED" w:rsidP="00723EFB">
      <w:pPr>
        <w:pStyle w:val="FootnoteText"/>
      </w:pPr>
      <w:r>
        <w:rPr>
          <w:rStyle w:val="FootnoteReference"/>
        </w:rPr>
        <w:footnoteRef/>
      </w:r>
      <w:r>
        <w:t xml:space="preserve"> </w:t>
      </w:r>
      <w:r w:rsidRPr="00DC1D1B">
        <w:t xml:space="preserve">At Milestone 5 the sponsor provided the following response: ’The sponsor has no objection to revising the text in the PI in relation to monitoring folic acid levels and is willing to incorporate recommended text amendments in accordance with the corresponding change for the innovator </w:t>
      </w:r>
      <w:proofErr w:type="spellStart"/>
      <w:r w:rsidRPr="00DC1D1B">
        <w:t>Renagel</w:t>
      </w:r>
      <w:proofErr w:type="spellEnd"/>
      <w:r w:rsidRPr="00DC1D1B">
        <w:t xml:space="preserve"> PI.’</w:t>
      </w:r>
    </w:p>
  </w:footnote>
  <w:footnote w:id="17">
    <w:p w:rsidR="002D64ED" w:rsidRPr="00247512" w:rsidRDefault="002D64ED" w:rsidP="00503002">
      <w:pPr>
        <w:pStyle w:val="FootnoteText"/>
      </w:pPr>
      <w:r w:rsidRPr="00247512">
        <w:rPr>
          <w:rStyle w:val="FootnoteReference"/>
        </w:rPr>
        <w:footnoteRef/>
      </w:r>
      <w:r w:rsidRPr="00247512">
        <w:t xml:space="preserve"> At 22 May 2015 the PMSB evaluator stated that ‘All OPR [now PMSB] recommendations in relation to the above application have now been adequately addressed</w:t>
      </w:r>
      <w:r>
        <w:t xml:space="preserve">. </w:t>
      </w:r>
      <w:r w:rsidRPr="00247512">
        <w:t xml:space="preserve">Therefore if this application is approved the following specific condition of registration should be applied: </w:t>
      </w:r>
    </w:p>
    <w:p w:rsidR="002D64ED" w:rsidRPr="0038432E" w:rsidRDefault="002D64ED" w:rsidP="0038432E">
      <w:pPr>
        <w:pStyle w:val="FootnoteText"/>
        <w:rPr>
          <w:rFonts w:asciiTheme="minorHAnsi" w:hAnsiTheme="minorHAnsi"/>
          <w:szCs w:val="18"/>
        </w:rPr>
      </w:pPr>
      <w:r w:rsidRPr="00247512">
        <w:rPr>
          <w:rFonts w:asciiTheme="minorHAnsi" w:eastAsiaTheme="minorHAnsi" w:hAnsiTheme="minorHAnsi" w:cs="Helv"/>
          <w:i/>
          <w:iCs/>
          <w:color w:val="000000"/>
          <w:szCs w:val="18"/>
        </w:rPr>
        <w:t>‘The European Risk Management Plan (Version: 1.0 dated September 2012) with an Australian Specific Annex (Version: 3.0, dated 15 May 2014), must be implemented.’</w:t>
      </w:r>
    </w:p>
  </w:footnote>
  <w:footnote w:id="18">
    <w:p w:rsidR="002D64ED" w:rsidRDefault="002D64ED" w:rsidP="00503002">
      <w:pPr>
        <w:pStyle w:val="FootnoteText"/>
      </w:pPr>
      <w:r>
        <w:rPr>
          <w:rStyle w:val="FootnoteReference"/>
        </w:rPr>
        <w:footnoteRef/>
      </w:r>
      <w:r>
        <w:t xml:space="preserve"> </w:t>
      </w:r>
      <w:proofErr w:type="gramStart"/>
      <w:r>
        <w:t>Guideline on the Investigation of Bioequivalence (CPMP/EWP/QWP/1401/98 Rev1) and ARGPM, Appendix 15.</w:t>
      </w:r>
      <w:proofErr w:type="gramEnd"/>
    </w:p>
  </w:footnote>
  <w:footnote w:id="19">
    <w:p w:rsidR="002D64ED" w:rsidRPr="00D91930" w:rsidRDefault="002D64ED" w:rsidP="00503002">
      <w:pPr>
        <w:pStyle w:val="FootnoteText"/>
      </w:pPr>
      <w:r w:rsidRPr="00D91930">
        <w:rPr>
          <w:rStyle w:val="FootnoteReference"/>
          <w:szCs w:val="18"/>
        </w:rPr>
        <w:footnoteRef/>
      </w:r>
      <w:r w:rsidRPr="00D91930">
        <w:t xml:space="preserve"> Swearingen RA, Chen X, Petersen JS, Riley KS, Wang D, </w:t>
      </w:r>
      <w:proofErr w:type="spellStart"/>
      <w:r w:rsidRPr="00D91930">
        <w:t>Zhorov</w:t>
      </w:r>
      <w:proofErr w:type="spellEnd"/>
      <w:r w:rsidRPr="00D91930">
        <w:t xml:space="preserve"> E; J. Pharm. Biomed. </w:t>
      </w:r>
      <w:proofErr w:type="gramStart"/>
      <w:r w:rsidRPr="00D91930">
        <w:t>Anal.</w:t>
      </w:r>
      <w:proofErr w:type="gramEnd"/>
      <w:r w:rsidRPr="00D91930">
        <w:t xml:space="preserve"> 29 (2002) pp 195–201</w:t>
      </w:r>
    </w:p>
  </w:footnote>
  <w:footnote w:id="20">
    <w:p w:rsidR="002D64ED" w:rsidRDefault="002D64ED" w:rsidP="00503002">
      <w:pPr>
        <w:pStyle w:val="FootnoteText"/>
      </w:pPr>
      <w:r>
        <w:rPr>
          <w:rStyle w:val="FootnoteReference"/>
        </w:rPr>
        <w:footnoteRef/>
      </w:r>
      <w:r>
        <w:t xml:space="preserve"> http://www.synthon.com/Corporate/News/PressReleases/Synthon-obtains-European-approvals-for-sevelamer?sc_lang=en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rsidP="00E45619">
    <w:pPr>
      <w:pStyle w:val="Header"/>
    </w:pPr>
    <w:r>
      <w:t>Therapeutic Goods Administration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pPr>
      <w:rPr>
        <w:noProof/>
        <w:lang w:eastAsia="en-AU"/>
      </w:rPr>
    </w:pPr>
    <w:r w:rsidRPr="00347824">
      <w:rPr>
        <w:noProof/>
        <w:lang w:eastAsia="en-AU"/>
      </w:rPr>
      <w:drawing>
        <wp:anchor distT="0" distB="0" distL="114300" distR="114300" simplePos="0" relativeHeight="251659264" behindDoc="1" locked="0" layoutInCell="1" allowOverlap="1" wp14:anchorId="1D1F2429" wp14:editId="4EBB034C">
          <wp:simplePos x="0" y="0"/>
          <wp:positionH relativeFrom="column">
            <wp:posOffset>-1089660</wp:posOffset>
          </wp:positionH>
          <wp:positionV relativeFrom="paragraph">
            <wp:posOffset>-585470</wp:posOffset>
          </wp:positionV>
          <wp:extent cx="7572375" cy="10706100"/>
          <wp:effectExtent l="19050" t="0" r="0" b="0"/>
          <wp:wrapNone/>
          <wp:docPr id="21" name="Picture 0" descr="Therapeutic Goods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AR-BG-HQ03.gif"/>
                  <pic:cNvPicPr/>
                </pic:nvPicPr>
                <pic:blipFill>
                  <a:blip r:embed="rId1"/>
                  <a:stretch>
                    <a:fillRect/>
                  </a:stretch>
                </pic:blipFill>
                <pic:spPr>
                  <a:xfrm>
                    <a:off x="0" y="0"/>
                    <a:ext cx="7568736" cy="10706100"/>
                  </a:xfrm>
                  <a:prstGeom prst="rect">
                    <a:avLst/>
                  </a:prstGeom>
                </pic:spPr>
              </pic:pic>
            </a:graphicData>
          </a:graphic>
        </wp:anchor>
      </w:drawing>
    </w:r>
  </w:p>
  <w:p w:rsidR="002D64ED" w:rsidRDefault="002D64ED" w:rsidP="00593AD1">
    <w:pPr>
      <w:pStyle w:val="HeaderNoLine"/>
    </w:pPr>
    <w:r>
      <w:rPr>
        <w:noProof/>
        <w:lang w:eastAsia="en-AU"/>
      </w:rPr>
      <w:drawing>
        <wp:inline distT="0" distB="0" distL="0" distR="0" wp14:anchorId="777A629B" wp14:editId="2D25D902">
          <wp:extent cx="5400675" cy="7639050"/>
          <wp:effectExtent l="0" t="0" r="9525" b="0"/>
          <wp:docPr id="22" name="Picture 22" descr="Light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lu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pPr>
      <w:pStyle w:val="Header"/>
    </w:pPr>
    <w:r>
      <w:t>Therapeutic Goods Administration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pPr>
      <w:pStyle w:val="Header"/>
    </w:pPr>
    <w:r>
      <w:t>Therapeutic Goods Administration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rsidP="004C239D">
    <w:pPr>
      <w:pStyle w:val="HeaderNoLin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4ED" w:rsidRDefault="002D64ED" w:rsidP="006E08B3">
    <w:r>
      <w:t>Therapeutic Goods Administration</w:t>
    </w:r>
  </w:p>
  <w:p w:rsidR="002D64ED" w:rsidRDefault="002D64ED" w:rsidP="006D03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144AEC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CF220456"/>
    <w:lvl w:ilvl="0">
      <w:start w:val="1"/>
      <w:numFmt w:val="bullet"/>
      <w:lvlText w:val=""/>
      <w:lvlJc w:val="left"/>
      <w:pPr>
        <w:tabs>
          <w:tab w:val="num" w:pos="360"/>
        </w:tabs>
        <w:ind w:left="360" w:hanging="360"/>
      </w:pPr>
      <w:rPr>
        <w:rFonts w:ascii="Symbol" w:hAnsi="Symbol" w:hint="default"/>
      </w:rPr>
    </w:lvl>
  </w:abstractNum>
  <w:abstractNum w:abstractNumId="2">
    <w:nsid w:val="10053F11"/>
    <w:multiLevelType w:val="multilevel"/>
    <w:tmpl w:val="575CEDBE"/>
    <w:styleLink w:val="NumberBullet"/>
    <w:lvl w:ilvl="0">
      <w:start w:val="1"/>
      <w:numFmt w:val="decimal"/>
      <w:pStyle w:val="Numberbullet0"/>
      <w:lvlText w:val="%1."/>
      <w:lvlJc w:val="left"/>
      <w:pPr>
        <w:ind w:left="425" w:hanging="425"/>
      </w:pPr>
      <w:rPr>
        <w:rFonts w:ascii="Cambria" w:hAnsi="Cambria" w:hint="default"/>
      </w:rPr>
    </w:lvl>
    <w:lvl w:ilvl="1">
      <w:start w:val="1"/>
      <w:numFmt w:val="lowerLetter"/>
      <w:pStyle w:val="Numberbullet2"/>
      <w:lvlText w:val="%2."/>
      <w:lvlJc w:val="left"/>
      <w:pPr>
        <w:ind w:left="851" w:hanging="426"/>
      </w:pPr>
      <w:rPr>
        <w:rFonts w:hint="default"/>
      </w:rPr>
    </w:lvl>
    <w:lvl w:ilvl="2">
      <w:start w:val="1"/>
      <w:numFmt w:val="lowerRoman"/>
      <w:pStyle w:val="Numberbullet3"/>
      <w:lvlText w:val="%3."/>
      <w:lvlJc w:val="left"/>
      <w:pPr>
        <w:ind w:left="1276" w:hanging="425"/>
      </w:pPr>
      <w:rPr>
        <w:rFonts w:hint="default"/>
      </w:rPr>
    </w:lvl>
    <w:lvl w:ilvl="3">
      <w:start w:val="1"/>
      <w:numFmt w:val="none"/>
      <w:lvlText w:val=""/>
      <w:lvlJc w:val="left"/>
      <w:pPr>
        <w:ind w:left="1276" w:hanging="425"/>
      </w:pPr>
      <w:rPr>
        <w:rFonts w:hint="default"/>
      </w:rPr>
    </w:lvl>
    <w:lvl w:ilvl="4">
      <w:start w:val="1"/>
      <w:numFmt w:val="none"/>
      <w:lvlText w:val=""/>
      <w:lvlJc w:val="left"/>
      <w:pPr>
        <w:ind w:left="1276" w:hanging="425"/>
      </w:pPr>
      <w:rPr>
        <w:rFonts w:hint="default"/>
      </w:rPr>
    </w:lvl>
    <w:lvl w:ilvl="5">
      <w:start w:val="1"/>
      <w:numFmt w:val="none"/>
      <w:lvlText w:val=""/>
      <w:lvlJc w:val="left"/>
      <w:pPr>
        <w:ind w:left="1276" w:hanging="425"/>
      </w:pPr>
      <w:rPr>
        <w:rFonts w:hint="default"/>
      </w:rPr>
    </w:lvl>
    <w:lvl w:ilvl="6">
      <w:start w:val="1"/>
      <w:numFmt w:val="none"/>
      <w:lvlText w:val="%7"/>
      <w:lvlJc w:val="left"/>
      <w:pPr>
        <w:ind w:left="1276" w:hanging="425"/>
      </w:pPr>
      <w:rPr>
        <w:rFonts w:hint="default"/>
      </w:rPr>
    </w:lvl>
    <w:lvl w:ilvl="7">
      <w:start w:val="1"/>
      <w:numFmt w:val="none"/>
      <w:lvlText w:val=""/>
      <w:lvlJc w:val="left"/>
      <w:pPr>
        <w:ind w:left="1276" w:hanging="425"/>
      </w:pPr>
      <w:rPr>
        <w:rFonts w:hint="default"/>
      </w:rPr>
    </w:lvl>
    <w:lvl w:ilvl="8">
      <w:start w:val="1"/>
      <w:numFmt w:val="none"/>
      <w:lvlText w:val=""/>
      <w:lvlJc w:val="left"/>
      <w:pPr>
        <w:ind w:left="1276" w:hanging="425"/>
      </w:pPr>
      <w:rPr>
        <w:rFonts w:hint="default"/>
      </w:rPr>
    </w:lvl>
  </w:abstractNum>
  <w:abstractNum w:abstractNumId="3">
    <w:nsid w:val="1315423C"/>
    <w:multiLevelType w:val="hybridMultilevel"/>
    <w:tmpl w:val="970ADD36"/>
    <w:lvl w:ilvl="0" w:tplc="0C09000F">
      <w:start w:val="1"/>
      <w:numFmt w:val="decimal"/>
      <w:lvlText w:val="%1."/>
      <w:lvlJc w:val="left"/>
      <w:pPr>
        <w:ind w:left="1429" w:hanging="360"/>
      </w:pPr>
    </w:lvl>
    <w:lvl w:ilvl="1" w:tplc="0C090019">
      <w:start w:val="1"/>
      <w:numFmt w:val="lowerLetter"/>
      <w:lvlText w:val="%2."/>
      <w:lvlJc w:val="left"/>
      <w:pPr>
        <w:ind w:left="2149" w:hanging="360"/>
      </w:pPr>
    </w:lvl>
    <w:lvl w:ilvl="2" w:tplc="0C09001B">
      <w:start w:val="1"/>
      <w:numFmt w:val="lowerRoman"/>
      <w:lvlText w:val="%3."/>
      <w:lvlJc w:val="right"/>
      <w:pPr>
        <w:ind w:left="2869" w:hanging="180"/>
      </w:pPr>
    </w:lvl>
    <w:lvl w:ilvl="3" w:tplc="0C09000F">
      <w:start w:val="1"/>
      <w:numFmt w:val="decimal"/>
      <w:lvlText w:val="%4."/>
      <w:lvlJc w:val="left"/>
      <w:pPr>
        <w:ind w:left="3589" w:hanging="360"/>
      </w:pPr>
    </w:lvl>
    <w:lvl w:ilvl="4" w:tplc="0C090019">
      <w:start w:val="1"/>
      <w:numFmt w:val="lowerLetter"/>
      <w:lvlText w:val="%5."/>
      <w:lvlJc w:val="left"/>
      <w:pPr>
        <w:ind w:left="4309" w:hanging="360"/>
      </w:pPr>
    </w:lvl>
    <w:lvl w:ilvl="5" w:tplc="0C09001B">
      <w:start w:val="1"/>
      <w:numFmt w:val="lowerRoman"/>
      <w:lvlText w:val="%6."/>
      <w:lvlJc w:val="right"/>
      <w:pPr>
        <w:ind w:left="5029" w:hanging="180"/>
      </w:pPr>
    </w:lvl>
    <w:lvl w:ilvl="6" w:tplc="0C09000F">
      <w:start w:val="1"/>
      <w:numFmt w:val="decimal"/>
      <w:lvlText w:val="%7."/>
      <w:lvlJc w:val="left"/>
      <w:pPr>
        <w:ind w:left="5749" w:hanging="360"/>
      </w:pPr>
    </w:lvl>
    <w:lvl w:ilvl="7" w:tplc="0C090019">
      <w:start w:val="1"/>
      <w:numFmt w:val="lowerLetter"/>
      <w:lvlText w:val="%8."/>
      <w:lvlJc w:val="left"/>
      <w:pPr>
        <w:ind w:left="6469" w:hanging="360"/>
      </w:pPr>
    </w:lvl>
    <w:lvl w:ilvl="8" w:tplc="0C09001B">
      <w:start w:val="1"/>
      <w:numFmt w:val="lowerRoman"/>
      <w:lvlText w:val="%9."/>
      <w:lvlJc w:val="right"/>
      <w:pPr>
        <w:ind w:left="7189" w:hanging="180"/>
      </w:pPr>
    </w:lvl>
  </w:abstractNum>
  <w:abstractNum w:abstractNumId="4">
    <w:nsid w:val="15482C1D"/>
    <w:multiLevelType w:val="hybridMultilevel"/>
    <w:tmpl w:val="B062299E"/>
    <w:lvl w:ilvl="0" w:tplc="0C09000F">
      <w:start w:val="1"/>
      <w:numFmt w:val="decimal"/>
      <w:lvlText w:val="%1."/>
      <w:lvlJc w:val="left"/>
      <w:pPr>
        <w:ind w:left="502" w:hanging="360"/>
      </w:pPr>
    </w:lvl>
    <w:lvl w:ilvl="1" w:tplc="0C090019">
      <w:start w:val="1"/>
      <w:numFmt w:val="lowerLetter"/>
      <w:lvlText w:val="%2."/>
      <w:lvlJc w:val="left"/>
      <w:pPr>
        <w:ind w:left="1222" w:hanging="360"/>
      </w:pPr>
    </w:lvl>
    <w:lvl w:ilvl="2" w:tplc="0C09001B">
      <w:start w:val="1"/>
      <w:numFmt w:val="lowerRoman"/>
      <w:lvlText w:val="%3."/>
      <w:lvlJc w:val="right"/>
      <w:pPr>
        <w:ind w:left="1942" w:hanging="180"/>
      </w:pPr>
    </w:lvl>
    <w:lvl w:ilvl="3" w:tplc="0C09000F">
      <w:start w:val="1"/>
      <w:numFmt w:val="decimal"/>
      <w:lvlText w:val="%4."/>
      <w:lvlJc w:val="left"/>
      <w:pPr>
        <w:ind w:left="2662" w:hanging="360"/>
      </w:pPr>
    </w:lvl>
    <w:lvl w:ilvl="4" w:tplc="0C090019">
      <w:start w:val="1"/>
      <w:numFmt w:val="lowerLetter"/>
      <w:lvlText w:val="%5."/>
      <w:lvlJc w:val="left"/>
      <w:pPr>
        <w:ind w:left="3382" w:hanging="360"/>
      </w:pPr>
    </w:lvl>
    <w:lvl w:ilvl="5" w:tplc="0C09001B">
      <w:start w:val="1"/>
      <w:numFmt w:val="lowerRoman"/>
      <w:lvlText w:val="%6."/>
      <w:lvlJc w:val="right"/>
      <w:pPr>
        <w:ind w:left="4102" w:hanging="180"/>
      </w:pPr>
    </w:lvl>
    <w:lvl w:ilvl="6" w:tplc="0C09000F">
      <w:start w:val="1"/>
      <w:numFmt w:val="decimal"/>
      <w:lvlText w:val="%7."/>
      <w:lvlJc w:val="left"/>
      <w:pPr>
        <w:ind w:left="4822" w:hanging="360"/>
      </w:pPr>
    </w:lvl>
    <w:lvl w:ilvl="7" w:tplc="0C090019">
      <w:start w:val="1"/>
      <w:numFmt w:val="lowerLetter"/>
      <w:lvlText w:val="%8."/>
      <w:lvlJc w:val="left"/>
      <w:pPr>
        <w:ind w:left="5542" w:hanging="360"/>
      </w:pPr>
    </w:lvl>
    <w:lvl w:ilvl="8" w:tplc="0C09001B">
      <w:start w:val="1"/>
      <w:numFmt w:val="lowerRoman"/>
      <w:lvlText w:val="%9."/>
      <w:lvlJc w:val="right"/>
      <w:pPr>
        <w:ind w:left="6262" w:hanging="180"/>
      </w:pPr>
    </w:lvl>
  </w:abstractNum>
  <w:abstractNum w:abstractNumId="5">
    <w:nsid w:val="168F13E9"/>
    <w:multiLevelType w:val="multilevel"/>
    <w:tmpl w:val="DA360B98"/>
    <w:styleLink w:val="ListBullet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Arial" w:hAnsi="Arial" w:hint="default"/>
      </w:rPr>
    </w:lvl>
    <w:lvl w:ilvl="2">
      <w:start w:val="1"/>
      <w:numFmt w:val="bullet"/>
      <w:pStyle w:val="ListBullet3"/>
      <w:lvlText w:val=""/>
      <w:lvlJc w:val="left"/>
      <w:pPr>
        <w:ind w:left="1080" w:hanging="360"/>
      </w:pPr>
      <w:rPr>
        <w:rFonts w:ascii="Wingdings" w:hAnsi="Wingding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nsid w:val="2BCF57AC"/>
    <w:multiLevelType w:val="hybridMultilevel"/>
    <w:tmpl w:val="9578B9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3066740A"/>
    <w:multiLevelType w:val="hybridMultilevel"/>
    <w:tmpl w:val="F47CE5A6"/>
    <w:lvl w:ilvl="0" w:tplc="AAAE3F22">
      <w:start w:val="1"/>
      <w:numFmt w:val="bullet"/>
      <w:pStyle w:val="Bullet1"/>
      <w:lvlText w:val="•"/>
      <w:lvlJc w:val="left"/>
      <w:pPr>
        <w:tabs>
          <w:tab w:val="num" w:pos="284"/>
        </w:tabs>
        <w:ind w:left="284" w:hanging="284"/>
      </w:pPr>
      <w:rPr>
        <w:rFonts w:ascii="Times New Roman" w:hAnsi="Times New Roman" w:cs="Times New Roman" w:hint="default"/>
      </w:rPr>
    </w:lvl>
    <w:lvl w:ilvl="1" w:tplc="BBC2A89C">
      <w:numFmt w:val="bullet"/>
      <w:lvlText w:val="–"/>
      <w:lvlJc w:val="left"/>
      <w:pPr>
        <w:ind w:left="1724" w:hanging="360"/>
      </w:pPr>
      <w:rPr>
        <w:rFonts w:ascii="Cambria" w:eastAsia="Batang" w:hAnsi="Cambria" w:cs="Cambria" w:hint="default"/>
      </w:rPr>
    </w:lvl>
    <w:lvl w:ilvl="2" w:tplc="0C090005">
      <w:start w:val="1"/>
      <w:numFmt w:val="bullet"/>
      <w:lvlText w:val=""/>
      <w:lvlJc w:val="left"/>
      <w:pPr>
        <w:tabs>
          <w:tab w:val="num" w:pos="2444"/>
        </w:tabs>
        <w:ind w:left="2444" w:hanging="360"/>
      </w:pPr>
      <w:rPr>
        <w:rFonts w:ascii="Wingdings" w:hAnsi="Wingdings" w:hint="default"/>
      </w:rPr>
    </w:lvl>
    <w:lvl w:ilvl="3" w:tplc="0C090001">
      <w:start w:val="1"/>
      <w:numFmt w:val="bullet"/>
      <w:lvlText w:val=""/>
      <w:lvlJc w:val="left"/>
      <w:pPr>
        <w:tabs>
          <w:tab w:val="num" w:pos="3164"/>
        </w:tabs>
        <w:ind w:left="3164" w:hanging="360"/>
      </w:pPr>
      <w:rPr>
        <w:rFonts w:ascii="Symbol" w:hAnsi="Symbol" w:hint="default"/>
      </w:rPr>
    </w:lvl>
    <w:lvl w:ilvl="4" w:tplc="0C090003">
      <w:start w:val="1"/>
      <w:numFmt w:val="bullet"/>
      <w:lvlText w:val="o"/>
      <w:lvlJc w:val="left"/>
      <w:pPr>
        <w:tabs>
          <w:tab w:val="num" w:pos="3884"/>
        </w:tabs>
        <w:ind w:left="3884" w:hanging="360"/>
      </w:pPr>
      <w:rPr>
        <w:rFonts w:ascii="Courier New" w:hAnsi="Courier New" w:cs="Courier New" w:hint="default"/>
      </w:rPr>
    </w:lvl>
    <w:lvl w:ilvl="5" w:tplc="0C090005">
      <w:start w:val="1"/>
      <w:numFmt w:val="bullet"/>
      <w:lvlText w:val=""/>
      <w:lvlJc w:val="left"/>
      <w:pPr>
        <w:tabs>
          <w:tab w:val="num" w:pos="4604"/>
        </w:tabs>
        <w:ind w:left="4604" w:hanging="360"/>
      </w:pPr>
      <w:rPr>
        <w:rFonts w:ascii="Wingdings" w:hAnsi="Wingdings" w:hint="default"/>
      </w:rPr>
    </w:lvl>
    <w:lvl w:ilvl="6" w:tplc="0C090001">
      <w:start w:val="1"/>
      <w:numFmt w:val="bullet"/>
      <w:lvlText w:val=""/>
      <w:lvlJc w:val="left"/>
      <w:pPr>
        <w:tabs>
          <w:tab w:val="num" w:pos="5324"/>
        </w:tabs>
        <w:ind w:left="5324" w:hanging="360"/>
      </w:pPr>
      <w:rPr>
        <w:rFonts w:ascii="Symbol" w:hAnsi="Symbol" w:hint="default"/>
      </w:rPr>
    </w:lvl>
    <w:lvl w:ilvl="7" w:tplc="0C090003">
      <w:start w:val="1"/>
      <w:numFmt w:val="bullet"/>
      <w:lvlText w:val="o"/>
      <w:lvlJc w:val="left"/>
      <w:pPr>
        <w:tabs>
          <w:tab w:val="num" w:pos="6044"/>
        </w:tabs>
        <w:ind w:left="6044" w:hanging="360"/>
      </w:pPr>
      <w:rPr>
        <w:rFonts w:ascii="Courier New" w:hAnsi="Courier New" w:cs="Courier New" w:hint="default"/>
      </w:rPr>
    </w:lvl>
    <w:lvl w:ilvl="8" w:tplc="0C090005">
      <w:start w:val="1"/>
      <w:numFmt w:val="bullet"/>
      <w:lvlText w:val=""/>
      <w:lvlJc w:val="left"/>
      <w:pPr>
        <w:tabs>
          <w:tab w:val="num" w:pos="6764"/>
        </w:tabs>
        <w:ind w:left="6764" w:hanging="360"/>
      </w:pPr>
      <w:rPr>
        <w:rFonts w:ascii="Wingdings" w:hAnsi="Wingdings" w:hint="default"/>
      </w:rPr>
    </w:lvl>
  </w:abstractNum>
  <w:abstractNum w:abstractNumId="8">
    <w:nsid w:val="357578D9"/>
    <w:multiLevelType w:val="hybridMultilevel"/>
    <w:tmpl w:val="E95872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9">
    <w:nsid w:val="383F0C7A"/>
    <w:multiLevelType w:val="hybridMultilevel"/>
    <w:tmpl w:val="9B4E8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3287872"/>
    <w:multiLevelType w:val="hybridMultilevel"/>
    <w:tmpl w:val="B40CBA96"/>
    <w:lvl w:ilvl="0" w:tplc="8460FF20">
      <w:start w:val="1"/>
      <w:numFmt w:val="lowerRoman"/>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53424F40"/>
    <w:multiLevelType w:val="hybridMultilevel"/>
    <w:tmpl w:val="27763DA4"/>
    <w:lvl w:ilvl="0" w:tplc="0C090019">
      <w:start w:val="1"/>
      <w:numFmt w:val="lowerLetter"/>
      <w:lvlText w:val="%1."/>
      <w:lvlJc w:val="left"/>
      <w:pPr>
        <w:ind w:left="820" w:hanging="360"/>
      </w:pPr>
    </w:lvl>
    <w:lvl w:ilvl="1" w:tplc="0C090019">
      <w:start w:val="1"/>
      <w:numFmt w:val="lowerLetter"/>
      <w:lvlText w:val="%2."/>
      <w:lvlJc w:val="left"/>
      <w:pPr>
        <w:ind w:left="1540" w:hanging="360"/>
      </w:pPr>
    </w:lvl>
    <w:lvl w:ilvl="2" w:tplc="0C09001B">
      <w:start w:val="1"/>
      <w:numFmt w:val="lowerRoman"/>
      <w:lvlText w:val="%3."/>
      <w:lvlJc w:val="right"/>
      <w:pPr>
        <w:ind w:left="2260" w:hanging="180"/>
      </w:pPr>
    </w:lvl>
    <w:lvl w:ilvl="3" w:tplc="0C09000F">
      <w:start w:val="1"/>
      <w:numFmt w:val="decimal"/>
      <w:lvlText w:val="%4."/>
      <w:lvlJc w:val="left"/>
      <w:pPr>
        <w:ind w:left="2980" w:hanging="360"/>
      </w:pPr>
    </w:lvl>
    <w:lvl w:ilvl="4" w:tplc="0C090019">
      <w:start w:val="1"/>
      <w:numFmt w:val="lowerLetter"/>
      <w:lvlText w:val="%5."/>
      <w:lvlJc w:val="left"/>
      <w:pPr>
        <w:ind w:left="3700" w:hanging="360"/>
      </w:pPr>
    </w:lvl>
    <w:lvl w:ilvl="5" w:tplc="0C09001B">
      <w:start w:val="1"/>
      <w:numFmt w:val="lowerRoman"/>
      <w:lvlText w:val="%6."/>
      <w:lvlJc w:val="right"/>
      <w:pPr>
        <w:ind w:left="4420" w:hanging="180"/>
      </w:pPr>
    </w:lvl>
    <w:lvl w:ilvl="6" w:tplc="0C09000F">
      <w:start w:val="1"/>
      <w:numFmt w:val="decimal"/>
      <w:lvlText w:val="%7."/>
      <w:lvlJc w:val="left"/>
      <w:pPr>
        <w:ind w:left="5140" w:hanging="360"/>
      </w:pPr>
    </w:lvl>
    <w:lvl w:ilvl="7" w:tplc="0C090019">
      <w:start w:val="1"/>
      <w:numFmt w:val="lowerLetter"/>
      <w:lvlText w:val="%8."/>
      <w:lvlJc w:val="left"/>
      <w:pPr>
        <w:ind w:left="5860" w:hanging="360"/>
      </w:pPr>
    </w:lvl>
    <w:lvl w:ilvl="8" w:tplc="0C09001B">
      <w:start w:val="1"/>
      <w:numFmt w:val="lowerRoman"/>
      <w:lvlText w:val="%9."/>
      <w:lvlJc w:val="right"/>
      <w:pPr>
        <w:ind w:left="6580" w:hanging="180"/>
      </w:pPr>
    </w:lvl>
  </w:abstractNum>
  <w:abstractNum w:abstractNumId="12">
    <w:nsid w:val="56DF7962"/>
    <w:multiLevelType w:val="hybridMultilevel"/>
    <w:tmpl w:val="11680B4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3">
    <w:nsid w:val="58B9751A"/>
    <w:multiLevelType w:val="hybridMultilevel"/>
    <w:tmpl w:val="8550C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AE144A8"/>
    <w:multiLevelType w:val="hybridMultilevel"/>
    <w:tmpl w:val="676893DA"/>
    <w:lvl w:ilvl="0" w:tplc="0C09000F">
      <w:start w:val="1"/>
      <w:numFmt w:val="decimal"/>
      <w:lvlText w:val="%1."/>
      <w:lvlJc w:val="left"/>
      <w:pPr>
        <w:ind w:left="1725" w:hanging="360"/>
      </w:pPr>
    </w:lvl>
    <w:lvl w:ilvl="1" w:tplc="0C090019">
      <w:start w:val="1"/>
      <w:numFmt w:val="lowerLetter"/>
      <w:lvlText w:val="%2."/>
      <w:lvlJc w:val="left"/>
      <w:pPr>
        <w:ind w:left="2445" w:hanging="360"/>
      </w:pPr>
    </w:lvl>
    <w:lvl w:ilvl="2" w:tplc="0C09001B">
      <w:start w:val="1"/>
      <w:numFmt w:val="lowerRoman"/>
      <w:lvlText w:val="%3."/>
      <w:lvlJc w:val="right"/>
      <w:pPr>
        <w:ind w:left="3165" w:hanging="180"/>
      </w:pPr>
    </w:lvl>
    <w:lvl w:ilvl="3" w:tplc="0C09000F">
      <w:start w:val="1"/>
      <w:numFmt w:val="decimal"/>
      <w:lvlText w:val="%4."/>
      <w:lvlJc w:val="left"/>
      <w:pPr>
        <w:ind w:left="3885" w:hanging="360"/>
      </w:pPr>
    </w:lvl>
    <w:lvl w:ilvl="4" w:tplc="0C090019">
      <w:start w:val="1"/>
      <w:numFmt w:val="lowerLetter"/>
      <w:lvlText w:val="%5."/>
      <w:lvlJc w:val="left"/>
      <w:pPr>
        <w:ind w:left="4605" w:hanging="360"/>
      </w:pPr>
    </w:lvl>
    <w:lvl w:ilvl="5" w:tplc="0C09001B">
      <w:start w:val="1"/>
      <w:numFmt w:val="lowerRoman"/>
      <w:lvlText w:val="%6."/>
      <w:lvlJc w:val="right"/>
      <w:pPr>
        <w:ind w:left="5325" w:hanging="180"/>
      </w:pPr>
    </w:lvl>
    <w:lvl w:ilvl="6" w:tplc="0C09000F">
      <w:start w:val="1"/>
      <w:numFmt w:val="decimal"/>
      <w:lvlText w:val="%7."/>
      <w:lvlJc w:val="left"/>
      <w:pPr>
        <w:ind w:left="6045" w:hanging="360"/>
      </w:pPr>
    </w:lvl>
    <w:lvl w:ilvl="7" w:tplc="0C090019">
      <w:start w:val="1"/>
      <w:numFmt w:val="lowerLetter"/>
      <w:lvlText w:val="%8."/>
      <w:lvlJc w:val="left"/>
      <w:pPr>
        <w:ind w:left="6765" w:hanging="360"/>
      </w:pPr>
    </w:lvl>
    <w:lvl w:ilvl="8" w:tplc="0C09001B">
      <w:start w:val="1"/>
      <w:numFmt w:val="lowerRoman"/>
      <w:lvlText w:val="%9."/>
      <w:lvlJc w:val="right"/>
      <w:pPr>
        <w:ind w:left="7485" w:hanging="180"/>
      </w:pPr>
    </w:lvl>
  </w:abstractNum>
  <w:abstractNum w:abstractNumId="15">
    <w:nsid w:val="69DE2D82"/>
    <w:multiLevelType w:val="hybridMultilevel"/>
    <w:tmpl w:val="0B08AC3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6">
    <w:nsid w:val="69EE23D2"/>
    <w:multiLevelType w:val="hybridMultilevel"/>
    <w:tmpl w:val="1040DFAA"/>
    <w:lvl w:ilvl="0" w:tplc="99D2B2CE">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C6228D5"/>
    <w:multiLevelType w:val="hybridMultilevel"/>
    <w:tmpl w:val="737CC8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nsid w:val="722C453D"/>
    <w:multiLevelType w:val="hybridMultilevel"/>
    <w:tmpl w:val="53067C16"/>
    <w:lvl w:ilvl="0" w:tplc="1A5C81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E0031C"/>
    <w:multiLevelType w:val="hybridMultilevel"/>
    <w:tmpl w:val="D96EEE82"/>
    <w:lvl w:ilvl="0" w:tplc="9CD65F1A">
      <w:start w:val="1"/>
      <w:numFmt w:val="lowerLetter"/>
      <w:lvlText w:val="(%1)"/>
      <w:lvlJc w:val="left"/>
      <w:pPr>
        <w:ind w:left="1854" w:hanging="360"/>
      </w:pPr>
    </w:lvl>
    <w:lvl w:ilvl="1" w:tplc="0C090019">
      <w:start w:val="1"/>
      <w:numFmt w:val="lowerLetter"/>
      <w:lvlText w:val="%2."/>
      <w:lvlJc w:val="left"/>
      <w:pPr>
        <w:ind w:left="2574" w:hanging="360"/>
      </w:pPr>
    </w:lvl>
    <w:lvl w:ilvl="2" w:tplc="0C09001B">
      <w:start w:val="1"/>
      <w:numFmt w:val="lowerRoman"/>
      <w:lvlText w:val="%3."/>
      <w:lvlJc w:val="right"/>
      <w:pPr>
        <w:ind w:left="3294" w:hanging="180"/>
      </w:pPr>
    </w:lvl>
    <w:lvl w:ilvl="3" w:tplc="0C09000F">
      <w:start w:val="1"/>
      <w:numFmt w:val="decimal"/>
      <w:lvlText w:val="%4."/>
      <w:lvlJc w:val="left"/>
      <w:pPr>
        <w:ind w:left="4014" w:hanging="360"/>
      </w:pPr>
    </w:lvl>
    <w:lvl w:ilvl="4" w:tplc="0C090019">
      <w:start w:val="1"/>
      <w:numFmt w:val="lowerLetter"/>
      <w:lvlText w:val="%5."/>
      <w:lvlJc w:val="left"/>
      <w:pPr>
        <w:ind w:left="4734" w:hanging="360"/>
      </w:pPr>
    </w:lvl>
    <w:lvl w:ilvl="5" w:tplc="0C09001B">
      <w:start w:val="1"/>
      <w:numFmt w:val="lowerRoman"/>
      <w:lvlText w:val="%6."/>
      <w:lvlJc w:val="right"/>
      <w:pPr>
        <w:ind w:left="5454" w:hanging="180"/>
      </w:pPr>
    </w:lvl>
    <w:lvl w:ilvl="6" w:tplc="0C09000F">
      <w:start w:val="1"/>
      <w:numFmt w:val="decimal"/>
      <w:lvlText w:val="%7."/>
      <w:lvlJc w:val="left"/>
      <w:pPr>
        <w:ind w:left="6174" w:hanging="360"/>
      </w:pPr>
    </w:lvl>
    <w:lvl w:ilvl="7" w:tplc="0C090019">
      <w:start w:val="1"/>
      <w:numFmt w:val="lowerLetter"/>
      <w:lvlText w:val="%8."/>
      <w:lvlJc w:val="left"/>
      <w:pPr>
        <w:ind w:left="6894" w:hanging="360"/>
      </w:pPr>
    </w:lvl>
    <w:lvl w:ilvl="8" w:tplc="0C09001B">
      <w:start w:val="1"/>
      <w:numFmt w:val="lowerRoman"/>
      <w:lvlText w:val="%9."/>
      <w:lvlJc w:val="right"/>
      <w:pPr>
        <w:ind w:left="7614" w:hanging="180"/>
      </w:pPr>
    </w:lvl>
  </w:abstractNum>
  <w:num w:numId="1">
    <w:abstractNumId w:val="5"/>
  </w:num>
  <w:num w:numId="2">
    <w:abstractNumId w:val="2"/>
  </w:num>
  <w:num w:numId="3">
    <w:abstractNumId w:val="5"/>
  </w:num>
  <w:num w:numId="4">
    <w:abstractNumId w:val="2"/>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8"/>
  </w:num>
  <w:num w:numId="16">
    <w:abstractNumId w:val="16"/>
  </w:num>
  <w:num w:numId="17">
    <w:abstractNumId w:val="9"/>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31"/>
    <w:rsid w:val="00002031"/>
    <w:rsid w:val="00002AAA"/>
    <w:rsid w:val="00004734"/>
    <w:rsid w:val="00006B22"/>
    <w:rsid w:val="0001276A"/>
    <w:rsid w:val="000246AE"/>
    <w:rsid w:val="00025C67"/>
    <w:rsid w:val="000325C5"/>
    <w:rsid w:val="00040F23"/>
    <w:rsid w:val="00044772"/>
    <w:rsid w:val="0005559E"/>
    <w:rsid w:val="000604D6"/>
    <w:rsid w:val="00072B13"/>
    <w:rsid w:val="000734D8"/>
    <w:rsid w:val="00077775"/>
    <w:rsid w:val="00090471"/>
    <w:rsid w:val="0009666E"/>
    <w:rsid w:val="00096AA7"/>
    <w:rsid w:val="000A3AED"/>
    <w:rsid w:val="000A76C1"/>
    <w:rsid w:val="000B3532"/>
    <w:rsid w:val="000B3A75"/>
    <w:rsid w:val="000B758C"/>
    <w:rsid w:val="000C00C2"/>
    <w:rsid w:val="000C690F"/>
    <w:rsid w:val="000D1295"/>
    <w:rsid w:val="000D391B"/>
    <w:rsid w:val="000D3D6D"/>
    <w:rsid w:val="000D4BA1"/>
    <w:rsid w:val="000D4FC7"/>
    <w:rsid w:val="000E6196"/>
    <w:rsid w:val="000F4869"/>
    <w:rsid w:val="000F5B42"/>
    <w:rsid w:val="000F6E6F"/>
    <w:rsid w:val="0010601F"/>
    <w:rsid w:val="0010788A"/>
    <w:rsid w:val="00107A31"/>
    <w:rsid w:val="00110EA5"/>
    <w:rsid w:val="00112F56"/>
    <w:rsid w:val="00125318"/>
    <w:rsid w:val="001305A2"/>
    <w:rsid w:val="001313E3"/>
    <w:rsid w:val="00133238"/>
    <w:rsid w:val="00141024"/>
    <w:rsid w:val="0014197B"/>
    <w:rsid w:val="001447CD"/>
    <w:rsid w:val="001516B1"/>
    <w:rsid w:val="00154EBB"/>
    <w:rsid w:val="00156316"/>
    <w:rsid w:val="00162D14"/>
    <w:rsid w:val="00165389"/>
    <w:rsid w:val="0017693F"/>
    <w:rsid w:val="0018110E"/>
    <w:rsid w:val="00181684"/>
    <w:rsid w:val="001843C6"/>
    <w:rsid w:val="00184B61"/>
    <w:rsid w:val="001850E0"/>
    <w:rsid w:val="001A2158"/>
    <w:rsid w:val="001A2EFD"/>
    <w:rsid w:val="001A525F"/>
    <w:rsid w:val="001B09F9"/>
    <w:rsid w:val="001B5C90"/>
    <w:rsid w:val="001B6448"/>
    <w:rsid w:val="001C32CD"/>
    <w:rsid w:val="001D2451"/>
    <w:rsid w:val="001D2984"/>
    <w:rsid w:val="001E07CF"/>
    <w:rsid w:val="001E59F1"/>
    <w:rsid w:val="001F49EB"/>
    <w:rsid w:val="001F6CBA"/>
    <w:rsid w:val="00201D4E"/>
    <w:rsid w:val="002076C9"/>
    <w:rsid w:val="00220B8A"/>
    <w:rsid w:val="002257F3"/>
    <w:rsid w:val="00233456"/>
    <w:rsid w:val="002339A5"/>
    <w:rsid w:val="00247512"/>
    <w:rsid w:val="00250CFC"/>
    <w:rsid w:val="00255083"/>
    <w:rsid w:val="00257848"/>
    <w:rsid w:val="0027084A"/>
    <w:rsid w:val="0027118E"/>
    <w:rsid w:val="00286434"/>
    <w:rsid w:val="00286C59"/>
    <w:rsid w:val="00291957"/>
    <w:rsid w:val="002942D1"/>
    <w:rsid w:val="0029501A"/>
    <w:rsid w:val="002A3721"/>
    <w:rsid w:val="002A7F42"/>
    <w:rsid w:val="002B1638"/>
    <w:rsid w:val="002B3624"/>
    <w:rsid w:val="002B65A4"/>
    <w:rsid w:val="002C03E3"/>
    <w:rsid w:val="002D64ED"/>
    <w:rsid w:val="002E40B3"/>
    <w:rsid w:val="002E4C9A"/>
    <w:rsid w:val="002F11F8"/>
    <w:rsid w:val="002F3F56"/>
    <w:rsid w:val="002F44B5"/>
    <w:rsid w:val="00311AC0"/>
    <w:rsid w:val="0032583B"/>
    <w:rsid w:val="00327883"/>
    <w:rsid w:val="00335504"/>
    <w:rsid w:val="00347824"/>
    <w:rsid w:val="00350567"/>
    <w:rsid w:val="003521E8"/>
    <w:rsid w:val="00356627"/>
    <w:rsid w:val="003728F3"/>
    <w:rsid w:val="0037496E"/>
    <w:rsid w:val="00380CBC"/>
    <w:rsid w:val="00383221"/>
    <w:rsid w:val="0038432E"/>
    <w:rsid w:val="00386150"/>
    <w:rsid w:val="003874CE"/>
    <w:rsid w:val="00390900"/>
    <w:rsid w:val="0039427E"/>
    <w:rsid w:val="003A2EBC"/>
    <w:rsid w:val="003A7F6C"/>
    <w:rsid w:val="003B4D60"/>
    <w:rsid w:val="003B7E39"/>
    <w:rsid w:val="003C58DC"/>
    <w:rsid w:val="003D1E06"/>
    <w:rsid w:val="003D1E62"/>
    <w:rsid w:val="003E0B99"/>
    <w:rsid w:val="003E2486"/>
    <w:rsid w:val="003E3208"/>
    <w:rsid w:val="003F0B04"/>
    <w:rsid w:val="0040134E"/>
    <w:rsid w:val="00414604"/>
    <w:rsid w:val="00422113"/>
    <w:rsid w:val="004334C7"/>
    <w:rsid w:val="00440A2D"/>
    <w:rsid w:val="004564A7"/>
    <w:rsid w:val="004617BF"/>
    <w:rsid w:val="00463658"/>
    <w:rsid w:val="004637A0"/>
    <w:rsid w:val="004722CC"/>
    <w:rsid w:val="00472D9C"/>
    <w:rsid w:val="00475509"/>
    <w:rsid w:val="004936E4"/>
    <w:rsid w:val="00494E60"/>
    <w:rsid w:val="00495699"/>
    <w:rsid w:val="00497487"/>
    <w:rsid w:val="004A46DC"/>
    <w:rsid w:val="004A7390"/>
    <w:rsid w:val="004B7B76"/>
    <w:rsid w:val="004C239D"/>
    <w:rsid w:val="004C2DCA"/>
    <w:rsid w:val="004C61D2"/>
    <w:rsid w:val="004F0C4A"/>
    <w:rsid w:val="004F0F38"/>
    <w:rsid w:val="004F47D6"/>
    <w:rsid w:val="00501921"/>
    <w:rsid w:val="00503002"/>
    <w:rsid w:val="00530354"/>
    <w:rsid w:val="00531D60"/>
    <w:rsid w:val="0053625B"/>
    <w:rsid w:val="005434C6"/>
    <w:rsid w:val="00543B39"/>
    <w:rsid w:val="00546154"/>
    <w:rsid w:val="00550096"/>
    <w:rsid w:val="00555280"/>
    <w:rsid w:val="00557FF9"/>
    <w:rsid w:val="005648DE"/>
    <w:rsid w:val="005711D5"/>
    <w:rsid w:val="00576378"/>
    <w:rsid w:val="00577130"/>
    <w:rsid w:val="00577945"/>
    <w:rsid w:val="00577E38"/>
    <w:rsid w:val="00585322"/>
    <w:rsid w:val="005857C6"/>
    <w:rsid w:val="00586D85"/>
    <w:rsid w:val="00592F6E"/>
    <w:rsid w:val="00593AD1"/>
    <w:rsid w:val="005A57F0"/>
    <w:rsid w:val="005A68B6"/>
    <w:rsid w:val="005C5570"/>
    <w:rsid w:val="005C6B7D"/>
    <w:rsid w:val="005C79A4"/>
    <w:rsid w:val="005D5442"/>
    <w:rsid w:val="00603F32"/>
    <w:rsid w:val="00605AD4"/>
    <w:rsid w:val="006229C6"/>
    <w:rsid w:val="00625A6E"/>
    <w:rsid w:val="00632398"/>
    <w:rsid w:val="00634E4D"/>
    <w:rsid w:val="00640FC3"/>
    <w:rsid w:val="00642020"/>
    <w:rsid w:val="006433BC"/>
    <w:rsid w:val="0065337B"/>
    <w:rsid w:val="0065419D"/>
    <w:rsid w:val="006604D8"/>
    <w:rsid w:val="00664A5B"/>
    <w:rsid w:val="0066735C"/>
    <w:rsid w:val="006763D2"/>
    <w:rsid w:val="006804DF"/>
    <w:rsid w:val="00680C08"/>
    <w:rsid w:val="006931B1"/>
    <w:rsid w:val="006A15C0"/>
    <w:rsid w:val="006A6C14"/>
    <w:rsid w:val="006C3E2A"/>
    <w:rsid w:val="006C642F"/>
    <w:rsid w:val="006D03E5"/>
    <w:rsid w:val="006D5D3E"/>
    <w:rsid w:val="006D678E"/>
    <w:rsid w:val="006E08B3"/>
    <w:rsid w:val="006E431B"/>
    <w:rsid w:val="006F17AC"/>
    <w:rsid w:val="006F25B8"/>
    <w:rsid w:val="006F572E"/>
    <w:rsid w:val="00700987"/>
    <w:rsid w:val="007046D6"/>
    <w:rsid w:val="00705DB0"/>
    <w:rsid w:val="00722B57"/>
    <w:rsid w:val="00723EFB"/>
    <w:rsid w:val="00730F8A"/>
    <w:rsid w:val="00735A8C"/>
    <w:rsid w:val="0074253D"/>
    <w:rsid w:val="0074429B"/>
    <w:rsid w:val="00750BC3"/>
    <w:rsid w:val="007615BC"/>
    <w:rsid w:val="007618ED"/>
    <w:rsid w:val="00762F05"/>
    <w:rsid w:val="007652FF"/>
    <w:rsid w:val="00770EF1"/>
    <w:rsid w:val="00773EF7"/>
    <w:rsid w:val="00774E1D"/>
    <w:rsid w:val="007765D8"/>
    <w:rsid w:val="0077675A"/>
    <w:rsid w:val="00777C30"/>
    <w:rsid w:val="00780355"/>
    <w:rsid w:val="007819FD"/>
    <w:rsid w:val="00785721"/>
    <w:rsid w:val="00793A59"/>
    <w:rsid w:val="007A1D60"/>
    <w:rsid w:val="007A38A3"/>
    <w:rsid w:val="007B6132"/>
    <w:rsid w:val="007B6E9F"/>
    <w:rsid w:val="007C1216"/>
    <w:rsid w:val="007C13D5"/>
    <w:rsid w:val="007C1AF7"/>
    <w:rsid w:val="007E2C31"/>
    <w:rsid w:val="008021F8"/>
    <w:rsid w:val="00805D27"/>
    <w:rsid w:val="00806140"/>
    <w:rsid w:val="00821776"/>
    <w:rsid w:val="008321F5"/>
    <w:rsid w:val="00832369"/>
    <w:rsid w:val="00834660"/>
    <w:rsid w:val="00835237"/>
    <w:rsid w:val="00836BC2"/>
    <w:rsid w:val="008408A6"/>
    <w:rsid w:val="00843608"/>
    <w:rsid w:val="0085079D"/>
    <w:rsid w:val="0085156D"/>
    <w:rsid w:val="0085641B"/>
    <w:rsid w:val="00857136"/>
    <w:rsid w:val="00885B11"/>
    <w:rsid w:val="00886D15"/>
    <w:rsid w:val="00887DD8"/>
    <w:rsid w:val="00891BA9"/>
    <w:rsid w:val="00896018"/>
    <w:rsid w:val="008960DD"/>
    <w:rsid w:val="0089635C"/>
    <w:rsid w:val="008A2B9D"/>
    <w:rsid w:val="008A3D9F"/>
    <w:rsid w:val="008A5E0B"/>
    <w:rsid w:val="008A6D59"/>
    <w:rsid w:val="008B4B03"/>
    <w:rsid w:val="008B596F"/>
    <w:rsid w:val="008C159F"/>
    <w:rsid w:val="008C1623"/>
    <w:rsid w:val="008C1850"/>
    <w:rsid w:val="008C51A9"/>
    <w:rsid w:val="008E7846"/>
    <w:rsid w:val="008F02E5"/>
    <w:rsid w:val="008F1CCC"/>
    <w:rsid w:val="008F2967"/>
    <w:rsid w:val="008F6943"/>
    <w:rsid w:val="008F7658"/>
    <w:rsid w:val="00901EB1"/>
    <w:rsid w:val="00902A21"/>
    <w:rsid w:val="00920330"/>
    <w:rsid w:val="009219D7"/>
    <w:rsid w:val="00922D53"/>
    <w:rsid w:val="00923B70"/>
    <w:rsid w:val="00924482"/>
    <w:rsid w:val="00930237"/>
    <w:rsid w:val="00940A89"/>
    <w:rsid w:val="00946EA5"/>
    <w:rsid w:val="00963C08"/>
    <w:rsid w:val="0098585A"/>
    <w:rsid w:val="009A4CED"/>
    <w:rsid w:val="009A690D"/>
    <w:rsid w:val="009B1D12"/>
    <w:rsid w:val="009B416B"/>
    <w:rsid w:val="009C4BD5"/>
    <w:rsid w:val="009D7B77"/>
    <w:rsid w:val="009E0BB0"/>
    <w:rsid w:val="009E3FBB"/>
    <w:rsid w:val="00A04F85"/>
    <w:rsid w:val="00A05FA4"/>
    <w:rsid w:val="00A102E4"/>
    <w:rsid w:val="00A12C42"/>
    <w:rsid w:val="00A14DF7"/>
    <w:rsid w:val="00A3246D"/>
    <w:rsid w:val="00A36FA7"/>
    <w:rsid w:val="00A44DDB"/>
    <w:rsid w:val="00A475B7"/>
    <w:rsid w:val="00A47AF7"/>
    <w:rsid w:val="00A47C3E"/>
    <w:rsid w:val="00A50226"/>
    <w:rsid w:val="00A60BAD"/>
    <w:rsid w:val="00A80B5B"/>
    <w:rsid w:val="00A84E36"/>
    <w:rsid w:val="00A964D1"/>
    <w:rsid w:val="00AA0ED0"/>
    <w:rsid w:val="00AC2B40"/>
    <w:rsid w:val="00AC2BB2"/>
    <w:rsid w:val="00AC2C3C"/>
    <w:rsid w:val="00AC512D"/>
    <w:rsid w:val="00AD0083"/>
    <w:rsid w:val="00AD14E5"/>
    <w:rsid w:val="00AD3935"/>
    <w:rsid w:val="00AE65EB"/>
    <w:rsid w:val="00AE67A7"/>
    <w:rsid w:val="00AF1D94"/>
    <w:rsid w:val="00AF60C5"/>
    <w:rsid w:val="00B009C6"/>
    <w:rsid w:val="00B01548"/>
    <w:rsid w:val="00B13EBD"/>
    <w:rsid w:val="00B21D29"/>
    <w:rsid w:val="00B25034"/>
    <w:rsid w:val="00B33262"/>
    <w:rsid w:val="00B33588"/>
    <w:rsid w:val="00B33863"/>
    <w:rsid w:val="00B37D17"/>
    <w:rsid w:val="00B4175E"/>
    <w:rsid w:val="00B452CE"/>
    <w:rsid w:val="00B546AF"/>
    <w:rsid w:val="00B54C25"/>
    <w:rsid w:val="00B57E27"/>
    <w:rsid w:val="00B653C1"/>
    <w:rsid w:val="00B76B91"/>
    <w:rsid w:val="00B77EB1"/>
    <w:rsid w:val="00B811C6"/>
    <w:rsid w:val="00B855B0"/>
    <w:rsid w:val="00B92E08"/>
    <w:rsid w:val="00B94B54"/>
    <w:rsid w:val="00BC622A"/>
    <w:rsid w:val="00BE0A78"/>
    <w:rsid w:val="00BE79F0"/>
    <w:rsid w:val="00BF046D"/>
    <w:rsid w:val="00BF1190"/>
    <w:rsid w:val="00BF353B"/>
    <w:rsid w:val="00BF490C"/>
    <w:rsid w:val="00BF5D04"/>
    <w:rsid w:val="00C1164D"/>
    <w:rsid w:val="00C16861"/>
    <w:rsid w:val="00C346AB"/>
    <w:rsid w:val="00C404A6"/>
    <w:rsid w:val="00C40A36"/>
    <w:rsid w:val="00C44419"/>
    <w:rsid w:val="00C45E7B"/>
    <w:rsid w:val="00C471B1"/>
    <w:rsid w:val="00C544FF"/>
    <w:rsid w:val="00C6316B"/>
    <w:rsid w:val="00C634A9"/>
    <w:rsid w:val="00C64586"/>
    <w:rsid w:val="00C70D53"/>
    <w:rsid w:val="00C73D0B"/>
    <w:rsid w:val="00C73EAF"/>
    <w:rsid w:val="00C772FF"/>
    <w:rsid w:val="00C80137"/>
    <w:rsid w:val="00C801AF"/>
    <w:rsid w:val="00C80256"/>
    <w:rsid w:val="00C9747E"/>
    <w:rsid w:val="00CB227D"/>
    <w:rsid w:val="00CB6BC0"/>
    <w:rsid w:val="00CC1B7C"/>
    <w:rsid w:val="00CC31A4"/>
    <w:rsid w:val="00CC727F"/>
    <w:rsid w:val="00CF15C3"/>
    <w:rsid w:val="00CF2B6F"/>
    <w:rsid w:val="00CF2F3E"/>
    <w:rsid w:val="00CF58B6"/>
    <w:rsid w:val="00D004AA"/>
    <w:rsid w:val="00D0062D"/>
    <w:rsid w:val="00D017ED"/>
    <w:rsid w:val="00D040D3"/>
    <w:rsid w:val="00D04C65"/>
    <w:rsid w:val="00D12723"/>
    <w:rsid w:val="00D13F3C"/>
    <w:rsid w:val="00D201D2"/>
    <w:rsid w:val="00D224FE"/>
    <w:rsid w:val="00D23139"/>
    <w:rsid w:val="00D272B8"/>
    <w:rsid w:val="00D425BB"/>
    <w:rsid w:val="00D4540A"/>
    <w:rsid w:val="00D6493E"/>
    <w:rsid w:val="00D7195D"/>
    <w:rsid w:val="00D7301E"/>
    <w:rsid w:val="00D75DFD"/>
    <w:rsid w:val="00D83AE1"/>
    <w:rsid w:val="00D855D4"/>
    <w:rsid w:val="00D91930"/>
    <w:rsid w:val="00D93466"/>
    <w:rsid w:val="00DA1124"/>
    <w:rsid w:val="00DB6124"/>
    <w:rsid w:val="00DB750B"/>
    <w:rsid w:val="00DB75B7"/>
    <w:rsid w:val="00DC1D1B"/>
    <w:rsid w:val="00DC5E9C"/>
    <w:rsid w:val="00DC6E02"/>
    <w:rsid w:val="00DE02AE"/>
    <w:rsid w:val="00DE150A"/>
    <w:rsid w:val="00DF1D7F"/>
    <w:rsid w:val="00DF3731"/>
    <w:rsid w:val="00DF3FB2"/>
    <w:rsid w:val="00DF4BE4"/>
    <w:rsid w:val="00E02FB4"/>
    <w:rsid w:val="00E07105"/>
    <w:rsid w:val="00E10639"/>
    <w:rsid w:val="00E13FC7"/>
    <w:rsid w:val="00E20571"/>
    <w:rsid w:val="00E235F7"/>
    <w:rsid w:val="00E23659"/>
    <w:rsid w:val="00E239D4"/>
    <w:rsid w:val="00E26130"/>
    <w:rsid w:val="00E40B22"/>
    <w:rsid w:val="00E44ED1"/>
    <w:rsid w:val="00E45619"/>
    <w:rsid w:val="00E4588F"/>
    <w:rsid w:val="00E46DA3"/>
    <w:rsid w:val="00E51BB1"/>
    <w:rsid w:val="00E624A5"/>
    <w:rsid w:val="00E64BA4"/>
    <w:rsid w:val="00E7344E"/>
    <w:rsid w:val="00E8019C"/>
    <w:rsid w:val="00EA04BB"/>
    <w:rsid w:val="00EB0798"/>
    <w:rsid w:val="00EB40AD"/>
    <w:rsid w:val="00EB586E"/>
    <w:rsid w:val="00EB5FC8"/>
    <w:rsid w:val="00EC7A85"/>
    <w:rsid w:val="00ED3CAD"/>
    <w:rsid w:val="00ED5A41"/>
    <w:rsid w:val="00EE1DE8"/>
    <w:rsid w:val="00EF56D8"/>
    <w:rsid w:val="00F033EC"/>
    <w:rsid w:val="00F04F68"/>
    <w:rsid w:val="00F12670"/>
    <w:rsid w:val="00F14B27"/>
    <w:rsid w:val="00F3148D"/>
    <w:rsid w:val="00F325C5"/>
    <w:rsid w:val="00F32FE0"/>
    <w:rsid w:val="00F35298"/>
    <w:rsid w:val="00F47333"/>
    <w:rsid w:val="00F47E37"/>
    <w:rsid w:val="00F53C07"/>
    <w:rsid w:val="00F54B65"/>
    <w:rsid w:val="00F567B4"/>
    <w:rsid w:val="00F56C68"/>
    <w:rsid w:val="00F640B6"/>
    <w:rsid w:val="00F77E39"/>
    <w:rsid w:val="00F80E40"/>
    <w:rsid w:val="00F848D9"/>
    <w:rsid w:val="00F91859"/>
    <w:rsid w:val="00FA5B82"/>
    <w:rsid w:val="00FA639E"/>
    <w:rsid w:val="00FC25E4"/>
    <w:rsid w:val="00FC4EF7"/>
    <w:rsid w:val="00FC5AAB"/>
    <w:rsid w:val="00FD0824"/>
    <w:rsid w:val="00FD119B"/>
    <w:rsid w:val="00FD1EDC"/>
    <w:rsid w:val="00FD6342"/>
    <w:rsid w:val="00FE1DEE"/>
    <w:rsid w:val="00FE62B1"/>
    <w:rsid w:val="00FF2126"/>
    <w:rsid w:val="00FF5755"/>
    <w:rsid w:val="00FF69BE"/>
    <w:rsid w:val="00FF7B9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lsdException w:name="List Bullet" w:semiHidden="0" w:unhideWhenUsed="0" w:qFormat="1"/>
    <w:lsdException w:name="List Bullet 2" w:semiHidden="0" w:unhideWhenUsed="0" w:qFormat="1"/>
    <w:lsdException w:name="List Bullet 3" w:qFormat="1"/>
    <w:lsdException w:name="Title" w:semiHidden="0" w:uiPriority="10" w:unhideWhenUsed="0"/>
    <w:lsdException w:name="Default Paragraph Font" w:uiPriority="1"/>
    <w:lsdException w:name="Subtitle" w:semiHidden="0" w:uiPriority="11" w:unhideWhenUsed="0"/>
    <w:lsdException w:name="Date" w:semiHidden="0"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
    <w:qFormat/>
    <w:rsid w:val="00DE150A"/>
    <w:pPr>
      <w:spacing w:before="120" w:after="120" w:line="240" w:lineRule="atLeast"/>
    </w:pPr>
    <w:rPr>
      <w:rFonts w:ascii="Cambria" w:eastAsia="Cambria" w:hAnsi="Cambria" w:cs="Times New Roman"/>
    </w:rPr>
  </w:style>
  <w:style w:type="paragraph" w:styleId="Heading1">
    <w:name w:val="heading 1"/>
    <w:basedOn w:val="Heading2"/>
    <w:next w:val="Normal"/>
    <w:link w:val="Heading1Char"/>
    <w:rsid w:val="000C690F"/>
    <w:pPr>
      <w:spacing w:before="120" w:after="360"/>
      <w:outlineLvl w:val="0"/>
    </w:pPr>
    <w:rPr>
      <w:rFonts w:asciiTheme="majorHAnsi" w:hAnsiTheme="majorHAnsi" w:cstheme="majorHAnsi"/>
      <w:sz w:val="64"/>
      <w:szCs w:val="64"/>
    </w:rPr>
  </w:style>
  <w:style w:type="paragraph" w:styleId="Heading2">
    <w:name w:val="heading 2"/>
    <w:basedOn w:val="Normal"/>
    <w:next w:val="Normal"/>
    <w:link w:val="Heading2Char"/>
    <w:qFormat/>
    <w:rsid w:val="004722CC"/>
    <w:pPr>
      <w:keepNext/>
      <w:keepLines/>
      <w:spacing w:before="480"/>
      <w:outlineLvl w:val="1"/>
    </w:pPr>
    <w:rPr>
      <w:rFonts w:ascii="Arial" w:eastAsia="Times New Roman" w:hAnsi="Arial"/>
      <w:b/>
      <w:bCs/>
      <w:sz w:val="32"/>
      <w:szCs w:val="26"/>
    </w:rPr>
  </w:style>
  <w:style w:type="paragraph" w:styleId="Heading3">
    <w:name w:val="heading 3"/>
    <w:basedOn w:val="Normal"/>
    <w:next w:val="Normal"/>
    <w:link w:val="Heading3Char"/>
    <w:qFormat/>
    <w:rsid w:val="004722CC"/>
    <w:pPr>
      <w:keepNext/>
      <w:keepLines/>
      <w:spacing w:before="480" w:after="0" w:line="220" w:lineRule="atLeast"/>
      <w:outlineLvl w:val="2"/>
    </w:pPr>
    <w:rPr>
      <w:rFonts w:ascii="Arial" w:eastAsia="Times New Roman" w:hAnsi="Arial"/>
      <w:b/>
      <w:bCs/>
      <w:szCs w:val="21"/>
    </w:rPr>
  </w:style>
  <w:style w:type="paragraph" w:styleId="Heading4">
    <w:name w:val="heading 4"/>
    <w:basedOn w:val="Normal"/>
    <w:next w:val="Normal"/>
    <w:link w:val="Heading4Char"/>
    <w:qFormat/>
    <w:rsid w:val="00AD0083"/>
    <w:pPr>
      <w:keepNext/>
      <w:spacing w:before="360" w:after="0" w:line="220" w:lineRule="atLeast"/>
      <w:outlineLvl w:val="3"/>
    </w:pPr>
    <w:rPr>
      <w:b/>
      <w:bCs/>
      <w:szCs w:val="21"/>
    </w:rPr>
  </w:style>
  <w:style w:type="paragraph" w:styleId="Heading5">
    <w:name w:val="heading 5"/>
    <w:basedOn w:val="Normal"/>
    <w:next w:val="Normal"/>
    <w:link w:val="Heading5Char"/>
    <w:qFormat/>
    <w:rsid w:val="00503002"/>
    <w:pPr>
      <w:keepNext/>
      <w:keepLines/>
      <w:spacing w:line="220" w:lineRule="atLeast"/>
      <w:outlineLvl w:val="4"/>
    </w:pPr>
    <w:rPr>
      <w:b/>
      <w:bCs/>
      <w:i/>
      <w:color w:val="001523"/>
      <w:szCs w:val="21"/>
    </w:rPr>
  </w:style>
  <w:style w:type="paragraph" w:styleId="Heading6">
    <w:name w:val="heading 6"/>
    <w:basedOn w:val="Normal"/>
    <w:next w:val="Normal"/>
    <w:link w:val="Heading6Char"/>
    <w:uiPriority w:val="9"/>
    <w:rsid w:val="00577130"/>
    <w:pPr>
      <w:keepNext/>
      <w:spacing w:line="220" w:lineRule="atLeast"/>
      <w:outlineLvl w:val="5"/>
    </w:pPr>
    <w:rPr>
      <w:rFonts w:eastAsia="Times New Roman"/>
      <w:bCs/>
      <w:i/>
      <w:szCs w:val="21"/>
    </w:rPr>
  </w:style>
  <w:style w:type="paragraph" w:styleId="Heading7">
    <w:name w:val="heading 7"/>
    <w:basedOn w:val="Normal"/>
    <w:next w:val="Normal"/>
    <w:link w:val="Heading7Char"/>
    <w:uiPriority w:val="9"/>
    <w:rsid w:val="00AD0083"/>
    <w:pPr>
      <w:keepNext/>
      <w:spacing w:after="60" w:line="180" w:lineRule="atLeast"/>
      <w:outlineLvl w:val="6"/>
    </w:pPr>
    <w:rPr>
      <w:rFonts w:eastAsia="Times New Roman"/>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0F"/>
    <w:rPr>
      <w:rFonts w:asciiTheme="majorHAnsi" w:eastAsia="Times New Roman" w:hAnsiTheme="majorHAnsi" w:cstheme="majorHAnsi"/>
      <w:b/>
      <w:bCs/>
      <w:sz w:val="64"/>
      <w:szCs w:val="64"/>
    </w:rPr>
  </w:style>
  <w:style w:type="character" w:customStyle="1" w:styleId="Heading2Char">
    <w:name w:val="Heading 2 Char"/>
    <w:basedOn w:val="DefaultParagraphFont"/>
    <w:link w:val="Heading2"/>
    <w:rsid w:val="00AD3935"/>
    <w:rPr>
      <w:rFonts w:ascii="Arial" w:eastAsia="Times New Roman" w:hAnsi="Arial" w:cs="Times New Roman"/>
      <w:b/>
      <w:bCs/>
      <w:sz w:val="32"/>
      <w:szCs w:val="26"/>
    </w:rPr>
  </w:style>
  <w:style w:type="character" w:customStyle="1" w:styleId="Heading3Char">
    <w:name w:val="Heading 3 Char"/>
    <w:basedOn w:val="DefaultParagraphFont"/>
    <w:link w:val="Heading3"/>
    <w:rsid w:val="00AD3935"/>
    <w:rPr>
      <w:rFonts w:ascii="Arial" w:eastAsia="Times New Roman" w:hAnsi="Arial" w:cs="Times New Roman"/>
      <w:b/>
      <w:bCs/>
      <w:szCs w:val="21"/>
    </w:rPr>
  </w:style>
  <w:style w:type="paragraph" w:customStyle="1" w:styleId="Address">
    <w:name w:val="Address"/>
    <w:basedOn w:val="Normal"/>
    <w:rsid w:val="00E45619"/>
    <w:pPr>
      <w:spacing w:before="0" w:after="0" w:line="280" w:lineRule="atLeast"/>
      <w:jc w:val="center"/>
    </w:pPr>
  </w:style>
  <w:style w:type="paragraph" w:customStyle="1" w:styleId="AxisLabel">
    <w:name w:val="Axis Label"/>
    <w:basedOn w:val="Normal"/>
    <w:rsid w:val="00F3148D"/>
    <w:pPr>
      <w:spacing w:after="0" w:line="240" w:lineRule="auto"/>
    </w:pPr>
    <w:rPr>
      <w:rFonts w:ascii="Arial" w:hAnsi="Arial"/>
      <w:noProof/>
      <w:sz w:val="14"/>
      <w:lang w:eastAsia="en-AU"/>
    </w:rPr>
  </w:style>
  <w:style w:type="paragraph" w:customStyle="1" w:styleId="AxisTitle">
    <w:name w:val="Axis Title"/>
    <w:basedOn w:val="Normal"/>
    <w:rsid w:val="00F3148D"/>
    <w:pPr>
      <w:spacing w:after="0" w:line="240" w:lineRule="auto"/>
    </w:pPr>
    <w:rPr>
      <w:rFonts w:ascii="Arial" w:hAnsi="Arial"/>
      <w:sz w:val="16"/>
    </w:rPr>
  </w:style>
  <w:style w:type="paragraph" w:styleId="BalloonText">
    <w:name w:val="Balloon Text"/>
    <w:basedOn w:val="Normal"/>
    <w:link w:val="BalloonTextChar"/>
    <w:uiPriority w:val="99"/>
    <w:semiHidden/>
    <w:unhideWhenUsed/>
    <w:rsid w:val="00F314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D"/>
    <w:rPr>
      <w:rFonts w:ascii="Tahoma" w:hAnsi="Tahoma" w:cs="Tahoma"/>
      <w:sz w:val="16"/>
      <w:szCs w:val="16"/>
    </w:rPr>
  </w:style>
  <w:style w:type="paragraph" w:styleId="Caption">
    <w:name w:val="caption"/>
    <w:basedOn w:val="Normal"/>
    <w:next w:val="Normal"/>
    <w:uiPriority w:val="35"/>
    <w:rsid w:val="003D1E62"/>
    <w:pPr>
      <w:spacing w:before="0"/>
    </w:pPr>
    <w:rPr>
      <w:sz w:val="19"/>
      <w:szCs w:val="18"/>
    </w:rPr>
  </w:style>
  <w:style w:type="paragraph" w:customStyle="1" w:styleId="Contents">
    <w:name w:val="Contents"/>
    <w:basedOn w:val="Normal"/>
    <w:rsid w:val="003B4D60"/>
    <w:pPr>
      <w:spacing w:before="0" w:after="0"/>
    </w:pPr>
    <w:rPr>
      <w:rFonts w:ascii="Arial" w:hAnsi="Arial"/>
      <w:b/>
      <w:sz w:val="48"/>
    </w:rPr>
  </w:style>
  <w:style w:type="paragraph" w:styleId="Date">
    <w:name w:val="Date"/>
    <w:basedOn w:val="Normal"/>
    <w:next w:val="Normal"/>
    <w:link w:val="DateChar"/>
    <w:uiPriority w:val="99"/>
    <w:rsid w:val="00F3148D"/>
    <w:pPr>
      <w:spacing w:after="0"/>
    </w:pPr>
    <w:rPr>
      <w:rFonts w:ascii="Arial" w:hAnsi="Arial"/>
      <w:sz w:val="28"/>
    </w:rPr>
  </w:style>
  <w:style w:type="character" w:customStyle="1" w:styleId="DateChar">
    <w:name w:val="Date Char"/>
    <w:basedOn w:val="DefaultParagraphFont"/>
    <w:link w:val="Date"/>
    <w:uiPriority w:val="99"/>
    <w:rsid w:val="00F3148D"/>
    <w:rPr>
      <w:rFonts w:ascii="Arial" w:hAnsi="Arial"/>
      <w:sz w:val="28"/>
    </w:rPr>
  </w:style>
  <w:style w:type="paragraph" w:customStyle="1" w:styleId="FigureDescription">
    <w:name w:val="Figure Description"/>
    <w:basedOn w:val="Normal"/>
    <w:rsid w:val="003D1E62"/>
    <w:pPr>
      <w:spacing w:after="0"/>
    </w:pPr>
    <w:rPr>
      <w:sz w:val="19"/>
    </w:rPr>
  </w:style>
  <w:style w:type="paragraph" w:customStyle="1" w:styleId="FigureTitle">
    <w:name w:val="Figure Title"/>
    <w:basedOn w:val="Normal"/>
    <w:rsid w:val="00DE150A"/>
    <w:pPr>
      <w:keepNext/>
      <w:keepLines/>
      <w:spacing w:line="220" w:lineRule="atLeast"/>
    </w:pPr>
    <w:rPr>
      <w:b/>
    </w:rPr>
  </w:style>
  <w:style w:type="character" w:customStyle="1" w:styleId="Heading4Char">
    <w:name w:val="Heading 4 Char"/>
    <w:basedOn w:val="DefaultParagraphFont"/>
    <w:link w:val="Heading4"/>
    <w:rsid w:val="00AD3935"/>
    <w:rPr>
      <w:rFonts w:ascii="Cambria" w:eastAsia="Cambria" w:hAnsi="Cambria" w:cs="Times New Roman"/>
      <w:b/>
      <w:bCs/>
      <w:szCs w:val="21"/>
    </w:rPr>
  </w:style>
  <w:style w:type="character" w:styleId="FollowedHyperlink">
    <w:name w:val="FollowedHyperlink"/>
    <w:basedOn w:val="DefaultParagraphFont"/>
    <w:uiPriority w:val="99"/>
    <w:semiHidden/>
    <w:unhideWhenUsed/>
    <w:rsid w:val="00F3148D"/>
    <w:rPr>
      <w:color w:val="800080"/>
      <w:u w:val="single"/>
    </w:rPr>
  </w:style>
  <w:style w:type="paragraph" w:styleId="Footer">
    <w:name w:val="footer"/>
    <w:basedOn w:val="Normal"/>
    <w:link w:val="FooterChar"/>
    <w:uiPriority w:val="99"/>
    <w:rsid w:val="003B4D60"/>
    <w:pPr>
      <w:tabs>
        <w:tab w:val="center" w:pos="4513"/>
        <w:tab w:val="right" w:pos="9026"/>
      </w:tabs>
      <w:spacing w:before="0" w:after="0" w:line="240" w:lineRule="auto"/>
    </w:pPr>
    <w:rPr>
      <w:sz w:val="17"/>
    </w:rPr>
  </w:style>
  <w:style w:type="character" w:customStyle="1" w:styleId="FooterChar">
    <w:name w:val="Footer Char"/>
    <w:basedOn w:val="DefaultParagraphFont"/>
    <w:link w:val="Footer"/>
    <w:uiPriority w:val="99"/>
    <w:rsid w:val="003B4D60"/>
    <w:rPr>
      <w:rFonts w:ascii="Cambria" w:eastAsia="Cambria" w:hAnsi="Cambria" w:cs="Times New Roman"/>
      <w:sz w:val="17"/>
    </w:rPr>
  </w:style>
  <w:style w:type="paragraph" w:styleId="Header">
    <w:name w:val="header"/>
    <w:basedOn w:val="Normal"/>
    <w:link w:val="HeaderChar"/>
    <w:uiPriority w:val="99"/>
    <w:rsid w:val="003B4D60"/>
    <w:pPr>
      <w:pBdr>
        <w:bottom w:val="single" w:sz="4" w:space="3" w:color="auto"/>
      </w:pBdr>
      <w:tabs>
        <w:tab w:val="center" w:pos="4513"/>
        <w:tab w:val="right" w:pos="9026"/>
      </w:tabs>
      <w:spacing w:after="240" w:line="240" w:lineRule="auto"/>
      <w:jc w:val="right"/>
    </w:pPr>
    <w:rPr>
      <w:sz w:val="17"/>
    </w:rPr>
  </w:style>
  <w:style w:type="character" w:customStyle="1" w:styleId="HeaderChar">
    <w:name w:val="Header Char"/>
    <w:basedOn w:val="DefaultParagraphFont"/>
    <w:link w:val="Header"/>
    <w:uiPriority w:val="99"/>
    <w:rsid w:val="003B4D60"/>
    <w:rPr>
      <w:rFonts w:ascii="Cambria" w:eastAsia="Cambria" w:hAnsi="Cambria" w:cs="Times New Roman"/>
      <w:sz w:val="17"/>
    </w:rPr>
  </w:style>
  <w:style w:type="paragraph" w:customStyle="1" w:styleId="HeaderNoLine">
    <w:name w:val="Header No Line"/>
    <w:basedOn w:val="Header"/>
    <w:rsid w:val="00F3148D"/>
    <w:pPr>
      <w:pBdr>
        <w:bottom w:val="none" w:sz="0" w:space="0" w:color="auto"/>
      </w:pBdr>
      <w:jc w:val="left"/>
    </w:pPr>
  </w:style>
  <w:style w:type="character" w:customStyle="1" w:styleId="Heading5Char">
    <w:name w:val="Heading 5 Char"/>
    <w:basedOn w:val="DefaultParagraphFont"/>
    <w:link w:val="Heading5"/>
    <w:rsid w:val="00503002"/>
    <w:rPr>
      <w:rFonts w:ascii="Cambria" w:eastAsia="Cambria" w:hAnsi="Cambria" w:cs="Times New Roman"/>
      <w:b/>
      <w:bCs/>
      <w:i/>
      <w:color w:val="001523"/>
      <w:szCs w:val="21"/>
    </w:rPr>
  </w:style>
  <w:style w:type="character" w:customStyle="1" w:styleId="Heading6Char">
    <w:name w:val="Heading 6 Char"/>
    <w:basedOn w:val="DefaultParagraphFont"/>
    <w:link w:val="Heading6"/>
    <w:uiPriority w:val="9"/>
    <w:rsid w:val="00577130"/>
    <w:rPr>
      <w:rFonts w:ascii="Cambria" w:eastAsia="Times New Roman" w:hAnsi="Cambria" w:cs="Times New Roman"/>
      <w:bCs/>
      <w:i/>
      <w:szCs w:val="21"/>
    </w:rPr>
  </w:style>
  <w:style w:type="character" w:customStyle="1" w:styleId="Heading7Char">
    <w:name w:val="Heading 7 Char"/>
    <w:basedOn w:val="DefaultParagraphFont"/>
    <w:link w:val="Heading7"/>
    <w:uiPriority w:val="9"/>
    <w:rsid w:val="00AD0083"/>
    <w:rPr>
      <w:rFonts w:ascii="Cambria" w:eastAsia="Times New Roman" w:hAnsi="Cambria" w:cs="Times New Roman"/>
      <w:bCs/>
      <w:sz w:val="18"/>
      <w:szCs w:val="24"/>
    </w:rPr>
  </w:style>
  <w:style w:type="character" w:styleId="Hyperlink">
    <w:name w:val="Hyperlink"/>
    <w:basedOn w:val="DefaultParagraphFont"/>
    <w:uiPriority w:val="99"/>
    <w:unhideWhenUsed/>
    <w:rsid w:val="008960DD"/>
    <w:rPr>
      <w:color w:val="0000FF"/>
      <w:u w:val="single"/>
    </w:rPr>
  </w:style>
  <w:style w:type="paragraph" w:customStyle="1" w:styleId="Key">
    <w:name w:val="Key"/>
    <w:basedOn w:val="Normal"/>
    <w:rsid w:val="00F3148D"/>
    <w:rPr>
      <w:sz w:val="14"/>
    </w:rPr>
  </w:style>
  <w:style w:type="paragraph" w:customStyle="1" w:styleId="LegalCopy">
    <w:name w:val="Legal Copy"/>
    <w:basedOn w:val="Footer"/>
    <w:rsid w:val="00F3148D"/>
  </w:style>
  <w:style w:type="paragraph" w:customStyle="1" w:styleId="LegalSubheading">
    <w:name w:val="Legal Subheading"/>
    <w:basedOn w:val="Footer"/>
    <w:rsid w:val="00F3148D"/>
    <w:rPr>
      <w:b/>
    </w:rPr>
  </w:style>
  <w:style w:type="table" w:styleId="LightShading-Accent2">
    <w:name w:val="Light Shading Accent 2"/>
    <w:basedOn w:val="TableNormal"/>
    <w:uiPriority w:val="60"/>
    <w:rsid w:val="00F3148D"/>
    <w:pPr>
      <w:spacing w:after="0" w:line="240" w:lineRule="auto"/>
    </w:pPr>
    <w:rPr>
      <w:rFonts w:ascii="Cambria" w:eastAsia="Calibri" w:hAnsi="Cambria" w:cs="Times New Roman"/>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Bullet">
    <w:name w:val="List Bullet"/>
    <w:basedOn w:val="Normal"/>
    <w:uiPriority w:val="99"/>
    <w:qFormat/>
    <w:rsid w:val="004C2DCA"/>
    <w:pPr>
      <w:numPr>
        <w:numId w:val="3"/>
      </w:numPr>
    </w:pPr>
  </w:style>
  <w:style w:type="paragraph" w:styleId="ListBullet2">
    <w:name w:val="List Bullet 2"/>
    <w:basedOn w:val="Normal"/>
    <w:uiPriority w:val="99"/>
    <w:qFormat/>
    <w:rsid w:val="004C2DCA"/>
    <w:pPr>
      <w:numPr>
        <w:ilvl w:val="1"/>
        <w:numId w:val="3"/>
      </w:numPr>
    </w:pPr>
  </w:style>
  <w:style w:type="paragraph" w:styleId="ListBullet3">
    <w:name w:val="List Bullet 3"/>
    <w:basedOn w:val="Normal"/>
    <w:uiPriority w:val="99"/>
    <w:qFormat/>
    <w:rsid w:val="004C2DCA"/>
    <w:pPr>
      <w:numPr>
        <w:ilvl w:val="2"/>
        <w:numId w:val="3"/>
      </w:numPr>
    </w:pPr>
  </w:style>
  <w:style w:type="numbering" w:customStyle="1" w:styleId="ListBullets">
    <w:name w:val="ListBullets"/>
    <w:uiPriority w:val="99"/>
    <w:locked/>
    <w:rsid w:val="00F3148D"/>
    <w:pPr>
      <w:numPr>
        <w:numId w:val="1"/>
      </w:numPr>
    </w:pPr>
  </w:style>
  <w:style w:type="table" w:styleId="MediumGrid2-Accent5">
    <w:name w:val="Medium Grid 2 Accent 5"/>
    <w:basedOn w:val="TableNormal"/>
    <w:uiPriority w:val="68"/>
    <w:rsid w:val="00F3148D"/>
    <w:pPr>
      <w:spacing w:after="0" w:line="240" w:lineRule="auto"/>
    </w:pPr>
    <w:rPr>
      <w:rFonts w:ascii="Cambria" w:eastAsia="Times New Roman" w:hAnsi="Cambria" w:cs="Times New Roman"/>
      <w:color w:val="000000"/>
      <w:sz w:val="21"/>
      <w:szCs w:val="2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paragraph" w:customStyle="1" w:styleId="NonTOCHeading2">
    <w:name w:val="Non TOC Heading 2"/>
    <w:basedOn w:val="Normal"/>
    <w:rsid w:val="006763D2"/>
    <w:pPr>
      <w:spacing w:before="240"/>
    </w:pPr>
    <w:rPr>
      <w:rFonts w:ascii="Arial" w:hAnsi="Arial"/>
      <w:b/>
      <w:sz w:val="32"/>
    </w:rPr>
  </w:style>
  <w:style w:type="paragraph" w:customStyle="1" w:styleId="Notes">
    <w:name w:val="Notes"/>
    <w:basedOn w:val="Normal"/>
    <w:locked/>
    <w:rsid w:val="00F3148D"/>
    <w:pPr>
      <w:spacing w:after="0" w:line="240" w:lineRule="auto"/>
    </w:pPr>
    <w:rPr>
      <w:rFonts w:ascii="Arial" w:hAnsi="Arial"/>
      <w:sz w:val="16"/>
    </w:rPr>
  </w:style>
  <w:style w:type="paragraph" w:customStyle="1" w:styleId="Numberbullet0">
    <w:name w:val="Number bullet"/>
    <w:basedOn w:val="ListBullet"/>
    <w:qFormat/>
    <w:rsid w:val="004C2DCA"/>
    <w:pPr>
      <w:numPr>
        <w:numId w:val="4"/>
      </w:numPr>
    </w:pPr>
  </w:style>
  <w:style w:type="paragraph" w:customStyle="1" w:styleId="Numberbullet2">
    <w:name w:val="Number bullet 2"/>
    <w:basedOn w:val="ListBullet2"/>
    <w:qFormat/>
    <w:rsid w:val="004C2DCA"/>
    <w:pPr>
      <w:numPr>
        <w:numId w:val="4"/>
      </w:numPr>
    </w:pPr>
  </w:style>
  <w:style w:type="paragraph" w:customStyle="1" w:styleId="Numberbullet3">
    <w:name w:val="Number bullet 3"/>
    <w:basedOn w:val="ListBullet3"/>
    <w:qFormat/>
    <w:rsid w:val="004C2DCA"/>
    <w:pPr>
      <w:numPr>
        <w:numId w:val="4"/>
      </w:numPr>
    </w:pPr>
  </w:style>
  <w:style w:type="numbering" w:customStyle="1" w:styleId="NumberBullet">
    <w:name w:val="NumberBullet"/>
    <w:uiPriority w:val="99"/>
    <w:locked/>
    <w:rsid w:val="00F3148D"/>
    <w:pPr>
      <w:numPr>
        <w:numId w:val="2"/>
      </w:numPr>
    </w:pPr>
  </w:style>
  <w:style w:type="character" w:styleId="PlaceholderText">
    <w:name w:val="Placeholder Text"/>
    <w:basedOn w:val="DefaultParagraphFont"/>
    <w:uiPriority w:val="99"/>
    <w:semiHidden/>
    <w:rsid w:val="00F3148D"/>
    <w:rPr>
      <w:color w:val="808080"/>
    </w:rPr>
  </w:style>
  <w:style w:type="paragraph" w:customStyle="1" w:styleId="Reference">
    <w:name w:val="Reference"/>
    <w:basedOn w:val="Normal"/>
    <w:rsid w:val="00F3148D"/>
    <w:pPr>
      <w:spacing w:before="40" w:after="0" w:line="180" w:lineRule="atLeast"/>
      <w:ind w:hanging="170"/>
    </w:pPr>
    <w:rPr>
      <w:sz w:val="19"/>
    </w:rPr>
  </w:style>
  <w:style w:type="paragraph" w:styleId="Subtitle">
    <w:name w:val="Subtitle"/>
    <w:basedOn w:val="Normal"/>
    <w:next w:val="Normal"/>
    <w:link w:val="SubtitleChar"/>
    <w:uiPriority w:val="11"/>
    <w:rsid w:val="002D64ED"/>
    <w:pPr>
      <w:framePr w:hSpace="180" w:wrap="around" w:vAnchor="page" w:hAnchor="text" w:y="3316"/>
      <w:numPr>
        <w:ilvl w:val="1"/>
      </w:numPr>
      <w:spacing w:after="360"/>
      <w:ind w:left="170"/>
    </w:pPr>
    <w:rPr>
      <w:rFonts w:ascii="Arial" w:eastAsia="Times New Roman" w:hAnsi="Arial"/>
      <w:bCs/>
      <w:iCs/>
      <w:color w:val="FFFFFF" w:themeColor="background1"/>
      <w:sz w:val="40"/>
      <w:szCs w:val="24"/>
    </w:rPr>
  </w:style>
  <w:style w:type="character" w:customStyle="1" w:styleId="SubtitleChar">
    <w:name w:val="Subtitle Char"/>
    <w:basedOn w:val="DefaultParagraphFont"/>
    <w:link w:val="Subtitle"/>
    <w:uiPriority w:val="11"/>
    <w:rsid w:val="002D64ED"/>
    <w:rPr>
      <w:rFonts w:ascii="Arial" w:eastAsia="Times New Roman" w:hAnsi="Arial" w:cs="Times New Roman"/>
      <w:bCs/>
      <w:iCs/>
      <w:color w:val="FFFFFF" w:themeColor="background1"/>
      <w:sz w:val="40"/>
      <w:szCs w:val="24"/>
    </w:rPr>
  </w:style>
  <w:style w:type="paragraph" w:customStyle="1" w:styleId="TableDescription">
    <w:name w:val="Table Description"/>
    <w:basedOn w:val="FigureDescription"/>
    <w:rsid w:val="001B5C90"/>
    <w:pPr>
      <w:spacing w:before="0" w:line="240" w:lineRule="auto"/>
    </w:pPr>
    <w:rPr>
      <w:szCs w:val="19"/>
    </w:rPr>
  </w:style>
  <w:style w:type="table" w:styleId="TableGrid">
    <w:name w:val="Table Grid"/>
    <w:basedOn w:val="TableNormal"/>
    <w:uiPriority w:val="59"/>
    <w:rsid w:val="00F3148D"/>
    <w:pPr>
      <w:spacing w:after="0" w:line="240" w:lineRule="auto"/>
    </w:pPr>
    <w:rPr>
      <w:rFonts w:ascii="Cambria" w:hAnsi="Cambria" w:cs="Times New Roman"/>
      <w:sz w:val="21"/>
      <w:szCs w:val="21"/>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3148D"/>
    <w:rPr>
      <w:sz w:val="19"/>
    </w:rPr>
  </w:style>
  <w:style w:type="table" w:customStyle="1" w:styleId="TableTGAblue">
    <w:name w:val="Table TGA blue"/>
    <w:basedOn w:val="TableNormal"/>
    <w:uiPriority w:val="99"/>
    <w:qFormat/>
    <w:rsid w:val="00FD119B"/>
    <w:pPr>
      <w:spacing w:after="0" w:line="240" w:lineRule="auto"/>
      <w:ind w:left="170" w:right="170"/>
    </w:pPr>
    <w:rPr>
      <w:rFonts w:ascii="Cambria" w:hAnsi="Cambria" w:cs="Times New Roman"/>
      <w:color w:val="000000" w:themeColor="text1"/>
      <w:szCs w:val="21"/>
      <w:lang w:eastAsia="en-AU"/>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tcPr>
    <w:tblStylePr w:type="firstRow">
      <w:pPr>
        <w:keepNext/>
        <w:wordWrap/>
      </w:pPr>
      <w:rPr>
        <w:rFonts w:ascii="Cambria" w:hAnsi="Cambria"/>
        <w:b/>
        <w:color w:val="FFFFFF" w:themeColor="background1"/>
        <w:sz w:val="22"/>
      </w:rPr>
      <w:tblPr/>
      <w:trPr>
        <w:tblHeader/>
      </w:tr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shd w:val="clear" w:color="auto" w:fill="006DA7"/>
      </w:tcPr>
    </w:tblStylePr>
  </w:style>
  <w:style w:type="table" w:customStyle="1" w:styleId="TableTGAblack">
    <w:name w:val="Table TGA black"/>
    <w:basedOn w:val="TableNormal"/>
    <w:uiPriority w:val="99"/>
    <w:rsid w:val="00EE1DE8"/>
    <w:pPr>
      <w:spacing w:before="60" w:after="0" w:line="240" w:lineRule="auto"/>
      <w:ind w:left="170" w:right="170"/>
    </w:pPr>
    <w:rPr>
      <w:rFonts w:ascii="Cambria" w:hAnsi="Cambria" w:cs="Times New Roman"/>
      <w:color w:val="000000"/>
      <w:szCs w:val="21"/>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pPr>
        <w:wordWrap/>
        <w:spacing w:beforeLines="0" w:beforeAutospacing="0" w:afterLines="0" w:afterAutospacing="0"/>
      </w:pPr>
      <w:rPr>
        <w:rFonts w:ascii="Cambria" w:hAnsi="Cambria"/>
        <w:b/>
        <w:color w:val="FFFFFF" w:themeColor="background1"/>
        <w:sz w:val="22"/>
      </w:rPr>
      <w:tblPr/>
      <w:tcPr>
        <w:shd w:val="clear" w:color="auto" w:fill="000000" w:themeFill="text1"/>
      </w:tcPr>
    </w:tblStylePr>
    <w:tblStylePr w:type="lastRow">
      <w:rPr>
        <w:b w:val="0"/>
      </w:rPr>
    </w:tblStylePr>
    <w:tblStylePr w:type="neCell">
      <w:rPr>
        <w:b w:val="0"/>
        <w:i w:val="0"/>
      </w:rPr>
    </w:tblStylePr>
    <w:tblStylePr w:type="nwCell">
      <w:rPr>
        <w:rFonts w:ascii="Cambria" w:hAnsi="Cambria"/>
        <w:b/>
        <w:i w:val="0"/>
        <w:color w:val="FFFFFF"/>
        <w:sz w:val="22"/>
      </w:rPr>
    </w:tblStylePr>
  </w:style>
  <w:style w:type="paragraph" w:customStyle="1" w:styleId="TableTitle">
    <w:name w:val="Table Title"/>
    <w:basedOn w:val="Normal"/>
    <w:rsid w:val="002E40B3"/>
    <w:pPr>
      <w:keepNext/>
    </w:pPr>
    <w:rPr>
      <w:b/>
    </w:rPr>
  </w:style>
  <w:style w:type="paragraph" w:customStyle="1" w:styleId="TGASignoff">
    <w:name w:val="TGA Signoff"/>
    <w:basedOn w:val="Normal"/>
    <w:rsid w:val="00F3148D"/>
    <w:pPr>
      <w:jc w:val="center"/>
    </w:pPr>
    <w:rPr>
      <w:rFonts w:ascii="Arial" w:hAnsi="Arial"/>
      <w:b/>
      <w:sz w:val="28"/>
    </w:rPr>
  </w:style>
  <w:style w:type="paragraph" w:styleId="Title">
    <w:name w:val="Title"/>
    <w:next w:val="Normal"/>
    <w:link w:val="TitleChar"/>
    <w:uiPriority w:val="10"/>
    <w:rsid w:val="002D64ED"/>
    <w:pPr>
      <w:framePr w:hSpace="180" w:wrap="around" w:vAnchor="page" w:hAnchor="text" w:y="3316"/>
      <w:spacing w:after="480" w:line="240" w:lineRule="auto"/>
      <w:contextualSpacing/>
    </w:pPr>
    <w:rPr>
      <w:rFonts w:ascii="Arial" w:eastAsia="Times New Roman" w:hAnsi="Arial" w:cs="Times New Roman"/>
      <w:color w:val="FFFFFF" w:themeColor="background1"/>
      <w:spacing w:val="5"/>
      <w:kern w:val="28"/>
      <w:sz w:val="52"/>
      <w:szCs w:val="52"/>
    </w:rPr>
  </w:style>
  <w:style w:type="character" w:customStyle="1" w:styleId="TitleChar">
    <w:name w:val="Title Char"/>
    <w:basedOn w:val="DefaultParagraphFont"/>
    <w:link w:val="Title"/>
    <w:uiPriority w:val="10"/>
    <w:rsid w:val="002D64ED"/>
    <w:rPr>
      <w:rFonts w:ascii="Arial" w:eastAsia="Times New Roman" w:hAnsi="Arial" w:cs="Times New Roman"/>
      <w:color w:val="FFFFFF" w:themeColor="background1"/>
      <w:spacing w:val="5"/>
      <w:kern w:val="28"/>
      <w:sz w:val="52"/>
      <w:szCs w:val="52"/>
    </w:rPr>
  </w:style>
  <w:style w:type="paragraph" w:styleId="TOC1">
    <w:name w:val="toc 1"/>
    <w:basedOn w:val="Normal"/>
    <w:next w:val="Normal"/>
    <w:uiPriority w:val="39"/>
    <w:rsid w:val="00F3148D"/>
    <w:pPr>
      <w:tabs>
        <w:tab w:val="right" w:pos="8505"/>
      </w:tabs>
      <w:spacing w:after="200"/>
    </w:pPr>
    <w:rPr>
      <w:rFonts w:ascii="Arial" w:hAnsi="Arial"/>
      <w:b/>
      <w:sz w:val="32"/>
    </w:rPr>
  </w:style>
  <w:style w:type="paragraph" w:styleId="TOC2">
    <w:name w:val="toc 2"/>
    <w:basedOn w:val="Normal"/>
    <w:next w:val="Normal"/>
    <w:uiPriority w:val="39"/>
    <w:rsid w:val="00F3148D"/>
    <w:pPr>
      <w:tabs>
        <w:tab w:val="right" w:leader="underscore" w:pos="8505"/>
      </w:tabs>
      <w:spacing w:after="100"/>
      <w:ind w:left="624"/>
    </w:pPr>
    <w:rPr>
      <w:b/>
      <w:sz w:val="25"/>
    </w:rPr>
  </w:style>
  <w:style w:type="paragraph" w:styleId="TOC3">
    <w:name w:val="toc 3"/>
    <w:basedOn w:val="Normal"/>
    <w:next w:val="Normal"/>
    <w:uiPriority w:val="39"/>
    <w:rsid w:val="00F3148D"/>
    <w:pPr>
      <w:tabs>
        <w:tab w:val="right" w:leader="underscore" w:pos="8505"/>
      </w:tabs>
      <w:spacing w:after="100"/>
      <w:ind w:left="1021"/>
    </w:pPr>
  </w:style>
  <w:style w:type="paragraph" w:styleId="TOCHeading">
    <w:name w:val="TOC Heading"/>
    <w:basedOn w:val="Heading1"/>
    <w:next w:val="Normal"/>
    <w:uiPriority w:val="39"/>
    <w:semiHidden/>
    <w:unhideWhenUsed/>
    <w:qFormat/>
    <w:rsid w:val="00F3148D"/>
    <w:pPr>
      <w:framePr w:wrap="around" w:hAnchor="text"/>
      <w:spacing w:before="480" w:after="0" w:line="276" w:lineRule="auto"/>
      <w:outlineLvl w:val="9"/>
    </w:pPr>
    <w:rPr>
      <w:rFonts w:cstheme="minorBidi"/>
      <w:color w:val="002035"/>
      <w:sz w:val="28"/>
      <w:lang w:val="en-US"/>
    </w:rPr>
  </w:style>
  <w:style w:type="paragraph" w:styleId="FootnoteText">
    <w:name w:val="footnote text"/>
    <w:basedOn w:val="Normal"/>
    <w:link w:val="FootnoteTextChar"/>
    <w:uiPriority w:val="99"/>
    <w:unhideWhenUsed/>
    <w:rsid w:val="001B5C90"/>
    <w:pPr>
      <w:spacing w:before="0" w:after="0" w:line="240" w:lineRule="auto"/>
    </w:pPr>
    <w:rPr>
      <w:sz w:val="18"/>
      <w:szCs w:val="20"/>
    </w:rPr>
  </w:style>
  <w:style w:type="character" w:customStyle="1" w:styleId="FootnoteTextChar">
    <w:name w:val="Footnote Text Char"/>
    <w:basedOn w:val="DefaultParagraphFont"/>
    <w:link w:val="FootnoteText"/>
    <w:uiPriority w:val="99"/>
    <w:rsid w:val="001B5C90"/>
    <w:rPr>
      <w:rFonts w:ascii="Cambria" w:eastAsia="Cambria" w:hAnsi="Cambria" w:cs="Times New Roman"/>
      <w:sz w:val="18"/>
      <w:szCs w:val="20"/>
    </w:rPr>
  </w:style>
  <w:style w:type="character" w:styleId="FootnoteReference">
    <w:name w:val="footnote reference"/>
    <w:basedOn w:val="DefaultParagraphFont"/>
    <w:uiPriority w:val="99"/>
    <w:semiHidden/>
    <w:unhideWhenUsed/>
    <w:rsid w:val="001B5C90"/>
    <w:rPr>
      <w:vertAlign w:val="superscript"/>
    </w:rPr>
  </w:style>
  <w:style w:type="paragraph" w:customStyle="1" w:styleId="Quotation">
    <w:name w:val="Quotation"/>
    <w:basedOn w:val="Normal"/>
    <w:next w:val="Normal"/>
    <w:uiPriority w:val="4"/>
    <w:qFormat/>
    <w:rsid w:val="00E13FC7"/>
    <w:pPr>
      <w:spacing w:after="180"/>
      <w:ind w:left="425"/>
    </w:pPr>
    <w:rPr>
      <w:rFonts w:eastAsiaTheme="minorEastAsia" w:cstheme="minorBidi"/>
      <w:sz w:val="20"/>
      <w:lang w:eastAsia="zh-TW"/>
    </w:rPr>
  </w:style>
  <w:style w:type="paragraph" w:customStyle="1" w:styleId="Comment">
    <w:name w:val="Comment"/>
    <w:basedOn w:val="Normal"/>
    <w:next w:val="Normal"/>
    <w:uiPriority w:val="1"/>
    <w:qFormat/>
    <w:rsid w:val="008F02E5"/>
    <w:pPr>
      <w:ind w:left="992" w:hanging="992"/>
    </w:pPr>
  </w:style>
  <w:style w:type="paragraph" w:styleId="EndnoteText">
    <w:name w:val="endnote text"/>
    <w:basedOn w:val="Normal"/>
    <w:link w:val="EndnoteTextChar"/>
    <w:uiPriority w:val="99"/>
    <w:semiHidden/>
    <w:unhideWhenUsed/>
    <w:rsid w:val="000E6196"/>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E6196"/>
    <w:rPr>
      <w:rFonts w:ascii="Cambria" w:eastAsia="Cambria" w:hAnsi="Cambria" w:cs="Times New Roman"/>
      <w:sz w:val="20"/>
      <w:szCs w:val="20"/>
    </w:rPr>
  </w:style>
  <w:style w:type="character" w:styleId="EndnoteReference">
    <w:name w:val="endnote reference"/>
    <w:basedOn w:val="DefaultParagraphFont"/>
    <w:uiPriority w:val="99"/>
    <w:semiHidden/>
    <w:unhideWhenUsed/>
    <w:rsid w:val="000E6196"/>
    <w:rPr>
      <w:vertAlign w:val="superscript"/>
    </w:rPr>
  </w:style>
  <w:style w:type="paragraph" w:customStyle="1" w:styleId="Bullet1">
    <w:name w:val="Bullet 1"/>
    <w:basedOn w:val="Normal"/>
    <w:rsid w:val="00DF3731"/>
    <w:pPr>
      <w:numPr>
        <w:numId w:val="5"/>
      </w:numPr>
      <w:spacing w:after="0" w:line="240" w:lineRule="auto"/>
    </w:pPr>
    <w:rPr>
      <w:rFonts w:eastAsia="Batang"/>
      <w:kern w:val="24"/>
      <w:szCs w:val="24"/>
      <w:lang w:eastAsia="en-AU"/>
    </w:rPr>
  </w:style>
  <w:style w:type="paragraph" w:customStyle="1" w:styleId="Bullet2">
    <w:name w:val="Bullet 2"/>
    <w:basedOn w:val="Bullet1"/>
    <w:rsid w:val="00DF3731"/>
    <w:pPr>
      <w:numPr>
        <w:numId w:val="0"/>
      </w:numPr>
    </w:pPr>
  </w:style>
  <w:style w:type="paragraph" w:styleId="ListParagraph">
    <w:name w:val="List Paragraph"/>
    <w:basedOn w:val="Normal"/>
    <w:uiPriority w:val="34"/>
    <w:qFormat/>
    <w:rsid w:val="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spacing w:before="0" w:after="0" w:line="240" w:lineRule="auto"/>
      <w:ind w:left="720"/>
    </w:pPr>
    <w:rPr>
      <w:rFonts w:eastAsia="Batang"/>
      <w:kern w:val="16"/>
      <w:szCs w:val="24"/>
      <w:lang w:eastAsia="en-AU"/>
    </w:rPr>
  </w:style>
  <w:style w:type="paragraph" w:customStyle="1" w:styleId="Abbreviations">
    <w:name w:val="Abbreviations"/>
    <w:basedOn w:val="Normal"/>
    <w:rsid w:val="00DF373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spacing w:before="0" w:after="0" w:line="240" w:lineRule="auto"/>
    </w:pPr>
    <w:rPr>
      <w:rFonts w:eastAsia="Batang"/>
      <w:kern w:val="16"/>
      <w:szCs w:val="24"/>
      <w:lang w:eastAsia="en-AU"/>
    </w:rPr>
  </w:style>
  <w:style w:type="paragraph" w:customStyle="1" w:styleId="Default">
    <w:name w:val="Default"/>
    <w:rsid w:val="00BF49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1">
    <w:name w:val="st1"/>
    <w:basedOn w:val="DefaultParagraphFont"/>
    <w:rsid w:val="00BF490C"/>
  </w:style>
  <w:style w:type="table" w:customStyle="1" w:styleId="TableTGAblue1">
    <w:name w:val="Table TGA blue1"/>
    <w:basedOn w:val="TableNormal"/>
    <w:uiPriority w:val="99"/>
    <w:qFormat/>
    <w:rsid w:val="00BF490C"/>
    <w:pPr>
      <w:spacing w:after="0" w:line="240" w:lineRule="auto"/>
    </w:pPr>
    <w:rPr>
      <w:rFonts w:ascii="Cambria" w:hAnsi="Cambria" w:cs="Times New Roman"/>
      <w:color w:val="000000"/>
      <w:szCs w:val="21"/>
    </w:rPr>
    <w:tblPr>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wordWrap/>
      </w:pPr>
      <w:rPr>
        <w:rFonts w:ascii="Cambria" w:hAnsi="Cambria" w:hint="default"/>
        <w:b/>
        <w:color w:val="FFFFFF"/>
        <w:sz w:val="22"/>
        <w:szCs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shd w:val="clear" w:color="auto" w:fill="006DA7"/>
      </w:tcPr>
    </w:tblStylePr>
  </w:style>
  <w:style w:type="character" w:styleId="Emphasis">
    <w:name w:val="Emphasis"/>
    <w:basedOn w:val="DefaultParagraphFont"/>
    <w:uiPriority w:val="20"/>
    <w:qFormat/>
    <w:rsid w:val="008F7658"/>
    <w:rPr>
      <w:b/>
      <w:bCs/>
      <w:i w:val="0"/>
      <w:iCs w:val="0"/>
    </w:rPr>
  </w:style>
  <w:style w:type="character" w:customStyle="1" w:styleId="st">
    <w:name w:val="st"/>
    <w:basedOn w:val="DefaultParagraphFont"/>
    <w:rsid w:val="008408A6"/>
  </w:style>
  <w:style w:type="character" w:customStyle="1" w:styleId="tgc">
    <w:name w:val="_tgc"/>
    <w:basedOn w:val="DefaultParagraphFont"/>
    <w:rsid w:val="007A1D60"/>
  </w:style>
  <w:style w:type="character" w:styleId="CommentReference">
    <w:name w:val="annotation reference"/>
    <w:basedOn w:val="DefaultParagraphFont"/>
    <w:uiPriority w:val="99"/>
    <w:semiHidden/>
    <w:unhideWhenUsed/>
    <w:rsid w:val="000A76C1"/>
    <w:rPr>
      <w:sz w:val="16"/>
      <w:szCs w:val="16"/>
    </w:rPr>
  </w:style>
  <w:style w:type="paragraph" w:styleId="CommentText">
    <w:name w:val="annotation text"/>
    <w:basedOn w:val="Normal"/>
    <w:link w:val="CommentTextChar"/>
    <w:uiPriority w:val="99"/>
    <w:semiHidden/>
    <w:unhideWhenUsed/>
    <w:rsid w:val="000A76C1"/>
    <w:pPr>
      <w:spacing w:line="240" w:lineRule="auto"/>
    </w:pPr>
    <w:rPr>
      <w:sz w:val="20"/>
      <w:szCs w:val="20"/>
    </w:rPr>
  </w:style>
  <w:style w:type="character" w:customStyle="1" w:styleId="CommentTextChar">
    <w:name w:val="Comment Text Char"/>
    <w:basedOn w:val="DefaultParagraphFont"/>
    <w:link w:val="CommentText"/>
    <w:uiPriority w:val="99"/>
    <w:semiHidden/>
    <w:rsid w:val="000A76C1"/>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0A76C1"/>
    <w:rPr>
      <w:b/>
      <w:bCs/>
    </w:rPr>
  </w:style>
  <w:style w:type="character" w:customStyle="1" w:styleId="CommentSubjectChar">
    <w:name w:val="Comment Subject Char"/>
    <w:basedOn w:val="CommentTextChar"/>
    <w:link w:val="CommentSubject"/>
    <w:uiPriority w:val="99"/>
    <w:semiHidden/>
    <w:rsid w:val="000A76C1"/>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lsdException w:name="List Bullet" w:semiHidden="0" w:unhideWhenUsed="0" w:qFormat="1"/>
    <w:lsdException w:name="List Bullet 2" w:semiHidden="0" w:unhideWhenUsed="0" w:qFormat="1"/>
    <w:lsdException w:name="List Bullet 3" w:qFormat="1"/>
    <w:lsdException w:name="Title" w:semiHidden="0" w:uiPriority="10" w:unhideWhenUsed="0"/>
    <w:lsdException w:name="Default Paragraph Font" w:uiPriority="1"/>
    <w:lsdException w:name="Subtitle" w:semiHidden="0" w:uiPriority="11" w:unhideWhenUsed="0"/>
    <w:lsdException w:name="Date" w:semiHidden="0"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
    <w:qFormat/>
    <w:rsid w:val="00DE150A"/>
    <w:pPr>
      <w:spacing w:before="120" w:after="120" w:line="240" w:lineRule="atLeast"/>
    </w:pPr>
    <w:rPr>
      <w:rFonts w:ascii="Cambria" w:eastAsia="Cambria" w:hAnsi="Cambria" w:cs="Times New Roman"/>
    </w:rPr>
  </w:style>
  <w:style w:type="paragraph" w:styleId="Heading1">
    <w:name w:val="heading 1"/>
    <w:basedOn w:val="Heading2"/>
    <w:next w:val="Normal"/>
    <w:link w:val="Heading1Char"/>
    <w:rsid w:val="000C690F"/>
    <w:pPr>
      <w:spacing w:before="120" w:after="360"/>
      <w:outlineLvl w:val="0"/>
    </w:pPr>
    <w:rPr>
      <w:rFonts w:asciiTheme="majorHAnsi" w:hAnsiTheme="majorHAnsi" w:cstheme="majorHAnsi"/>
      <w:sz w:val="64"/>
      <w:szCs w:val="64"/>
    </w:rPr>
  </w:style>
  <w:style w:type="paragraph" w:styleId="Heading2">
    <w:name w:val="heading 2"/>
    <w:basedOn w:val="Normal"/>
    <w:next w:val="Normal"/>
    <w:link w:val="Heading2Char"/>
    <w:qFormat/>
    <w:rsid w:val="004722CC"/>
    <w:pPr>
      <w:keepNext/>
      <w:keepLines/>
      <w:spacing w:before="480"/>
      <w:outlineLvl w:val="1"/>
    </w:pPr>
    <w:rPr>
      <w:rFonts w:ascii="Arial" w:eastAsia="Times New Roman" w:hAnsi="Arial"/>
      <w:b/>
      <w:bCs/>
      <w:sz w:val="32"/>
      <w:szCs w:val="26"/>
    </w:rPr>
  </w:style>
  <w:style w:type="paragraph" w:styleId="Heading3">
    <w:name w:val="heading 3"/>
    <w:basedOn w:val="Normal"/>
    <w:next w:val="Normal"/>
    <w:link w:val="Heading3Char"/>
    <w:qFormat/>
    <w:rsid w:val="004722CC"/>
    <w:pPr>
      <w:keepNext/>
      <w:keepLines/>
      <w:spacing w:before="480" w:after="0" w:line="220" w:lineRule="atLeast"/>
      <w:outlineLvl w:val="2"/>
    </w:pPr>
    <w:rPr>
      <w:rFonts w:ascii="Arial" w:eastAsia="Times New Roman" w:hAnsi="Arial"/>
      <w:b/>
      <w:bCs/>
      <w:szCs w:val="21"/>
    </w:rPr>
  </w:style>
  <w:style w:type="paragraph" w:styleId="Heading4">
    <w:name w:val="heading 4"/>
    <w:basedOn w:val="Normal"/>
    <w:next w:val="Normal"/>
    <w:link w:val="Heading4Char"/>
    <w:qFormat/>
    <w:rsid w:val="00AD0083"/>
    <w:pPr>
      <w:keepNext/>
      <w:spacing w:before="360" w:after="0" w:line="220" w:lineRule="atLeast"/>
      <w:outlineLvl w:val="3"/>
    </w:pPr>
    <w:rPr>
      <w:b/>
      <w:bCs/>
      <w:szCs w:val="21"/>
    </w:rPr>
  </w:style>
  <w:style w:type="paragraph" w:styleId="Heading5">
    <w:name w:val="heading 5"/>
    <w:basedOn w:val="Normal"/>
    <w:next w:val="Normal"/>
    <w:link w:val="Heading5Char"/>
    <w:qFormat/>
    <w:rsid w:val="00503002"/>
    <w:pPr>
      <w:keepNext/>
      <w:keepLines/>
      <w:spacing w:line="220" w:lineRule="atLeast"/>
      <w:outlineLvl w:val="4"/>
    </w:pPr>
    <w:rPr>
      <w:b/>
      <w:bCs/>
      <w:i/>
      <w:color w:val="001523"/>
      <w:szCs w:val="21"/>
    </w:rPr>
  </w:style>
  <w:style w:type="paragraph" w:styleId="Heading6">
    <w:name w:val="heading 6"/>
    <w:basedOn w:val="Normal"/>
    <w:next w:val="Normal"/>
    <w:link w:val="Heading6Char"/>
    <w:uiPriority w:val="9"/>
    <w:rsid w:val="00577130"/>
    <w:pPr>
      <w:keepNext/>
      <w:spacing w:line="220" w:lineRule="atLeast"/>
      <w:outlineLvl w:val="5"/>
    </w:pPr>
    <w:rPr>
      <w:rFonts w:eastAsia="Times New Roman"/>
      <w:bCs/>
      <w:i/>
      <w:szCs w:val="21"/>
    </w:rPr>
  </w:style>
  <w:style w:type="paragraph" w:styleId="Heading7">
    <w:name w:val="heading 7"/>
    <w:basedOn w:val="Normal"/>
    <w:next w:val="Normal"/>
    <w:link w:val="Heading7Char"/>
    <w:uiPriority w:val="9"/>
    <w:rsid w:val="00AD0083"/>
    <w:pPr>
      <w:keepNext/>
      <w:spacing w:after="60" w:line="180" w:lineRule="atLeast"/>
      <w:outlineLvl w:val="6"/>
    </w:pPr>
    <w:rPr>
      <w:rFonts w:eastAsia="Times New Roman"/>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0F"/>
    <w:rPr>
      <w:rFonts w:asciiTheme="majorHAnsi" w:eastAsia="Times New Roman" w:hAnsiTheme="majorHAnsi" w:cstheme="majorHAnsi"/>
      <w:b/>
      <w:bCs/>
      <w:sz w:val="64"/>
      <w:szCs w:val="64"/>
    </w:rPr>
  </w:style>
  <w:style w:type="character" w:customStyle="1" w:styleId="Heading2Char">
    <w:name w:val="Heading 2 Char"/>
    <w:basedOn w:val="DefaultParagraphFont"/>
    <w:link w:val="Heading2"/>
    <w:rsid w:val="00AD3935"/>
    <w:rPr>
      <w:rFonts w:ascii="Arial" w:eastAsia="Times New Roman" w:hAnsi="Arial" w:cs="Times New Roman"/>
      <w:b/>
      <w:bCs/>
      <w:sz w:val="32"/>
      <w:szCs w:val="26"/>
    </w:rPr>
  </w:style>
  <w:style w:type="character" w:customStyle="1" w:styleId="Heading3Char">
    <w:name w:val="Heading 3 Char"/>
    <w:basedOn w:val="DefaultParagraphFont"/>
    <w:link w:val="Heading3"/>
    <w:rsid w:val="00AD3935"/>
    <w:rPr>
      <w:rFonts w:ascii="Arial" w:eastAsia="Times New Roman" w:hAnsi="Arial" w:cs="Times New Roman"/>
      <w:b/>
      <w:bCs/>
      <w:szCs w:val="21"/>
    </w:rPr>
  </w:style>
  <w:style w:type="paragraph" w:customStyle="1" w:styleId="Address">
    <w:name w:val="Address"/>
    <w:basedOn w:val="Normal"/>
    <w:rsid w:val="00E45619"/>
    <w:pPr>
      <w:spacing w:before="0" w:after="0" w:line="280" w:lineRule="atLeast"/>
      <w:jc w:val="center"/>
    </w:pPr>
  </w:style>
  <w:style w:type="paragraph" w:customStyle="1" w:styleId="AxisLabel">
    <w:name w:val="Axis Label"/>
    <w:basedOn w:val="Normal"/>
    <w:rsid w:val="00F3148D"/>
    <w:pPr>
      <w:spacing w:after="0" w:line="240" w:lineRule="auto"/>
    </w:pPr>
    <w:rPr>
      <w:rFonts w:ascii="Arial" w:hAnsi="Arial"/>
      <w:noProof/>
      <w:sz w:val="14"/>
      <w:lang w:eastAsia="en-AU"/>
    </w:rPr>
  </w:style>
  <w:style w:type="paragraph" w:customStyle="1" w:styleId="AxisTitle">
    <w:name w:val="Axis Title"/>
    <w:basedOn w:val="Normal"/>
    <w:rsid w:val="00F3148D"/>
    <w:pPr>
      <w:spacing w:after="0" w:line="240" w:lineRule="auto"/>
    </w:pPr>
    <w:rPr>
      <w:rFonts w:ascii="Arial" w:hAnsi="Arial"/>
      <w:sz w:val="16"/>
    </w:rPr>
  </w:style>
  <w:style w:type="paragraph" w:styleId="BalloonText">
    <w:name w:val="Balloon Text"/>
    <w:basedOn w:val="Normal"/>
    <w:link w:val="BalloonTextChar"/>
    <w:uiPriority w:val="99"/>
    <w:semiHidden/>
    <w:unhideWhenUsed/>
    <w:rsid w:val="00F314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D"/>
    <w:rPr>
      <w:rFonts w:ascii="Tahoma" w:hAnsi="Tahoma" w:cs="Tahoma"/>
      <w:sz w:val="16"/>
      <w:szCs w:val="16"/>
    </w:rPr>
  </w:style>
  <w:style w:type="paragraph" w:styleId="Caption">
    <w:name w:val="caption"/>
    <w:basedOn w:val="Normal"/>
    <w:next w:val="Normal"/>
    <w:uiPriority w:val="35"/>
    <w:rsid w:val="003D1E62"/>
    <w:pPr>
      <w:spacing w:before="0"/>
    </w:pPr>
    <w:rPr>
      <w:sz w:val="19"/>
      <w:szCs w:val="18"/>
    </w:rPr>
  </w:style>
  <w:style w:type="paragraph" w:customStyle="1" w:styleId="Contents">
    <w:name w:val="Contents"/>
    <w:basedOn w:val="Normal"/>
    <w:rsid w:val="003B4D60"/>
    <w:pPr>
      <w:spacing w:before="0" w:after="0"/>
    </w:pPr>
    <w:rPr>
      <w:rFonts w:ascii="Arial" w:hAnsi="Arial"/>
      <w:b/>
      <w:sz w:val="48"/>
    </w:rPr>
  </w:style>
  <w:style w:type="paragraph" w:styleId="Date">
    <w:name w:val="Date"/>
    <w:basedOn w:val="Normal"/>
    <w:next w:val="Normal"/>
    <w:link w:val="DateChar"/>
    <w:uiPriority w:val="99"/>
    <w:rsid w:val="00F3148D"/>
    <w:pPr>
      <w:spacing w:after="0"/>
    </w:pPr>
    <w:rPr>
      <w:rFonts w:ascii="Arial" w:hAnsi="Arial"/>
      <w:sz w:val="28"/>
    </w:rPr>
  </w:style>
  <w:style w:type="character" w:customStyle="1" w:styleId="DateChar">
    <w:name w:val="Date Char"/>
    <w:basedOn w:val="DefaultParagraphFont"/>
    <w:link w:val="Date"/>
    <w:uiPriority w:val="99"/>
    <w:rsid w:val="00F3148D"/>
    <w:rPr>
      <w:rFonts w:ascii="Arial" w:hAnsi="Arial"/>
      <w:sz w:val="28"/>
    </w:rPr>
  </w:style>
  <w:style w:type="paragraph" w:customStyle="1" w:styleId="FigureDescription">
    <w:name w:val="Figure Description"/>
    <w:basedOn w:val="Normal"/>
    <w:rsid w:val="003D1E62"/>
    <w:pPr>
      <w:spacing w:after="0"/>
    </w:pPr>
    <w:rPr>
      <w:sz w:val="19"/>
    </w:rPr>
  </w:style>
  <w:style w:type="paragraph" w:customStyle="1" w:styleId="FigureTitle">
    <w:name w:val="Figure Title"/>
    <w:basedOn w:val="Normal"/>
    <w:rsid w:val="00DE150A"/>
    <w:pPr>
      <w:keepNext/>
      <w:keepLines/>
      <w:spacing w:line="220" w:lineRule="atLeast"/>
    </w:pPr>
    <w:rPr>
      <w:b/>
    </w:rPr>
  </w:style>
  <w:style w:type="character" w:customStyle="1" w:styleId="Heading4Char">
    <w:name w:val="Heading 4 Char"/>
    <w:basedOn w:val="DefaultParagraphFont"/>
    <w:link w:val="Heading4"/>
    <w:rsid w:val="00AD3935"/>
    <w:rPr>
      <w:rFonts w:ascii="Cambria" w:eastAsia="Cambria" w:hAnsi="Cambria" w:cs="Times New Roman"/>
      <w:b/>
      <w:bCs/>
      <w:szCs w:val="21"/>
    </w:rPr>
  </w:style>
  <w:style w:type="character" w:styleId="FollowedHyperlink">
    <w:name w:val="FollowedHyperlink"/>
    <w:basedOn w:val="DefaultParagraphFont"/>
    <w:uiPriority w:val="99"/>
    <w:semiHidden/>
    <w:unhideWhenUsed/>
    <w:rsid w:val="00F3148D"/>
    <w:rPr>
      <w:color w:val="800080"/>
      <w:u w:val="single"/>
    </w:rPr>
  </w:style>
  <w:style w:type="paragraph" w:styleId="Footer">
    <w:name w:val="footer"/>
    <w:basedOn w:val="Normal"/>
    <w:link w:val="FooterChar"/>
    <w:uiPriority w:val="99"/>
    <w:rsid w:val="003B4D60"/>
    <w:pPr>
      <w:tabs>
        <w:tab w:val="center" w:pos="4513"/>
        <w:tab w:val="right" w:pos="9026"/>
      </w:tabs>
      <w:spacing w:before="0" w:after="0" w:line="240" w:lineRule="auto"/>
    </w:pPr>
    <w:rPr>
      <w:sz w:val="17"/>
    </w:rPr>
  </w:style>
  <w:style w:type="character" w:customStyle="1" w:styleId="FooterChar">
    <w:name w:val="Footer Char"/>
    <w:basedOn w:val="DefaultParagraphFont"/>
    <w:link w:val="Footer"/>
    <w:uiPriority w:val="99"/>
    <w:rsid w:val="003B4D60"/>
    <w:rPr>
      <w:rFonts w:ascii="Cambria" w:eastAsia="Cambria" w:hAnsi="Cambria" w:cs="Times New Roman"/>
      <w:sz w:val="17"/>
    </w:rPr>
  </w:style>
  <w:style w:type="paragraph" w:styleId="Header">
    <w:name w:val="header"/>
    <w:basedOn w:val="Normal"/>
    <w:link w:val="HeaderChar"/>
    <w:uiPriority w:val="99"/>
    <w:rsid w:val="003B4D60"/>
    <w:pPr>
      <w:pBdr>
        <w:bottom w:val="single" w:sz="4" w:space="3" w:color="auto"/>
      </w:pBdr>
      <w:tabs>
        <w:tab w:val="center" w:pos="4513"/>
        <w:tab w:val="right" w:pos="9026"/>
      </w:tabs>
      <w:spacing w:after="240" w:line="240" w:lineRule="auto"/>
      <w:jc w:val="right"/>
    </w:pPr>
    <w:rPr>
      <w:sz w:val="17"/>
    </w:rPr>
  </w:style>
  <w:style w:type="character" w:customStyle="1" w:styleId="HeaderChar">
    <w:name w:val="Header Char"/>
    <w:basedOn w:val="DefaultParagraphFont"/>
    <w:link w:val="Header"/>
    <w:uiPriority w:val="99"/>
    <w:rsid w:val="003B4D60"/>
    <w:rPr>
      <w:rFonts w:ascii="Cambria" w:eastAsia="Cambria" w:hAnsi="Cambria" w:cs="Times New Roman"/>
      <w:sz w:val="17"/>
    </w:rPr>
  </w:style>
  <w:style w:type="paragraph" w:customStyle="1" w:styleId="HeaderNoLine">
    <w:name w:val="Header No Line"/>
    <w:basedOn w:val="Header"/>
    <w:rsid w:val="00F3148D"/>
    <w:pPr>
      <w:pBdr>
        <w:bottom w:val="none" w:sz="0" w:space="0" w:color="auto"/>
      </w:pBdr>
      <w:jc w:val="left"/>
    </w:pPr>
  </w:style>
  <w:style w:type="character" w:customStyle="1" w:styleId="Heading5Char">
    <w:name w:val="Heading 5 Char"/>
    <w:basedOn w:val="DefaultParagraphFont"/>
    <w:link w:val="Heading5"/>
    <w:rsid w:val="00503002"/>
    <w:rPr>
      <w:rFonts w:ascii="Cambria" w:eastAsia="Cambria" w:hAnsi="Cambria" w:cs="Times New Roman"/>
      <w:b/>
      <w:bCs/>
      <w:i/>
      <w:color w:val="001523"/>
      <w:szCs w:val="21"/>
    </w:rPr>
  </w:style>
  <w:style w:type="character" w:customStyle="1" w:styleId="Heading6Char">
    <w:name w:val="Heading 6 Char"/>
    <w:basedOn w:val="DefaultParagraphFont"/>
    <w:link w:val="Heading6"/>
    <w:uiPriority w:val="9"/>
    <w:rsid w:val="00577130"/>
    <w:rPr>
      <w:rFonts w:ascii="Cambria" w:eastAsia="Times New Roman" w:hAnsi="Cambria" w:cs="Times New Roman"/>
      <w:bCs/>
      <w:i/>
      <w:szCs w:val="21"/>
    </w:rPr>
  </w:style>
  <w:style w:type="character" w:customStyle="1" w:styleId="Heading7Char">
    <w:name w:val="Heading 7 Char"/>
    <w:basedOn w:val="DefaultParagraphFont"/>
    <w:link w:val="Heading7"/>
    <w:uiPriority w:val="9"/>
    <w:rsid w:val="00AD0083"/>
    <w:rPr>
      <w:rFonts w:ascii="Cambria" w:eastAsia="Times New Roman" w:hAnsi="Cambria" w:cs="Times New Roman"/>
      <w:bCs/>
      <w:sz w:val="18"/>
      <w:szCs w:val="24"/>
    </w:rPr>
  </w:style>
  <w:style w:type="character" w:styleId="Hyperlink">
    <w:name w:val="Hyperlink"/>
    <w:basedOn w:val="DefaultParagraphFont"/>
    <w:uiPriority w:val="99"/>
    <w:unhideWhenUsed/>
    <w:rsid w:val="008960DD"/>
    <w:rPr>
      <w:color w:val="0000FF"/>
      <w:u w:val="single"/>
    </w:rPr>
  </w:style>
  <w:style w:type="paragraph" w:customStyle="1" w:styleId="Key">
    <w:name w:val="Key"/>
    <w:basedOn w:val="Normal"/>
    <w:rsid w:val="00F3148D"/>
    <w:rPr>
      <w:sz w:val="14"/>
    </w:rPr>
  </w:style>
  <w:style w:type="paragraph" w:customStyle="1" w:styleId="LegalCopy">
    <w:name w:val="Legal Copy"/>
    <w:basedOn w:val="Footer"/>
    <w:rsid w:val="00F3148D"/>
  </w:style>
  <w:style w:type="paragraph" w:customStyle="1" w:styleId="LegalSubheading">
    <w:name w:val="Legal Subheading"/>
    <w:basedOn w:val="Footer"/>
    <w:rsid w:val="00F3148D"/>
    <w:rPr>
      <w:b/>
    </w:rPr>
  </w:style>
  <w:style w:type="table" w:styleId="LightShading-Accent2">
    <w:name w:val="Light Shading Accent 2"/>
    <w:basedOn w:val="TableNormal"/>
    <w:uiPriority w:val="60"/>
    <w:rsid w:val="00F3148D"/>
    <w:pPr>
      <w:spacing w:after="0" w:line="240" w:lineRule="auto"/>
    </w:pPr>
    <w:rPr>
      <w:rFonts w:ascii="Cambria" w:eastAsia="Calibri" w:hAnsi="Cambria" w:cs="Times New Roman"/>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ListBullet">
    <w:name w:val="List Bullet"/>
    <w:basedOn w:val="Normal"/>
    <w:uiPriority w:val="99"/>
    <w:qFormat/>
    <w:rsid w:val="004C2DCA"/>
    <w:pPr>
      <w:numPr>
        <w:numId w:val="3"/>
      </w:numPr>
    </w:pPr>
  </w:style>
  <w:style w:type="paragraph" w:styleId="ListBullet2">
    <w:name w:val="List Bullet 2"/>
    <w:basedOn w:val="Normal"/>
    <w:uiPriority w:val="99"/>
    <w:qFormat/>
    <w:rsid w:val="004C2DCA"/>
    <w:pPr>
      <w:numPr>
        <w:ilvl w:val="1"/>
        <w:numId w:val="3"/>
      </w:numPr>
    </w:pPr>
  </w:style>
  <w:style w:type="paragraph" w:styleId="ListBullet3">
    <w:name w:val="List Bullet 3"/>
    <w:basedOn w:val="Normal"/>
    <w:uiPriority w:val="99"/>
    <w:qFormat/>
    <w:rsid w:val="004C2DCA"/>
    <w:pPr>
      <w:numPr>
        <w:ilvl w:val="2"/>
        <w:numId w:val="3"/>
      </w:numPr>
    </w:pPr>
  </w:style>
  <w:style w:type="numbering" w:customStyle="1" w:styleId="ListBullets">
    <w:name w:val="ListBullets"/>
    <w:uiPriority w:val="99"/>
    <w:locked/>
    <w:rsid w:val="00F3148D"/>
    <w:pPr>
      <w:numPr>
        <w:numId w:val="1"/>
      </w:numPr>
    </w:pPr>
  </w:style>
  <w:style w:type="table" w:styleId="MediumGrid2-Accent5">
    <w:name w:val="Medium Grid 2 Accent 5"/>
    <w:basedOn w:val="TableNormal"/>
    <w:uiPriority w:val="68"/>
    <w:rsid w:val="00F3148D"/>
    <w:pPr>
      <w:spacing w:after="0" w:line="240" w:lineRule="auto"/>
    </w:pPr>
    <w:rPr>
      <w:rFonts w:ascii="Cambria" w:eastAsia="Times New Roman" w:hAnsi="Cambria" w:cs="Times New Roman"/>
      <w:color w:val="000000"/>
      <w:sz w:val="21"/>
      <w:szCs w:val="2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paragraph" w:customStyle="1" w:styleId="NonTOCHeading2">
    <w:name w:val="Non TOC Heading 2"/>
    <w:basedOn w:val="Normal"/>
    <w:rsid w:val="006763D2"/>
    <w:pPr>
      <w:spacing w:before="240"/>
    </w:pPr>
    <w:rPr>
      <w:rFonts w:ascii="Arial" w:hAnsi="Arial"/>
      <w:b/>
      <w:sz w:val="32"/>
    </w:rPr>
  </w:style>
  <w:style w:type="paragraph" w:customStyle="1" w:styleId="Notes">
    <w:name w:val="Notes"/>
    <w:basedOn w:val="Normal"/>
    <w:locked/>
    <w:rsid w:val="00F3148D"/>
    <w:pPr>
      <w:spacing w:after="0" w:line="240" w:lineRule="auto"/>
    </w:pPr>
    <w:rPr>
      <w:rFonts w:ascii="Arial" w:hAnsi="Arial"/>
      <w:sz w:val="16"/>
    </w:rPr>
  </w:style>
  <w:style w:type="paragraph" w:customStyle="1" w:styleId="Numberbullet0">
    <w:name w:val="Number bullet"/>
    <w:basedOn w:val="ListBullet"/>
    <w:qFormat/>
    <w:rsid w:val="004C2DCA"/>
    <w:pPr>
      <w:numPr>
        <w:numId w:val="4"/>
      </w:numPr>
    </w:pPr>
  </w:style>
  <w:style w:type="paragraph" w:customStyle="1" w:styleId="Numberbullet2">
    <w:name w:val="Number bullet 2"/>
    <w:basedOn w:val="ListBullet2"/>
    <w:qFormat/>
    <w:rsid w:val="004C2DCA"/>
    <w:pPr>
      <w:numPr>
        <w:numId w:val="4"/>
      </w:numPr>
    </w:pPr>
  </w:style>
  <w:style w:type="paragraph" w:customStyle="1" w:styleId="Numberbullet3">
    <w:name w:val="Number bullet 3"/>
    <w:basedOn w:val="ListBullet3"/>
    <w:qFormat/>
    <w:rsid w:val="004C2DCA"/>
    <w:pPr>
      <w:numPr>
        <w:numId w:val="4"/>
      </w:numPr>
    </w:pPr>
  </w:style>
  <w:style w:type="numbering" w:customStyle="1" w:styleId="NumberBullet">
    <w:name w:val="NumberBullet"/>
    <w:uiPriority w:val="99"/>
    <w:locked/>
    <w:rsid w:val="00F3148D"/>
    <w:pPr>
      <w:numPr>
        <w:numId w:val="2"/>
      </w:numPr>
    </w:pPr>
  </w:style>
  <w:style w:type="character" w:styleId="PlaceholderText">
    <w:name w:val="Placeholder Text"/>
    <w:basedOn w:val="DefaultParagraphFont"/>
    <w:uiPriority w:val="99"/>
    <w:semiHidden/>
    <w:rsid w:val="00F3148D"/>
    <w:rPr>
      <w:color w:val="808080"/>
    </w:rPr>
  </w:style>
  <w:style w:type="paragraph" w:customStyle="1" w:styleId="Reference">
    <w:name w:val="Reference"/>
    <w:basedOn w:val="Normal"/>
    <w:rsid w:val="00F3148D"/>
    <w:pPr>
      <w:spacing w:before="40" w:after="0" w:line="180" w:lineRule="atLeast"/>
      <w:ind w:hanging="170"/>
    </w:pPr>
    <w:rPr>
      <w:sz w:val="19"/>
    </w:rPr>
  </w:style>
  <w:style w:type="paragraph" w:styleId="Subtitle">
    <w:name w:val="Subtitle"/>
    <w:basedOn w:val="Normal"/>
    <w:next w:val="Normal"/>
    <w:link w:val="SubtitleChar"/>
    <w:uiPriority w:val="11"/>
    <w:rsid w:val="002D64ED"/>
    <w:pPr>
      <w:framePr w:hSpace="180" w:wrap="around" w:vAnchor="page" w:hAnchor="text" w:y="3316"/>
      <w:numPr>
        <w:ilvl w:val="1"/>
      </w:numPr>
      <w:spacing w:after="360"/>
      <w:ind w:left="170"/>
    </w:pPr>
    <w:rPr>
      <w:rFonts w:ascii="Arial" w:eastAsia="Times New Roman" w:hAnsi="Arial"/>
      <w:bCs/>
      <w:iCs/>
      <w:color w:val="FFFFFF" w:themeColor="background1"/>
      <w:sz w:val="40"/>
      <w:szCs w:val="24"/>
    </w:rPr>
  </w:style>
  <w:style w:type="character" w:customStyle="1" w:styleId="SubtitleChar">
    <w:name w:val="Subtitle Char"/>
    <w:basedOn w:val="DefaultParagraphFont"/>
    <w:link w:val="Subtitle"/>
    <w:uiPriority w:val="11"/>
    <w:rsid w:val="002D64ED"/>
    <w:rPr>
      <w:rFonts w:ascii="Arial" w:eastAsia="Times New Roman" w:hAnsi="Arial" w:cs="Times New Roman"/>
      <w:bCs/>
      <w:iCs/>
      <w:color w:val="FFFFFF" w:themeColor="background1"/>
      <w:sz w:val="40"/>
      <w:szCs w:val="24"/>
    </w:rPr>
  </w:style>
  <w:style w:type="paragraph" w:customStyle="1" w:styleId="TableDescription">
    <w:name w:val="Table Description"/>
    <w:basedOn w:val="FigureDescription"/>
    <w:rsid w:val="001B5C90"/>
    <w:pPr>
      <w:spacing w:before="0" w:line="240" w:lineRule="auto"/>
    </w:pPr>
    <w:rPr>
      <w:szCs w:val="19"/>
    </w:rPr>
  </w:style>
  <w:style w:type="table" w:styleId="TableGrid">
    <w:name w:val="Table Grid"/>
    <w:basedOn w:val="TableNormal"/>
    <w:uiPriority w:val="59"/>
    <w:rsid w:val="00F3148D"/>
    <w:pPr>
      <w:spacing w:after="0" w:line="240" w:lineRule="auto"/>
    </w:pPr>
    <w:rPr>
      <w:rFonts w:ascii="Cambria" w:hAnsi="Cambria" w:cs="Times New Roman"/>
      <w:sz w:val="21"/>
      <w:szCs w:val="21"/>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F3148D"/>
    <w:rPr>
      <w:sz w:val="19"/>
    </w:rPr>
  </w:style>
  <w:style w:type="table" w:customStyle="1" w:styleId="TableTGAblue">
    <w:name w:val="Table TGA blue"/>
    <w:basedOn w:val="TableNormal"/>
    <w:uiPriority w:val="99"/>
    <w:qFormat/>
    <w:rsid w:val="00FD119B"/>
    <w:pPr>
      <w:spacing w:after="0" w:line="240" w:lineRule="auto"/>
      <w:ind w:left="170" w:right="170"/>
    </w:pPr>
    <w:rPr>
      <w:rFonts w:ascii="Cambria" w:hAnsi="Cambria" w:cs="Times New Roman"/>
      <w:color w:val="000000" w:themeColor="text1"/>
      <w:szCs w:val="21"/>
      <w:lang w:eastAsia="en-AU"/>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tcPr>
    <w:tblStylePr w:type="firstRow">
      <w:pPr>
        <w:keepNext/>
        <w:wordWrap/>
      </w:pPr>
      <w:rPr>
        <w:rFonts w:ascii="Cambria" w:hAnsi="Cambria"/>
        <w:b/>
        <w:color w:val="FFFFFF" w:themeColor="background1"/>
        <w:sz w:val="22"/>
      </w:rPr>
      <w:tblPr/>
      <w:trPr>
        <w:tblHeader/>
      </w:tr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shd w:val="clear" w:color="auto" w:fill="006DA7"/>
      </w:tcPr>
    </w:tblStylePr>
  </w:style>
  <w:style w:type="table" w:customStyle="1" w:styleId="TableTGAblack">
    <w:name w:val="Table TGA black"/>
    <w:basedOn w:val="TableNormal"/>
    <w:uiPriority w:val="99"/>
    <w:rsid w:val="00EE1DE8"/>
    <w:pPr>
      <w:spacing w:before="60" w:after="0" w:line="240" w:lineRule="auto"/>
      <w:ind w:left="170" w:right="170"/>
    </w:pPr>
    <w:rPr>
      <w:rFonts w:ascii="Cambria" w:hAnsi="Cambria" w:cs="Times New Roman"/>
      <w:color w:val="000000"/>
      <w:szCs w:val="21"/>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pPr>
        <w:wordWrap/>
        <w:spacing w:beforeLines="0" w:beforeAutospacing="0" w:afterLines="0" w:afterAutospacing="0"/>
      </w:pPr>
      <w:rPr>
        <w:rFonts w:ascii="Cambria" w:hAnsi="Cambria"/>
        <w:b/>
        <w:color w:val="FFFFFF" w:themeColor="background1"/>
        <w:sz w:val="22"/>
      </w:rPr>
      <w:tblPr/>
      <w:tcPr>
        <w:shd w:val="clear" w:color="auto" w:fill="000000" w:themeFill="text1"/>
      </w:tcPr>
    </w:tblStylePr>
    <w:tblStylePr w:type="lastRow">
      <w:rPr>
        <w:b w:val="0"/>
      </w:rPr>
    </w:tblStylePr>
    <w:tblStylePr w:type="neCell">
      <w:rPr>
        <w:b w:val="0"/>
        <w:i w:val="0"/>
      </w:rPr>
    </w:tblStylePr>
    <w:tblStylePr w:type="nwCell">
      <w:rPr>
        <w:rFonts w:ascii="Cambria" w:hAnsi="Cambria"/>
        <w:b/>
        <w:i w:val="0"/>
        <w:color w:val="FFFFFF"/>
        <w:sz w:val="22"/>
      </w:rPr>
    </w:tblStylePr>
  </w:style>
  <w:style w:type="paragraph" w:customStyle="1" w:styleId="TableTitle">
    <w:name w:val="Table Title"/>
    <w:basedOn w:val="Normal"/>
    <w:rsid w:val="002E40B3"/>
    <w:pPr>
      <w:keepNext/>
    </w:pPr>
    <w:rPr>
      <w:b/>
    </w:rPr>
  </w:style>
  <w:style w:type="paragraph" w:customStyle="1" w:styleId="TGASignoff">
    <w:name w:val="TGA Signoff"/>
    <w:basedOn w:val="Normal"/>
    <w:rsid w:val="00F3148D"/>
    <w:pPr>
      <w:jc w:val="center"/>
    </w:pPr>
    <w:rPr>
      <w:rFonts w:ascii="Arial" w:hAnsi="Arial"/>
      <w:b/>
      <w:sz w:val="28"/>
    </w:rPr>
  </w:style>
  <w:style w:type="paragraph" w:styleId="Title">
    <w:name w:val="Title"/>
    <w:next w:val="Normal"/>
    <w:link w:val="TitleChar"/>
    <w:uiPriority w:val="10"/>
    <w:rsid w:val="002D64ED"/>
    <w:pPr>
      <w:framePr w:hSpace="180" w:wrap="around" w:vAnchor="page" w:hAnchor="text" w:y="3316"/>
      <w:spacing w:after="480" w:line="240" w:lineRule="auto"/>
      <w:contextualSpacing/>
    </w:pPr>
    <w:rPr>
      <w:rFonts w:ascii="Arial" w:eastAsia="Times New Roman" w:hAnsi="Arial" w:cs="Times New Roman"/>
      <w:color w:val="FFFFFF" w:themeColor="background1"/>
      <w:spacing w:val="5"/>
      <w:kern w:val="28"/>
      <w:sz w:val="52"/>
      <w:szCs w:val="52"/>
    </w:rPr>
  </w:style>
  <w:style w:type="character" w:customStyle="1" w:styleId="TitleChar">
    <w:name w:val="Title Char"/>
    <w:basedOn w:val="DefaultParagraphFont"/>
    <w:link w:val="Title"/>
    <w:uiPriority w:val="10"/>
    <w:rsid w:val="002D64ED"/>
    <w:rPr>
      <w:rFonts w:ascii="Arial" w:eastAsia="Times New Roman" w:hAnsi="Arial" w:cs="Times New Roman"/>
      <w:color w:val="FFFFFF" w:themeColor="background1"/>
      <w:spacing w:val="5"/>
      <w:kern w:val="28"/>
      <w:sz w:val="52"/>
      <w:szCs w:val="52"/>
    </w:rPr>
  </w:style>
  <w:style w:type="paragraph" w:styleId="TOC1">
    <w:name w:val="toc 1"/>
    <w:basedOn w:val="Normal"/>
    <w:next w:val="Normal"/>
    <w:uiPriority w:val="39"/>
    <w:rsid w:val="00F3148D"/>
    <w:pPr>
      <w:tabs>
        <w:tab w:val="right" w:pos="8505"/>
      </w:tabs>
      <w:spacing w:after="200"/>
    </w:pPr>
    <w:rPr>
      <w:rFonts w:ascii="Arial" w:hAnsi="Arial"/>
      <w:b/>
      <w:sz w:val="32"/>
    </w:rPr>
  </w:style>
  <w:style w:type="paragraph" w:styleId="TOC2">
    <w:name w:val="toc 2"/>
    <w:basedOn w:val="Normal"/>
    <w:next w:val="Normal"/>
    <w:uiPriority w:val="39"/>
    <w:rsid w:val="00F3148D"/>
    <w:pPr>
      <w:tabs>
        <w:tab w:val="right" w:leader="underscore" w:pos="8505"/>
      </w:tabs>
      <w:spacing w:after="100"/>
      <w:ind w:left="624"/>
    </w:pPr>
    <w:rPr>
      <w:b/>
      <w:sz w:val="25"/>
    </w:rPr>
  </w:style>
  <w:style w:type="paragraph" w:styleId="TOC3">
    <w:name w:val="toc 3"/>
    <w:basedOn w:val="Normal"/>
    <w:next w:val="Normal"/>
    <w:uiPriority w:val="39"/>
    <w:rsid w:val="00F3148D"/>
    <w:pPr>
      <w:tabs>
        <w:tab w:val="right" w:leader="underscore" w:pos="8505"/>
      </w:tabs>
      <w:spacing w:after="100"/>
      <w:ind w:left="1021"/>
    </w:pPr>
  </w:style>
  <w:style w:type="paragraph" w:styleId="TOCHeading">
    <w:name w:val="TOC Heading"/>
    <w:basedOn w:val="Heading1"/>
    <w:next w:val="Normal"/>
    <w:uiPriority w:val="39"/>
    <w:semiHidden/>
    <w:unhideWhenUsed/>
    <w:qFormat/>
    <w:rsid w:val="00F3148D"/>
    <w:pPr>
      <w:framePr w:wrap="around" w:hAnchor="text"/>
      <w:spacing w:before="480" w:after="0" w:line="276" w:lineRule="auto"/>
      <w:outlineLvl w:val="9"/>
    </w:pPr>
    <w:rPr>
      <w:rFonts w:cstheme="minorBidi"/>
      <w:color w:val="002035"/>
      <w:sz w:val="28"/>
      <w:lang w:val="en-US"/>
    </w:rPr>
  </w:style>
  <w:style w:type="paragraph" w:styleId="FootnoteText">
    <w:name w:val="footnote text"/>
    <w:basedOn w:val="Normal"/>
    <w:link w:val="FootnoteTextChar"/>
    <w:uiPriority w:val="99"/>
    <w:unhideWhenUsed/>
    <w:rsid w:val="001B5C90"/>
    <w:pPr>
      <w:spacing w:before="0" w:after="0" w:line="240" w:lineRule="auto"/>
    </w:pPr>
    <w:rPr>
      <w:sz w:val="18"/>
      <w:szCs w:val="20"/>
    </w:rPr>
  </w:style>
  <w:style w:type="character" w:customStyle="1" w:styleId="FootnoteTextChar">
    <w:name w:val="Footnote Text Char"/>
    <w:basedOn w:val="DefaultParagraphFont"/>
    <w:link w:val="FootnoteText"/>
    <w:uiPriority w:val="99"/>
    <w:rsid w:val="001B5C90"/>
    <w:rPr>
      <w:rFonts w:ascii="Cambria" w:eastAsia="Cambria" w:hAnsi="Cambria" w:cs="Times New Roman"/>
      <w:sz w:val="18"/>
      <w:szCs w:val="20"/>
    </w:rPr>
  </w:style>
  <w:style w:type="character" w:styleId="FootnoteReference">
    <w:name w:val="footnote reference"/>
    <w:basedOn w:val="DefaultParagraphFont"/>
    <w:uiPriority w:val="99"/>
    <w:semiHidden/>
    <w:unhideWhenUsed/>
    <w:rsid w:val="001B5C90"/>
    <w:rPr>
      <w:vertAlign w:val="superscript"/>
    </w:rPr>
  </w:style>
  <w:style w:type="paragraph" w:customStyle="1" w:styleId="Quotation">
    <w:name w:val="Quotation"/>
    <w:basedOn w:val="Normal"/>
    <w:next w:val="Normal"/>
    <w:uiPriority w:val="4"/>
    <w:qFormat/>
    <w:rsid w:val="00E13FC7"/>
    <w:pPr>
      <w:spacing w:after="180"/>
      <w:ind w:left="425"/>
    </w:pPr>
    <w:rPr>
      <w:rFonts w:eastAsiaTheme="minorEastAsia" w:cstheme="minorBidi"/>
      <w:sz w:val="20"/>
      <w:lang w:eastAsia="zh-TW"/>
    </w:rPr>
  </w:style>
  <w:style w:type="paragraph" w:customStyle="1" w:styleId="Comment">
    <w:name w:val="Comment"/>
    <w:basedOn w:val="Normal"/>
    <w:next w:val="Normal"/>
    <w:uiPriority w:val="1"/>
    <w:qFormat/>
    <w:rsid w:val="008F02E5"/>
    <w:pPr>
      <w:ind w:left="992" w:hanging="992"/>
    </w:pPr>
  </w:style>
  <w:style w:type="paragraph" w:styleId="EndnoteText">
    <w:name w:val="endnote text"/>
    <w:basedOn w:val="Normal"/>
    <w:link w:val="EndnoteTextChar"/>
    <w:uiPriority w:val="99"/>
    <w:semiHidden/>
    <w:unhideWhenUsed/>
    <w:rsid w:val="000E6196"/>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E6196"/>
    <w:rPr>
      <w:rFonts w:ascii="Cambria" w:eastAsia="Cambria" w:hAnsi="Cambria" w:cs="Times New Roman"/>
      <w:sz w:val="20"/>
      <w:szCs w:val="20"/>
    </w:rPr>
  </w:style>
  <w:style w:type="character" w:styleId="EndnoteReference">
    <w:name w:val="endnote reference"/>
    <w:basedOn w:val="DefaultParagraphFont"/>
    <w:uiPriority w:val="99"/>
    <w:semiHidden/>
    <w:unhideWhenUsed/>
    <w:rsid w:val="000E6196"/>
    <w:rPr>
      <w:vertAlign w:val="superscript"/>
    </w:rPr>
  </w:style>
  <w:style w:type="paragraph" w:customStyle="1" w:styleId="Bullet1">
    <w:name w:val="Bullet 1"/>
    <w:basedOn w:val="Normal"/>
    <w:rsid w:val="00DF3731"/>
    <w:pPr>
      <w:numPr>
        <w:numId w:val="5"/>
      </w:numPr>
      <w:spacing w:after="0" w:line="240" w:lineRule="auto"/>
    </w:pPr>
    <w:rPr>
      <w:rFonts w:eastAsia="Batang"/>
      <w:kern w:val="24"/>
      <w:szCs w:val="24"/>
      <w:lang w:eastAsia="en-AU"/>
    </w:rPr>
  </w:style>
  <w:style w:type="paragraph" w:customStyle="1" w:styleId="Bullet2">
    <w:name w:val="Bullet 2"/>
    <w:basedOn w:val="Bullet1"/>
    <w:rsid w:val="00DF3731"/>
    <w:pPr>
      <w:numPr>
        <w:numId w:val="0"/>
      </w:numPr>
    </w:pPr>
  </w:style>
  <w:style w:type="paragraph" w:styleId="ListParagraph">
    <w:name w:val="List Paragraph"/>
    <w:basedOn w:val="Normal"/>
    <w:uiPriority w:val="34"/>
    <w:qFormat/>
    <w:rsid w:val="00DF373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spacing w:before="0" w:after="0" w:line="240" w:lineRule="auto"/>
      <w:ind w:left="720"/>
    </w:pPr>
    <w:rPr>
      <w:rFonts w:eastAsia="Batang"/>
      <w:kern w:val="16"/>
      <w:szCs w:val="24"/>
      <w:lang w:eastAsia="en-AU"/>
    </w:rPr>
  </w:style>
  <w:style w:type="paragraph" w:customStyle="1" w:styleId="Abbreviations">
    <w:name w:val="Abbreviations"/>
    <w:basedOn w:val="Normal"/>
    <w:rsid w:val="00DF3731"/>
    <w:pPr>
      <w:tabs>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5103"/>
        <w:tab w:val="left" w:pos="5670"/>
        <w:tab w:val="left" w:pos="6237"/>
        <w:tab w:val="left" w:pos="6804"/>
        <w:tab w:val="left" w:pos="7371"/>
        <w:tab w:val="left" w:pos="7938"/>
        <w:tab w:val="left" w:pos="8505"/>
      </w:tabs>
      <w:spacing w:before="0" w:after="0" w:line="240" w:lineRule="auto"/>
    </w:pPr>
    <w:rPr>
      <w:rFonts w:eastAsia="Batang"/>
      <w:kern w:val="16"/>
      <w:szCs w:val="24"/>
      <w:lang w:eastAsia="en-AU"/>
    </w:rPr>
  </w:style>
  <w:style w:type="paragraph" w:customStyle="1" w:styleId="Default">
    <w:name w:val="Default"/>
    <w:rsid w:val="00BF49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1">
    <w:name w:val="st1"/>
    <w:basedOn w:val="DefaultParagraphFont"/>
    <w:rsid w:val="00BF490C"/>
  </w:style>
  <w:style w:type="table" w:customStyle="1" w:styleId="TableTGAblue1">
    <w:name w:val="Table TGA blue1"/>
    <w:basedOn w:val="TableNormal"/>
    <w:uiPriority w:val="99"/>
    <w:qFormat/>
    <w:rsid w:val="00BF490C"/>
    <w:pPr>
      <w:spacing w:after="0" w:line="240" w:lineRule="auto"/>
    </w:pPr>
    <w:rPr>
      <w:rFonts w:ascii="Cambria" w:hAnsi="Cambria" w:cs="Times New Roman"/>
      <w:color w:val="000000"/>
      <w:szCs w:val="21"/>
    </w:rPr>
    <w:tblPr>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wordWrap/>
      </w:pPr>
      <w:rPr>
        <w:rFonts w:ascii="Cambria" w:hAnsi="Cambria" w:hint="default"/>
        <w:b/>
        <w:color w:val="FFFFFF"/>
        <w:sz w:val="22"/>
        <w:szCs w:val="22"/>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shd w:val="clear" w:color="auto" w:fill="006DA7"/>
      </w:tcPr>
    </w:tblStylePr>
  </w:style>
  <w:style w:type="character" w:styleId="Emphasis">
    <w:name w:val="Emphasis"/>
    <w:basedOn w:val="DefaultParagraphFont"/>
    <w:uiPriority w:val="20"/>
    <w:qFormat/>
    <w:rsid w:val="008F7658"/>
    <w:rPr>
      <w:b/>
      <w:bCs/>
      <w:i w:val="0"/>
      <w:iCs w:val="0"/>
    </w:rPr>
  </w:style>
  <w:style w:type="character" w:customStyle="1" w:styleId="st">
    <w:name w:val="st"/>
    <w:basedOn w:val="DefaultParagraphFont"/>
    <w:rsid w:val="008408A6"/>
  </w:style>
  <w:style w:type="character" w:customStyle="1" w:styleId="tgc">
    <w:name w:val="_tgc"/>
    <w:basedOn w:val="DefaultParagraphFont"/>
    <w:rsid w:val="007A1D60"/>
  </w:style>
  <w:style w:type="character" w:styleId="CommentReference">
    <w:name w:val="annotation reference"/>
    <w:basedOn w:val="DefaultParagraphFont"/>
    <w:uiPriority w:val="99"/>
    <w:semiHidden/>
    <w:unhideWhenUsed/>
    <w:rsid w:val="000A76C1"/>
    <w:rPr>
      <w:sz w:val="16"/>
      <w:szCs w:val="16"/>
    </w:rPr>
  </w:style>
  <w:style w:type="paragraph" w:styleId="CommentText">
    <w:name w:val="annotation text"/>
    <w:basedOn w:val="Normal"/>
    <w:link w:val="CommentTextChar"/>
    <w:uiPriority w:val="99"/>
    <w:semiHidden/>
    <w:unhideWhenUsed/>
    <w:rsid w:val="000A76C1"/>
    <w:pPr>
      <w:spacing w:line="240" w:lineRule="auto"/>
    </w:pPr>
    <w:rPr>
      <w:sz w:val="20"/>
      <w:szCs w:val="20"/>
    </w:rPr>
  </w:style>
  <w:style w:type="character" w:customStyle="1" w:styleId="CommentTextChar">
    <w:name w:val="Comment Text Char"/>
    <w:basedOn w:val="DefaultParagraphFont"/>
    <w:link w:val="CommentText"/>
    <w:uiPriority w:val="99"/>
    <w:semiHidden/>
    <w:rsid w:val="000A76C1"/>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0A76C1"/>
    <w:rPr>
      <w:b/>
      <w:bCs/>
    </w:rPr>
  </w:style>
  <w:style w:type="character" w:customStyle="1" w:styleId="CommentSubjectChar">
    <w:name w:val="Comment Subject Char"/>
    <w:basedOn w:val="CommentTextChar"/>
    <w:link w:val="CommentSubject"/>
    <w:uiPriority w:val="99"/>
    <w:semiHidden/>
    <w:rsid w:val="000A76C1"/>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6166">
      <w:bodyDiv w:val="1"/>
      <w:marLeft w:val="0"/>
      <w:marRight w:val="0"/>
      <w:marTop w:val="0"/>
      <w:marBottom w:val="0"/>
      <w:divBdr>
        <w:top w:val="none" w:sz="0" w:space="0" w:color="auto"/>
        <w:left w:val="none" w:sz="0" w:space="0" w:color="auto"/>
        <w:bottom w:val="none" w:sz="0" w:space="0" w:color="auto"/>
        <w:right w:val="none" w:sz="0" w:space="0" w:color="auto"/>
      </w:divBdr>
    </w:div>
    <w:div w:id="148249169">
      <w:bodyDiv w:val="1"/>
      <w:marLeft w:val="0"/>
      <w:marRight w:val="0"/>
      <w:marTop w:val="0"/>
      <w:marBottom w:val="0"/>
      <w:divBdr>
        <w:top w:val="none" w:sz="0" w:space="0" w:color="auto"/>
        <w:left w:val="none" w:sz="0" w:space="0" w:color="auto"/>
        <w:bottom w:val="none" w:sz="0" w:space="0" w:color="auto"/>
        <w:right w:val="none" w:sz="0" w:space="0" w:color="auto"/>
      </w:divBdr>
    </w:div>
    <w:div w:id="161891240">
      <w:bodyDiv w:val="1"/>
      <w:marLeft w:val="0"/>
      <w:marRight w:val="0"/>
      <w:marTop w:val="0"/>
      <w:marBottom w:val="0"/>
      <w:divBdr>
        <w:top w:val="none" w:sz="0" w:space="0" w:color="auto"/>
        <w:left w:val="none" w:sz="0" w:space="0" w:color="auto"/>
        <w:bottom w:val="none" w:sz="0" w:space="0" w:color="auto"/>
        <w:right w:val="none" w:sz="0" w:space="0" w:color="auto"/>
      </w:divBdr>
    </w:div>
    <w:div w:id="191573692">
      <w:bodyDiv w:val="1"/>
      <w:marLeft w:val="0"/>
      <w:marRight w:val="0"/>
      <w:marTop w:val="0"/>
      <w:marBottom w:val="0"/>
      <w:divBdr>
        <w:top w:val="none" w:sz="0" w:space="0" w:color="auto"/>
        <w:left w:val="none" w:sz="0" w:space="0" w:color="auto"/>
        <w:bottom w:val="none" w:sz="0" w:space="0" w:color="auto"/>
        <w:right w:val="none" w:sz="0" w:space="0" w:color="auto"/>
      </w:divBdr>
    </w:div>
    <w:div w:id="203830907">
      <w:bodyDiv w:val="1"/>
      <w:marLeft w:val="0"/>
      <w:marRight w:val="0"/>
      <w:marTop w:val="0"/>
      <w:marBottom w:val="0"/>
      <w:divBdr>
        <w:top w:val="none" w:sz="0" w:space="0" w:color="auto"/>
        <w:left w:val="none" w:sz="0" w:space="0" w:color="auto"/>
        <w:bottom w:val="none" w:sz="0" w:space="0" w:color="auto"/>
        <w:right w:val="none" w:sz="0" w:space="0" w:color="auto"/>
      </w:divBdr>
    </w:div>
    <w:div w:id="274101979">
      <w:bodyDiv w:val="1"/>
      <w:marLeft w:val="0"/>
      <w:marRight w:val="0"/>
      <w:marTop w:val="0"/>
      <w:marBottom w:val="0"/>
      <w:divBdr>
        <w:top w:val="none" w:sz="0" w:space="0" w:color="auto"/>
        <w:left w:val="none" w:sz="0" w:space="0" w:color="auto"/>
        <w:bottom w:val="none" w:sz="0" w:space="0" w:color="auto"/>
        <w:right w:val="none" w:sz="0" w:space="0" w:color="auto"/>
      </w:divBdr>
    </w:div>
    <w:div w:id="306708492">
      <w:bodyDiv w:val="1"/>
      <w:marLeft w:val="0"/>
      <w:marRight w:val="0"/>
      <w:marTop w:val="0"/>
      <w:marBottom w:val="0"/>
      <w:divBdr>
        <w:top w:val="none" w:sz="0" w:space="0" w:color="auto"/>
        <w:left w:val="none" w:sz="0" w:space="0" w:color="auto"/>
        <w:bottom w:val="none" w:sz="0" w:space="0" w:color="auto"/>
        <w:right w:val="none" w:sz="0" w:space="0" w:color="auto"/>
      </w:divBdr>
    </w:div>
    <w:div w:id="311107392">
      <w:bodyDiv w:val="1"/>
      <w:marLeft w:val="0"/>
      <w:marRight w:val="0"/>
      <w:marTop w:val="0"/>
      <w:marBottom w:val="0"/>
      <w:divBdr>
        <w:top w:val="none" w:sz="0" w:space="0" w:color="auto"/>
        <w:left w:val="none" w:sz="0" w:space="0" w:color="auto"/>
        <w:bottom w:val="none" w:sz="0" w:space="0" w:color="auto"/>
        <w:right w:val="none" w:sz="0" w:space="0" w:color="auto"/>
      </w:divBdr>
    </w:div>
    <w:div w:id="363599733">
      <w:bodyDiv w:val="1"/>
      <w:marLeft w:val="0"/>
      <w:marRight w:val="0"/>
      <w:marTop w:val="0"/>
      <w:marBottom w:val="0"/>
      <w:divBdr>
        <w:top w:val="none" w:sz="0" w:space="0" w:color="auto"/>
        <w:left w:val="none" w:sz="0" w:space="0" w:color="auto"/>
        <w:bottom w:val="none" w:sz="0" w:space="0" w:color="auto"/>
        <w:right w:val="none" w:sz="0" w:space="0" w:color="auto"/>
      </w:divBdr>
    </w:div>
    <w:div w:id="454178835">
      <w:bodyDiv w:val="1"/>
      <w:marLeft w:val="0"/>
      <w:marRight w:val="0"/>
      <w:marTop w:val="0"/>
      <w:marBottom w:val="0"/>
      <w:divBdr>
        <w:top w:val="none" w:sz="0" w:space="0" w:color="auto"/>
        <w:left w:val="none" w:sz="0" w:space="0" w:color="auto"/>
        <w:bottom w:val="none" w:sz="0" w:space="0" w:color="auto"/>
        <w:right w:val="none" w:sz="0" w:space="0" w:color="auto"/>
      </w:divBdr>
    </w:div>
    <w:div w:id="481776172">
      <w:bodyDiv w:val="1"/>
      <w:marLeft w:val="0"/>
      <w:marRight w:val="0"/>
      <w:marTop w:val="0"/>
      <w:marBottom w:val="0"/>
      <w:divBdr>
        <w:top w:val="none" w:sz="0" w:space="0" w:color="auto"/>
        <w:left w:val="none" w:sz="0" w:space="0" w:color="auto"/>
        <w:bottom w:val="none" w:sz="0" w:space="0" w:color="auto"/>
        <w:right w:val="none" w:sz="0" w:space="0" w:color="auto"/>
      </w:divBdr>
    </w:div>
    <w:div w:id="524635478">
      <w:bodyDiv w:val="1"/>
      <w:marLeft w:val="0"/>
      <w:marRight w:val="0"/>
      <w:marTop w:val="0"/>
      <w:marBottom w:val="0"/>
      <w:divBdr>
        <w:top w:val="none" w:sz="0" w:space="0" w:color="auto"/>
        <w:left w:val="none" w:sz="0" w:space="0" w:color="auto"/>
        <w:bottom w:val="none" w:sz="0" w:space="0" w:color="auto"/>
        <w:right w:val="none" w:sz="0" w:space="0" w:color="auto"/>
      </w:divBdr>
    </w:div>
    <w:div w:id="538008834">
      <w:bodyDiv w:val="1"/>
      <w:marLeft w:val="0"/>
      <w:marRight w:val="0"/>
      <w:marTop w:val="0"/>
      <w:marBottom w:val="0"/>
      <w:divBdr>
        <w:top w:val="none" w:sz="0" w:space="0" w:color="auto"/>
        <w:left w:val="none" w:sz="0" w:space="0" w:color="auto"/>
        <w:bottom w:val="none" w:sz="0" w:space="0" w:color="auto"/>
        <w:right w:val="none" w:sz="0" w:space="0" w:color="auto"/>
      </w:divBdr>
    </w:div>
    <w:div w:id="538323419">
      <w:bodyDiv w:val="1"/>
      <w:marLeft w:val="0"/>
      <w:marRight w:val="0"/>
      <w:marTop w:val="0"/>
      <w:marBottom w:val="0"/>
      <w:divBdr>
        <w:top w:val="none" w:sz="0" w:space="0" w:color="auto"/>
        <w:left w:val="none" w:sz="0" w:space="0" w:color="auto"/>
        <w:bottom w:val="none" w:sz="0" w:space="0" w:color="auto"/>
        <w:right w:val="none" w:sz="0" w:space="0" w:color="auto"/>
      </w:divBdr>
    </w:div>
    <w:div w:id="596404448">
      <w:bodyDiv w:val="1"/>
      <w:marLeft w:val="0"/>
      <w:marRight w:val="0"/>
      <w:marTop w:val="0"/>
      <w:marBottom w:val="0"/>
      <w:divBdr>
        <w:top w:val="none" w:sz="0" w:space="0" w:color="auto"/>
        <w:left w:val="none" w:sz="0" w:space="0" w:color="auto"/>
        <w:bottom w:val="none" w:sz="0" w:space="0" w:color="auto"/>
        <w:right w:val="none" w:sz="0" w:space="0" w:color="auto"/>
      </w:divBdr>
    </w:div>
    <w:div w:id="606431584">
      <w:bodyDiv w:val="1"/>
      <w:marLeft w:val="0"/>
      <w:marRight w:val="0"/>
      <w:marTop w:val="0"/>
      <w:marBottom w:val="0"/>
      <w:divBdr>
        <w:top w:val="none" w:sz="0" w:space="0" w:color="auto"/>
        <w:left w:val="none" w:sz="0" w:space="0" w:color="auto"/>
        <w:bottom w:val="none" w:sz="0" w:space="0" w:color="auto"/>
        <w:right w:val="none" w:sz="0" w:space="0" w:color="auto"/>
      </w:divBdr>
    </w:div>
    <w:div w:id="765152695">
      <w:bodyDiv w:val="1"/>
      <w:marLeft w:val="0"/>
      <w:marRight w:val="0"/>
      <w:marTop w:val="0"/>
      <w:marBottom w:val="0"/>
      <w:divBdr>
        <w:top w:val="none" w:sz="0" w:space="0" w:color="auto"/>
        <w:left w:val="none" w:sz="0" w:space="0" w:color="auto"/>
        <w:bottom w:val="none" w:sz="0" w:space="0" w:color="auto"/>
        <w:right w:val="none" w:sz="0" w:space="0" w:color="auto"/>
      </w:divBdr>
    </w:div>
    <w:div w:id="785853652">
      <w:bodyDiv w:val="1"/>
      <w:marLeft w:val="0"/>
      <w:marRight w:val="0"/>
      <w:marTop w:val="0"/>
      <w:marBottom w:val="0"/>
      <w:divBdr>
        <w:top w:val="none" w:sz="0" w:space="0" w:color="auto"/>
        <w:left w:val="none" w:sz="0" w:space="0" w:color="auto"/>
        <w:bottom w:val="none" w:sz="0" w:space="0" w:color="auto"/>
        <w:right w:val="none" w:sz="0" w:space="0" w:color="auto"/>
      </w:divBdr>
    </w:div>
    <w:div w:id="791442803">
      <w:bodyDiv w:val="1"/>
      <w:marLeft w:val="0"/>
      <w:marRight w:val="0"/>
      <w:marTop w:val="0"/>
      <w:marBottom w:val="0"/>
      <w:divBdr>
        <w:top w:val="none" w:sz="0" w:space="0" w:color="auto"/>
        <w:left w:val="none" w:sz="0" w:space="0" w:color="auto"/>
        <w:bottom w:val="none" w:sz="0" w:space="0" w:color="auto"/>
        <w:right w:val="none" w:sz="0" w:space="0" w:color="auto"/>
      </w:divBdr>
    </w:div>
    <w:div w:id="844512683">
      <w:bodyDiv w:val="1"/>
      <w:marLeft w:val="0"/>
      <w:marRight w:val="0"/>
      <w:marTop w:val="0"/>
      <w:marBottom w:val="0"/>
      <w:divBdr>
        <w:top w:val="none" w:sz="0" w:space="0" w:color="auto"/>
        <w:left w:val="none" w:sz="0" w:space="0" w:color="auto"/>
        <w:bottom w:val="none" w:sz="0" w:space="0" w:color="auto"/>
        <w:right w:val="none" w:sz="0" w:space="0" w:color="auto"/>
      </w:divBdr>
    </w:div>
    <w:div w:id="935409893">
      <w:bodyDiv w:val="1"/>
      <w:marLeft w:val="0"/>
      <w:marRight w:val="0"/>
      <w:marTop w:val="0"/>
      <w:marBottom w:val="0"/>
      <w:divBdr>
        <w:top w:val="none" w:sz="0" w:space="0" w:color="auto"/>
        <w:left w:val="none" w:sz="0" w:space="0" w:color="auto"/>
        <w:bottom w:val="none" w:sz="0" w:space="0" w:color="auto"/>
        <w:right w:val="none" w:sz="0" w:space="0" w:color="auto"/>
      </w:divBdr>
    </w:div>
    <w:div w:id="947270675">
      <w:bodyDiv w:val="1"/>
      <w:marLeft w:val="0"/>
      <w:marRight w:val="0"/>
      <w:marTop w:val="0"/>
      <w:marBottom w:val="0"/>
      <w:divBdr>
        <w:top w:val="none" w:sz="0" w:space="0" w:color="auto"/>
        <w:left w:val="none" w:sz="0" w:space="0" w:color="auto"/>
        <w:bottom w:val="none" w:sz="0" w:space="0" w:color="auto"/>
        <w:right w:val="none" w:sz="0" w:space="0" w:color="auto"/>
      </w:divBdr>
    </w:div>
    <w:div w:id="950093480">
      <w:bodyDiv w:val="1"/>
      <w:marLeft w:val="0"/>
      <w:marRight w:val="0"/>
      <w:marTop w:val="0"/>
      <w:marBottom w:val="0"/>
      <w:divBdr>
        <w:top w:val="none" w:sz="0" w:space="0" w:color="auto"/>
        <w:left w:val="none" w:sz="0" w:space="0" w:color="auto"/>
        <w:bottom w:val="none" w:sz="0" w:space="0" w:color="auto"/>
        <w:right w:val="none" w:sz="0" w:space="0" w:color="auto"/>
      </w:divBdr>
    </w:div>
    <w:div w:id="1006790405">
      <w:bodyDiv w:val="1"/>
      <w:marLeft w:val="0"/>
      <w:marRight w:val="0"/>
      <w:marTop w:val="0"/>
      <w:marBottom w:val="0"/>
      <w:divBdr>
        <w:top w:val="none" w:sz="0" w:space="0" w:color="auto"/>
        <w:left w:val="none" w:sz="0" w:space="0" w:color="auto"/>
        <w:bottom w:val="none" w:sz="0" w:space="0" w:color="auto"/>
        <w:right w:val="none" w:sz="0" w:space="0" w:color="auto"/>
      </w:divBdr>
    </w:div>
    <w:div w:id="1023282447">
      <w:bodyDiv w:val="1"/>
      <w:marLeft w:val="0"/>
      <w:marRight w:val="0"/>
      <w:marTop w:val="0"/>
      <w:marBottom w:val="0"/>
      <w:divBdr>
        <w:top w:val="none" w:sz="0" w:space="0" w:color="auto"/>
        <w:left w:val="none" w:sz="0" w:space="0" w:color="auto"/>
        <w:bottom w:val="none" w:sz="0" w:space="0" w:color="auto"/>
        <w:right w:val="none" w:sz="0" w:space="0" w:color="auto"/>
      </w:divBdr>
    </w:div>
    <w:div w:id="1038236405">
      <w:bodyDiv w:val="1"/>
      <w:marLeft w:val="0"/>
      <w:marRight w:val="0"/>
      <w:marTop w:val="0"/>
      <w:marBottom w:val="0"/>
      <w:divBdr>
        <w:top w:val="none" w:sz="0" w:space="0" w:color="auto"/>
        <w:left w:val="none" w:sz="0" w:space="0" w:color="auto"/>
        <w:bottom w:val="none" w:sz="0" w:space="0" w:color="auto"/>
        <w:right w:val="none" w:sz="0" w:space="0" w:color="auto"/>
      </w:divBdr>
    </w:div>
    <w:div w:id="1101221845">
      <w:bodyDiv w:val="1"/>
      <w:marLeft w:val="0"/>
      <w:marRight w:val="0"/>
      <w:marTop w:val="0"/>
      <w:marBottom w:val="0"/>
      <w:divBdr>
        <w:top w:val="none" w:sz="0" w:space="0" w:color="auto"/>
        <w:left w:val="none" w:sz="0" w:space="0" w:color="auto"/>
        <w:bottom w:val="none" w:sz="0" w:space="0" w:color="auto"/>
        <w:right w:val="none" w:sz="0" w:space="0" w:color="auto"/>
      </w:divBdr>
    </w:div>
    <w:div w:id="1118838995">
      <w:bodyDiv w:val="1"/>
      <w:marLeft w:val="0"/>
      <w:marRight w:val="0"/>
      <w:marTop w:val="0"/>
      <w:marBottom w:val="0"/>
      <w:divBdr>
        <w:top w:val="none" w:sz="0" w:space="0" w:color="auto"/>
        <w:left w:val="none" w:sz="0" w:space="0" w:color="auto"/>
        <w:bottom w:val="none" w:sz="0" w:space="0" w:color="auto"/>
        <w:right w:val="none" w:sz="0" w:space="0" w:color="auto"/>
      </w:divBdr>
    </w:div>
    <w:div w:id="1121344073">
      <w:bodyDiv w:val="1"/>
      <w:marLeft w:val="0"/>
      <w:marRight w:val="0"/>
      <w:marTop w:val="0"/>
      <w:marBottom w:val="0"/>
      <w:divBdr>
        <w:top w:val="none" w:sz="0" w:space="0" w:color="auto"/>
        <w:left w:val="none" w:sz="0" w:space="0" w:color="auto"/>
        <w:bottom w:val="none" w:sz="0" w:space="0" w:color="auto"/>
        <w:right w:val="none" w:sz="0" w:space="0" w:color="auto"/>
      </w:divBdr>
    </w:div>
    <w:div w:id="1259363090">
      <w:bodyDiv w:val="1"/>
      <w:marLeft w:val="0"/>
      <w:marRight w:val="0"/>
      <w:marTop w:val="0"/>
      <w:marBottom w:val="0"/>
      <w:divBdr>
        <w:top w:val="none" w:sz="0" w:space="0" w:color="auto"/>
        <w:left w:val="none" w:sz="0" w:space="0" w:color="auto"/>
        <w:bottom w:val="none" w:sz="0" w:space="0" w:color="auto"/>
        <w:right w:val="none" w:sz="0" w:space="0" w:color="auto"/>
      </w:divBdr>
    </w:div>
    <w:div w:id="1306663098">
      <w:bodyDiv w:val="1"/>
      <w:marLeft w:val="0"/>
      <w:marRight w:val="0"/>
      <w:marTop w:val="0"/>
      <w:marBottom w:val="0"/>
      <w:divBdr>
        <w:top w:val="none" w:sz="0" w:space="0" w:color="auto"/>
        <w:left w:val="none" w:sz="0" w:space="0" w:color="auto"/>
        <w:bottom w:val="none" w:sz="0" w:space="0" w:color="auto"/>
        <w:right w:val="none" w:sz="0" w:space="0" w:color="auto"/>
      </w:divBdr>
    </w:div>
    <w:div w:id="1386680798">
      <w:bodyDiv w:val="1"/>
      <w:marLeft w:val="0"/>
      <w:marRight w:val="0"/>
      <w:marTop w:val="0"/>
      <w:marBottom w:val="0"/>
      <w:divBdr>
        <w:top w:val="none" w:sz="0" w:space="0" w:color="auto"/>
        <w:left w:val="none" w:sz="0" w:space="0" w:color="auto"/>
        <w:bottom w:val="none" w:sz="0" w:space="0" w:color="auto"/>
        <w:right w:val="none" w:sz="0" w:space="0" w:color="auto"/>
      </w:divBdr>
    </w:div>
    <w:div w:id="1450052674">
      <w:bodyDiv w:val="1"/>
      <w:marLeft w:val="0"/>
      <w:marRight w:val="0"/>
      <w:marTop w:val="0"/>
      <w:marBottom w:val="0"/>
      <w:divBdr>
        <w:top w:val="none" w:sz="0" w:space="0" w:color="auto"/>
        <w:left w:val="none" w:sz="0" w:space="0" w:color="auto"/>
        <w:bottom w:val="none" w:sz="0" w:space="0" w:color="auto"/>
        <w:right w:val="none" w:sz="0" w:space="0" w:color="auto"/>
      </w:divBdr>
    </w:div>
    <w:div w:id="1467314876">
      <w:bodyDiv w:val="1"/>
      <w:marLeft w:val="0"/>
      <w:marRight w:val="0"/>
      <w:marTop w:val="0"/>
      <w:marBottom w:val="0"/>
      <w:divBdr>
        <w:top w:val="none" w:sz="0" w:space="0" w:color="auto"/>
        <w:left w:val="none" w:sz="0" w:space="0" w:color="auto"/>
        <w:bottom w:val="none" w:sz="0" w:space="0" w:color="auto"/>
        <w:right w:val="none" w:sz="0" w:space="0" w:color="auto"/>
      </w:divBdr>
    </w:div>
    <w:div w:id="1470630297">
      <w:bodyDiv w:val="1"/>
      <w:marLeft w:val="0"/>
      <w:marRight w:val="0"/>
      <w:marTop w:val="0"/>
      <w:marBottom w:val="0"/>
      <w:divBdr>
        <w:top w:val="none" w:sz="0" w:space="0" w:color="auto"/>
        <w:left w:val="none" w:sz="0" w:space="0" w:color="auto"/>
        <w:bottom w:val="none" w:sz="0" w:space="0" w:color="auto"/>
        <w:right w:val="none" w:sz="0" w:space="0" w:color="auto"/>
      </w:divBdr>
    </w:div>
    <w:div w:id="1536503706">
      <w:bodyDiv w:val="1"/>
      <w:marLeft w:val="0"/>
      <w:marRight w:val="0"/>
      <w:marTop w:val="0"/>
      <w:marBottom w:val="0"/>
      <w:divBdr>
        <w:top w:val="none" w:sz="0" w:space="0" w:color="auto"/>
        <w:left w:val="none" w:sz="0" w:space="0" w:color="auto"/>
        <w:bottom w:val="none" w:sz="0" w:space="0" w:color="auto"/>
        <w:right w:val="none" w:sz="0" w:space="0" w:color="auto"/>
      </w:divBdr>
    </w:div>
    <w:div w:id="1548108843">
      <w:bodyDiv w:val="1"/>
      <w:marLeft w:val="0"/>
      <w:marRight w:val="0"/>
      <w:marTop w:val="0"/>
      <w:marBottom w:val="0"/>
      <w:divBdr>
        <w:top w:val="none" w:sz="0" w:space="0" w:color="auto"/>
        <w:left w:val="none" w:sz="0" w:space="0" w:color="auto"/>
        <w:bottom w:val="none" w:sz="0" w:space="0" w:color="auto"/>
        <w:right w:val="none" w:sz="0" w:space="0" w:color="auto"/>
      </w:divBdr>
    </w:div>
    <w:div w:id="1554002111">
      <w:bodyDiv w:val="1"/>
      <w:marLeft w:val="0"/>
      <w:marRight w:val="0"/>
      <w:marTop w:val="0"/>
      <w:marBottom w:val="0"/>
      <w:divBdr>
        <w:top w:val="none" w:sz="0" w:space="0" w:color="auto"/>
        <w:left w:val="none" w:sz="0" w:space="0" w:color="auto"/>
        <w:bottom w:val="none" w:sz="0" w:space="0" w:color="auto"/>
        <w:right w:val="none" w:sz="0" w:space="0" w:color="auto"/>
      </w:divBdr>
    </w:div>
    <w:div w:id="1646395656">
      <w:bodyDiv w:val="1"/>
      <w:marLeft w:val="0"/>
      <w:marRight w:val="0"/>
      <w:marTop w:val="0"/>
      <w:marBottom w:val="0"/>
      <w:divBdr>
        <w:top w:val="none" w:sz="0" w:space="0" w:color="auto"/>
        <w:left w:val="none" w:sz="0" w:space="0" w:color="auto"/>
        <w:bottom w:val="none" w:sz="0" w:space="0" w:color="auto"/>
        <w:right w:val="none" w:sz="0" w:space="0" w:color="auto"/>
      </w:divBdr>
    </w:div>
    <w:div w:id="1676035588">
      <w:bodyDiv w:val="1"/>
      <w:marLeft w:val="0"/>
      <w:marRight w:val="0"/>
      <w:marTop w:val="0"/>
      <w:marBottom w:val="0"/>
      <w:divBdr>
        <w:top w:val="none" w:sz="0" w:space="0" w:color="auto"/>
        <w:left w:val="none" w:sz="0" w:space="0" w:color="auto"/>
        <w:bottom w:val="none" w:sz="0" w:space="0" w:color="auto"/>
        <w:right w:val="none" w:sz="0" w:space="0" w:color="auto"/>
      </w:divBdr>
    </w:div>
    <w:div w:id="1742096215">
      <w:bodyDiv w:val="1"/>
      <w:marLeft w:val="0"/>
      <w:marRight w:val="0"/>
      <w:marTop w:val="0"/>
      <w:marBottom w:val="0"/>
      <w:divBdr>
        <w:top w:val="none" w:sz="0" w:space="0" w:color="auto"/>
        <w:left w:val="none" w:sz="0" w:space="0" w:color="auto"/>
        <w:bottom w:val="none" w:sz="0" w:space="0" w:color="auto"/>
        <w:right w:val="none" w:sz="0" w:space="0" w:color="auto"/>
      </w:divBdr>
    </w:div>
    <w:div w:id="1750536644">
      <w:bodyDiv w:val="1"/>
      <w:marLeft w:val="0"/>
      <w:marRight w:val="0"/>
      <w:marTop w:val="0"/>
      <w:marBottom w:val="0"/>
      <w:divBdr>
        <w:top w:val="none" w:sz="0" w:space="0" w:color="auto"/>
        <w:left w:val="none" w:sz="0" w:space="0" w:color="auto"/>
        <w:bottom w:val="none" w:sz="0" w:space="0" w:color="auto"/>
        <w:right w:val="none" w:sz="0" w:space="0" w:color="auto"/>
      </w:divBdr>
    </w:div>
    <w:div w:id="1807507159">
      <w:bodyDiv w:val="1"/>
      <w:marLeft w:val="0"/>
      <w:marRight w:val="0"/>
      <w:marTop w:val="0"/>
      <w:marBottom w:val="0"/>
      <w:divBdr>
        <w:top w:val="none" w:sz="0" w:space="0" w:color="auto"/>
        <w:left w:val="none" w:sz="0" w:space="0" w:color="auto"/>
        <w:bottom w:val="none" w:sz="0" w:space="0" w:color="auto"/>
        <w:right w:val="none" w:sz="0" w:space="0" w:color="auto"/>
      </w:divBdr>
    </w:div>
    <w:div w:id="1841188820">
      <w:bodyDiv w:val="1"/>
      <w:marLeft w:val="0"/>
      <w:marRight w:val="0"/>
      <w:marTop w:val="0"/>
      <w:marBottom w:val="0"/>
      <w:divBdr>
        <w:top w:val="none" w:sz="0" w:space="0" w:color="auto"/>
        <w:left w:val="none" w:sz="0" w:space="0" w:color="auto"/>
        <w:bottom w:val="none" w:sz="0" w:space="0" w:color="auto"/>
        <w:right w:val="none" w:sz="0" w:space="0" w:color="auto"/>
      </w:divBdr>
    </w:div>
    <w:div w:id="1900703569">
      <w:bodyDiv w:val="1"/>
      <w:marLeft w:val="0"/>
      <w:marRight w:val="0"/>
      <w:marTop w:val="0"/>
      <w:marBottom w:val="0"/>
      <w:divBdr>
        <w:top w:val="none" w:sz="0" w:space="0" w:color="auto"/>
        <w:left w:val="none" w:sz="0" w:space="0" w:color="auto"/>
        <w:bottom w:val="none" w:sz="0" w:space="0" w:color="auto"/>
        <w:right w:val="none" w:sz="0" w:space="0" w:color="auto"/>
      </w:divBdr>
    </w:div>
    <w:div w:id="1915357694">
      <w:bodyDiv w:val="1"/>
      <w:marLeft w:val="0"/>
      <w:marRight w:val="0"/>
      <w:marTop w:val="0"/>
      <w:marBottom w:val="0"/>
      <w:divBdr>
        <w:top w:val="none" w:sz="0" w:space="0" w:color="auto"/>
        <w:left w:val="none" w:sz="0" w:space="0" w:color="auto"/>
        <w:bottom w:val="none" w:sz="0" w:space="0" w:color="auto"/>
        <w:right w:val="none" w:sz="0" w:space="0" w:color="auto"/>
      </w:divBdr>
    </w:div>
    <w:div w:id="1916626734">
      <w:bodyDiv w:val="1"/>
      <w:marLeft w:val="0"/>
      <w:marRight w:val="0"/>
      <w:marTop w:val="0"/>
      <w:marBottom w:val="0"/>
      <w:divBdr>
        <w:top w:val="none" w:sz="0" w:space="0" w:color="auto"/>
        <w:left w:val="none" w:sz="0" w:space="0" w:color="auto"/>
        <w:bottom w:val="none" w:sz="0" w:space="0" w:color="auto"/>
        <w:right w:val="none" w:sz="0" w:space="0" w:color="auto"/>
      </w:divBdr>
    </w:div>
    <w:div w:id="1930695124">
      <w:bodyDiv w:val="1"/>
      <w:marLeft w:val="0"/>
      <w:marRight w:val="0"/>
      <w:marTop w:val="0"/>
      <w:marBottom w:val="0"/>
      <w:divBdr>
        <w:top w:val="none" w:sz="0" w:space="0" w:color="auto"/>
        <w:left w:val="none" w:sz="0" w:space="0" w:color="auto"/>
        <w:bottom w:val="none" w:sz="0" w:space="0" w:color="auto"/>
        <w:right w:val="none" w:sz="0" w:space="0" w:color="auto"/>
      </w:divBdr>
    </w:div>
    <w:div w:id="1956868091">
      <w:bodyDiv w:val="1"/>
      <w:marLeft w:val="0"/>
      <w:marRight w:val="0"/>
      <w:marTop w:val="0"/>
      <w:marBottom w:val="0"/>
      <w:divBdr>
        <w:top w:val="none" w:sz="0" w:space="0" w:color="auto"/>
        <w:left w:val="none" w:sz="0" w:space="0" w:color="auto"/>
        <w:bottom w:val="none" w:sz="0" w:space="0" w:color="auto"/>
        <w:right w:val="none" w:sz="0" w:space="0" w:color="auto"/>
      </w:divBdr>
    </w:div>
    <w:div w:id="1966354267">
      <w:bodyDiv w:val="1"/>
      <w:marLeft w:val="0"/>
      <w:marRight w:val="0"/>
      <w:marTop w:val="0"/>
      <w:marBottom w:val="0"/>
      <w:divBdr>
        <w:top w:val="none" w:sz="0" w:space="0" w:color="auto"/>
        <w:left w:val="none" w:sz="0" w:space="0" w:color="auto"/>
        <w:bottom w:val="none" w:sz="0" w:space="0" w:color="auto"/>
        <w:right w:val="none" w:sz="0" w:space="0" w:color="auto"/>
      </w:divBdr>
    </w:div>
    <w:div w:id="1969123972">
      <w:bodyDiv w:val="1"/>
      <w:marLeft w:val="0"/>
      <w:marRight w:val="0"/>
      <w:marTop w:val="0"/>
      <w:marBottom w:val="0"/>
      <w:divBdr>
        <w:top w:val="none" w:sz="0" w:space="0" w:color="auto"/>
        <w:left w:val="none" w:sz="0" w:space="0" w:color="auto"/>
        <w:bottom w:val="none" w:sz="0" w:space="0" w:color="auto"/>
        <w:right w:val="none" w:sz="0" w:space="0" w:color="auto"/>
      </w:divBdr>
    </w:div>
    <w:div w:id="1970741934">
      <w:bodyDiv w:val="1"/>
      <w:marLeft w:val="0"/>
      <w:marRight w:val="0"/>
      <w:marTop w:val="0"/>
      <w:marBottom w:val="0"/>
      <w:divBdr>
        <w:top w:val="none" w:sz="0" w:space="0" w:color="auto"/>
        <w:left w:val="none" w:sz="0" w:space="0" w:color="auto"/>
        <w:bottom w:val="none" w:sz="0" w:space="0" w:color="auto"/>
        <w:right w:val="none" w:sz="0" w:space="0" w:color="auto"/>
      </w:divBdr>
    </w:div>
    <w:div w:id="2006398905">
      <w:bodyDiv w:val="1"/>
      <w:marLeft w:val="0"/>
      <w:marRight w:val="0"/>
      <w:marTop w:val="0"/>
      <w:marBottom w:val="0"/>
      <w:divBdr>
        <w:top w:val="none" w:sz="0" w:space="0" w:color="auto"/>
        <w:left w:val="none" w:sz="0" w:space="0" w:color="auto"/>
        <w:bottom w:val="none" w:sz="0" w:space="0" w:color="auto"/>
        <w:right w:val="none" w:sz="0" w:space="0" w:color="auto"/>
      </w:divBdr>
    </w:div>
    <w:div w:id="2098941959">
      <w:bodyDiv w:val="1"/>
      <w:marLeft w:val="0"/>
      <w:marRight w:val="0"/>
      <w:marTop w:val="0"/>
      <w:marBottom w:val="0"/>
      <w:divBdr>
        <w:top w:val="none" w:sz="0" w:space="0" w:color="auto"/>
        <w:left w:val="none" w:sz="0" w:space="0" w:color="auto"/>
        <w:bottom w:val="none" w:sz="0" w:space="0" w:color="auto"/>
        <w:right w:val="none" w:sz="0" w:space="0" w:color="auto"/>
      </w:divBdr>
    </w:div>
    <w:div w:id="21309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tga.gov.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hyperlink" Target="mailto:tga.copyright@tga.gov.au" TargetMode="External"/><Relationship Id="rId19" Type="http://schemas.openxmlformats.org/officeDocument/2006/relationships/hyperlink" Target="mailto:info@tga.gov.au" TargetMode="External"/><Relationship Id="rId4" Type="http://schemas.microsoft.com/office/2007/relationships/stylesWithEffects" Target="stylesWithEffects.xml"/><Relationship Id="rId9" Type="http://schemas.openxmlformats.org/officeDocument/2006/relationships/hyperlink" Target="https://www.tga.gov.au" TargetMode="External"/><Relationship Id="rId14" Type="http://schemas.openxmlformats.org/officeDocument/2006/relationships/image" Target="media/image3.emf"/><Relationship Id="rId22" Type="http://schemas.openxmlformats.org/officeDocument/2006/relationships/header" Target="header7.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nn\AppData\Local\Hewlett-Packard\HP%20TRIM\TEMP\HPTRIM.4804\R12%20926607%20%20AusPAR%20-%20template.DOTX" TargetMode="External"/></Relationships>
</file>

<file path=word/theme/theme1.xml><?xml version="1.0" encoding="utf-8"?>
<a:theme xmlns:a="http://schemas.openxmlformats.org/drawingml/2006/main" name="TGA">
  <a:themeElements>
    <a:clrScheme name="TGA_Colours">
      <a:dk1>
        <a:sysClr val="windowText" lastClr="000000"/>
      </a:dk1>
      <a:lt1>
        <a:sysClr val="window" lastClr="FFFFFF"/>
      </a:lt1>
      <a:dk2>
        <a:srgbClr val="002C47"/>
      </a:dk2>
      <a:lt2>
        <a:srgbClr val="50555C"/>
      </a:lt2>
      <a:accent1>
        <a:srgbClr val="002C47"/>
      </a:accent1>
      <a:accent2>
        <a:srgbClr val="B3C960"/>
      </a:accent2>
      <a:accent3>
        <a:srgbClr val="006DA7"/>
      </a:accent3>
      <a:accent4>
        <a:srgbClr val="006664"/>
      </a:accent4>
      <a:accent5>
        <a:srgbClr val="4D2779"/>
      </a:accent5>
      <a:accent6>
        <a:srgbClr val="25451C"/>
      </a:accent6>
      <a:hlink>
        <a:srgbClr val="50555C"/>
      </a:hlink>
      <a:folHlink>
        <a:srgbClr val="365171"/>
      </a:folHlink>
    </a:clrScheme>
    <a:fontScheme name="TGA Fonts">
      <a:majorFont>
        <a:latin typeface="Arial"/>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F5058-C01D-4005-910C-080836EC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R12 926607  AusPAR - template</Template>
  <TotalTime>39</TotalTime>
  <Pages>50</Pages>
  <Words>21840</Words>
  <Characters>119685</Characters>
  <Application>Microsoft Office Word</Application>
  <DocSecurity>0</DocSecurity>
  <Lines>2216</Lines>
  <Paragraphs>827</Paragraphs>
  <ScaleCrop>false</ScaleCrop>
  <HeadingPairs>
    <vt:vector size="2" baseType="variant">
      <vt:variant>
        <vt:lpstr>Title</vt:lpstr>
      </vt:variant>
      <vt:variant>
        <vt:i4>1</vt:i4>
      </vt:variant>
    </vt:vector>
  </HeadingPairs>
  <TitlesOfParts>
    <vt:vector size="1" baseType="lpstr">
      <vt:lpstr>Australian public Assessment Report for Sevelamer hydrochloride</vt:lpstr>
    </vt:vector>
  </TitlesOfParts>
  <Company/>
  <LinksUpToDate>false</LinksUpToDate>
  <CharactersWithSpaces>140698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public Assessment Report for Sevelamer hydrochloride</dc:title>
  <dc:subject>Prescription medicines</dc:subject>
  <dc:creator>Therapeutic Goods Aministration</dc:creator>
  <cp:keywords>auspars</cp:keywords>
  <cp:lastModifiedBy>Lack, Janet</cp:lastModifiedBy>
  <cp:revision>4</cp:revision>
  <cp:lastPrinted>2010-12-20T22:59:00Z</cp:lastPrinted>
  <dcterms:created xsi:type="dcterms:W3CDTF">2015-11-09T02:36:00Z</dcterms:created>
  <dcterms:modified xsi:type="dcterms:W3CDTF">2015-11-09T22:27:00Z</dcterms:modified>
  <cp:category/>
</cp:coreProperties>
</file>