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color w:val="000000"/>
          <w:sz w:val="48"/>
        </w:rPr>
        <w:t>深度学习课程大模型平台项目汇报书</w:t>
      </w:r>
    </w:p>
    <w:p>
      <w:pPr>
        <w:spacing w:after="200"/>
        <w:jc w:val="center"/>
      </w:pPr>
      <w:r>
        <w:rPr>
          <w:rFonts w:ascii="仿宋_GB2312" w:hAnsi="仿宋_GB2312" w:eastAsia="仿宋_GB2312"/>
          <w:b/>
          <w:color w:val="000000"/>
          <w:sz w:val="26"/>
        </w:rPr>
        <w:t>面向课程建设完成情况的正式汇报材料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88"/>
        <w:gridCol w:w="6588"/>
      </w:tblGrid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项目要素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项目名称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深度学习课程大模型平台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材料属性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项目汇报书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建设对象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深度学习课程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编制日期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2026年05月05日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目录</w:t>
      </w:r>
    </w:p>
    <w:p>
      <w:r>
        <w:rPr>
          <w:rFonts w:ascii="仿宋_GB2312" w:hAnsi="仿宋_GB2312" w:eastAsia="仿宋_GB2312"/>
          <w:color w:val="000000"/>
          <w:sz w:val="22"/>
        </w:rP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Heading1"/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一、项目完成情况</w:t>
      </w:r>
    </w:p>
    <w:p>
      <w:pPr>
        <w:spacing w:line="360" w:lineRule="auto" w:after="12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本项目围绕深度学习课程建设任务，已完成课程资料整理、知识库构建、题库生成、学生问答、练习测评、学习报告和历史对话管理等功能建设，并形成可持续更新的课程知识服务平台。</w:t>
      </w:r>
    </w:p>
    <w:p>
      <w:pPr>
        <w:spacing w:line="360" w:lineRule="auto" w:after="12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平台建设的重点不在于展示单一模型能力，而在于将课程材料、课程知识组织、学生交互和学习反馈整合为一套完整的教学服务链路，使课程资源能够以统一方式进入、组织、发布和复用。</w:t>
      </w:r>
    </w:p>
    <w:p>
      <w:pPr>
        <w:spacing w:line="360" w:lineRule="auto" w:after="12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从现阶段完成结果看，平台已经具备课程知识资产沉淀、学生端服务提供、学习行为记录和教学反馈回流的基本条件，可作为课程大模型建设的实施基础。</w:t>
      </w:r>
    </w:p>
    <w:p>
      <w:pPr>
        <w:pStyle w:val="Heading1"/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二、平台建设结果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4392"/>
        <w:gridCol w:w="4392"/>
      </w:tblGrid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当前值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课程 PDF 文件数量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16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纳入平台的课程 PDF 资源总数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原始教学单元数量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1201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经分页、切块和整理后的教学单元数量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知识点数量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13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课程中已结构化整理出的知识点数量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题目数量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78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已生成并纳入学生端的题目数量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带图题数量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34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题干中结合讲义图像资源的题目数量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Dense 检索单元数量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1206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用于课程检索的向量化片段数量</w:t>
            </w:r>
          </w:p>
        </w:tc>
      </w:tr>
    </w:tbl>
    <w:p>
      <w:pPr>
        <w:spacing w:line="360" w:lineRule="auto" w:after="12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上述结果表明，平台已经完成从课程资料到知识资产、从知识资产到学生服务、从学生反馈到持续更新的基本闭环。相关数量仅用于说明建设规模，真正的重点在于课程知识组织方式和服务能力是否稳定、可用、可持续。</w:t>
      </w:r>
    </w:p>
    <w:p>
      <w:pPr>
        <w:pStyle w:val="Heading1"/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三、课程内容覆盖情况</w:t>
      </w:r>
    </w:p>
    <w:p>
      <w:pPr>
        <w:spacing w:line="360" w:lineRule="auto" w:after="12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当前平台覆盖深度学习课程的主要教学主线，知识点与课程讲义保持对应关系，能够支撑课程问答、练习测评和学习报告三个核心环节。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4392"/>
        <w:gridCol w:w="4392"/>
      </w:tblGrid>
      <w:t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知识点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对应周次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深度学习概述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理解深度学习的研究目标、发展背景、表示学习思想，以及其与传统机器学习方法的联系。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数学基础与机器学习基础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Week2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掌握深度学习所需的线性代数、概率统计、优化和监督学习基本概念。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神经元、感知器与反向传播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Week2、Week3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理解人工神经元、感知器、多层感知器以及反向传播算法的核心机制。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卷积神经网络基础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Week3、Week4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掌握卷积层、池化层、感受野、参数共享等 CNN 基本结构与核心思想。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典型卷积网络与视觉应用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Week4、Week5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了解 LeNet、AlexNet、VGG、ResNet 等典型 CNN 架构及其在视觉任务中的应用。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循环神经网络与LSTM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Week6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 RNN 的序列建模能力、梯度传播问题，以及 LSTM 等改进结构的作用。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注意力机制与Transformer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Week7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掌握注意力机制、自注意力、位置编码及 Transformer 编码器-解码器结构。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GPT、BERT与视觉Transformer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Week8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理解基于 Transformer 的预训练模型家族，包括 GPT、BERT 与 Swin Transformer 的差异。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GAN 对抗生成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Week8、Week9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理解生成器与判别器的对抗训练机制，以及条件 GAN、结构优化等扩展思路。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深度生成模型与扩散模型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Week10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掌握自编码器、RBM、DBN、Hopfield 网络及扩散模型等深度生成模型的核心思想。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正则化与优化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Week11、Week12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理解参数范数正则化、数据增强、提前终止、Dropout、归一化及优化方法对泛化的影响。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深度学习开发平台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Week13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熟悉 TensorFlow、PyTorch、Keras、PaddlePaddle 等开发平台及其特点。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决策树、随机森林与 DeepForest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Week11</w:t>
            </w:r>
          </w:p>
        </w:tc>
        <w:tc>
          <w:tcPr>
            <w:tcW w:type="dxa" w:w="46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理解树模型、随机森林与 DeepForest 的集成学习思想及其与深度网络的关系。</w:t>
            </w:r>
          </w:p>
        </w:tc>
      </w:tr>
    </w:tbl>
    <w:p>
      <w:pPr>
        <w:spacing w:line="360" w:lineRule="auto" w:after="12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课程内容覆盖关系在汇报书中仅作为课程组织依据展示，不作为功能说明的重点。平台的主要价值在于把课程知识组织成可持续服务的资产，而不是简单罗列课程章节。</w:t>
      </w:r>
    </w:p>
    <w:p>
      <w:pPr>
        <w:pStyle w:val="Heading1"/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四、教师侧建设内容</w:t>
      </w:r>
    </w:p>
    <w:p>
      <w:pPr>
        <w:spacing w:line="360" w:lineRule="auto" w:after="12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教师侧承担课程知识资产生产与维护职责，主要包括资料导入、内容整理、知识组织、题库生成、审核修订和持续更新等工作。教师侧在现阶段以后台流程方式完成，不以独立的前台入口作为主要呈现方式。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1、资料导入。教师将课程课件、教材章节、补充说明和参考材料统一纳入课程资源池，形成平台的原始知识输入。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2、内容整理。系统对导入材料进行抽取、清洗、切块和来源标注，保留页码、图像位置和段落边界等关键定位信息。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3、知识组织。平台按照课程教学主线提炼知识点、关键词和适用场景，形成可检索、可定位、可复用的课程知识骨架。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4、题库生成。平台围绕知识点生成选择题、图文题和定位题，并尽量将题目与讲义来源进行一一关联。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5、审核修订。教师对知识点、题目和来源定位进行抽检，修正偏题、错题和来源不准的问题。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6、持续更新。新增课件后重新运行知识库构建流程，保持课程资源与教学进度同步。</w:t>
      </w:r>
    </w:p>
    <w:p>
      <w:pPr>
        <w:pStyle w:val="Heading1"/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五、学生侧建设内容</w:t>
      </w:r>
    </w:p>
    <w:p>
      <w:pPr>
        <w:spacing w:line="360" w:lineRule="auto" w:after="12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学生侧是平台的直接使用界面，围绕课程问答、练习测评、学习报告和历史对话四类场景展开。学生无需关心后台构建过程，只需通过统一页面即可完成学习、练习和复盘。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1、课程问答。学生可围绕概念、模型、训练方法、公式含义、实现思路和课程案例直接提问，系统优先结合课程资料给出回答。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2、练习测评。学生可按知识点进入练习，完成选择题作答，查看答案、解析和来源定位，并据此回到原讲义复习。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3、学习报告。系统汇总学生的答题表现、覆盖情况和薄弱环节，形成后续复习建议。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4、历史对话。学生能够查看历史问答记录，延续同一主题的连续讨论，避免每次重新开始。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5、来源回看。学生在问答和练习中可以直接打开对应讲义页，减少“知道答案但找不到出处”的成本。</w:t>
      </w:r>
    </w:p>
    <w:p>
      <w:pPr>
        <w:pStyle w:val="Heading1"/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六、系统设计与运行机制</w:t>
      </w:r>
    </w:p>
    <w:p>
      <w:pPr>
        <w:spacing w:line="360" w:lineRule="auto" w:after="12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平台采用课程知识资产层、服务编排层、学生交互层和数据支撑层相结合的方式组织。整体设计的目标是让课程资料、问答、练习和学习报告在同一套课程知识体系下运行，而不是彼此割裂。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1、课程知识资产层负责保存课程 PDF、知识点、题库和讲义图像等资源。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2、服务编排层负责会话管理、检索调用、题目组织、来源定位和结果整合。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3、学生交互层负责呈现问答、练习、学习报告和历史对话页面。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4、数据支撑层负责保存用户信息、会话记录、答题记录、学习报告和任务状态。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5、运行机制强调课程优先、来源可追溯、会话可继承、数据可沉淀和流程可迭代。</w:t>
      </w:r>
    </w:p>
    <w:p>
      <w:pPr>
        <w:pStyle w:val="Heading1"/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七、平台界面展示</w:t>
      </w:r>
    </w:p>
    <w:p>
      <w:pPr>
        <w:spacing w:line="360" w:lineRule="auto" w:after="12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从界面层看，平台已经形成统一的学生端入口、问答主界面、历史对话列表和课程内容回看机制。界面展示重点是学生如何在同一页面内完成提问、追问、查看来源和延续学习，而不是单纯展示对话文本。</w:t>
      </w:r>
    </w:p>
    <w:p>
      <w:pPr>
        <w:pStyle w:val="Heading1"/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八、课程知识库与题库建设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1、知识库建设以课程讲义为中心，将文本、页码和图像资源组织成可检索片段。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2、题库建设以知识点为中心生成题目，确保题目与教学内容具有明确对应关系。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3、图文题采用讲义截图、公式图或结构图作为辅助信息，增强题目和课程材料之间的绑定程度。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4、题目解析不仅给出答案，还应说明对应知识点和讲义来源，便于学生回到原材料复习。</w:t>
      </w:r>
    </w:p>
    <w:p>
      <w:pPr>
        <w:spacing w:line="360" w:lineRule="auto" w:after="12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题库的作用不只是“出题”，而是将课程知识组织成可练习、可诊断、可回溯的学习单元，使学生在做题过程中能够回到讲义定位原理和例子。</w:t>
      </w:r>
    </w:p>
    <w:p>
      <w:pPr>
        <w:pStyle w:val="Heading1"/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九、学习报告与教学反馈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1、学习报告汇总学生近阶段答题结果，呈现知识点覆盖、正确率和薄弱环节。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2、系统根据答题记录形成优先复习建议，帮助学生快速回到关键讲义位置。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3、学习报告不只是统计页面，而是学习诊断页面，目标是把分散的作答记录转化为明确的复习方向。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4、教师可据此判断课程中哪些知识点需要补充说明，哪些题型需要进一步优化。</w:t>
      </w:r>
    </w:p>
    <w:p>
      <w:pPr>
        <w:pStyle w:val="Heading1"/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十、应用成效与后续工作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1、平台已将课程资料、知识点、题库、问答、学习报告和历史对话组织为统一系统，具备课程大模型平台的完整基础。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2、平台能够面向课程教学持续沉淀资源，并支持后续新增讲义、新增题目和新增学习分析功能。</w:t>
      </w:r>
    </w:p>
    <w:p>
      <w:pPr>
        <w:spacing w:line="324" w:lineRule="auto" w:after="80"/>
        <w:ind w:left="420" w:firstLine="0"/>
      </w:pPr>
      <w:r>
        <w:rPr>
          <w:rFonts w:ascii="仿宋_GB2312" w:hAnsi="仿宋_GB2312" w:eastAsia="仿宋_GB2312"/>
          <w:color w:val="000000"/>
          <w:sz w:val="24"/>
        </w:rPr>
        <w:t>3、后续工作重点包括教师侧管理界面完善、题库质量进一步提升、学习报告诊断精细化和多模态材料扩展。</w:t>
      </w:r>
    </w:p>
    <w:p>
      <w:pPr>
        <w:pStyle w:val="Heading1"/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十一、总结</w:t>
      </w:r>
    </w:p>
    <w:p>
      <w:pPr>
        <w:spacing w:line="360" w:lineRule="auto" w:after="12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本项目已完成深度学习课程知识服务平台的主体建设，形成课程资料沉淀、课程知识组织、学生端问答、练习测评、学习报告与历史对话相衔接的完整业务链路。平台的核心意义在于把课程材料转化为可持续使用的课程知识资产，并以此支撑教学服务与学习反馈的闭环。</w:t>
      </w:r>
    </w:p>
    <w:p>
      <w:pPr>
        <w:spacing w:line="360" w:lineRule="auto" w:after="12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从课程建设角度看，该平台不是单一页面或单次对话工具，而是可以继续扩展、持续迭代、并能服务后续课程建设与教学复用的基础性平台。</w:t>
      </w:r>
    </w:p>
    <w:p>
      <w:pPr>
        <w:sectPr>
          <w:pgSz w:w="15840" w:h="12240"/>
          <w:pgMar w:top="1304" w:right="1247" w:bottom="1191" w:left="1417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附录 A 课程材料统计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88"/>
        <w:gridCol w:w="6588"/>
      </w:tblGrid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周次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解析单元数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57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Week10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100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Week11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94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Week12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81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Week13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132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Week2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82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Week3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91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Week4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104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Week5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61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Week6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114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Week7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97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Week8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130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Week9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58</w:t>
            </w:r>
          </w:p>
        </w:tc>
      </w:tr>
    </w:tbl>
    <w:p>
      <w:pPr>
        <w:pStyle w:val="Heading1"/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附录 B 课程来源文件统计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88"/>
        <w:gridCol w:w="6588"/>
      </w:tblGrid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来源文件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解析单元数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0.1-DeepLearning-Introduction-C1.pdf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57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0.2-DeepLearning-Foundations-C2.pdf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82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0.2-DeepLearning-Foundations-C3.pdf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32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0.3-DeepLearing-CNN-C3.pdf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59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0.3-DeepLearing-CNN-C4.pdf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104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0.3-DeepLearing-CNN-C5.pdf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61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0.4-DeepLearing-RNN-C6.pdf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114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0.5-Transformer-C7.pdf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97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0.5-Transformer-C8.pdf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54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0.6-GAN-C8.pdf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76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0.6-GAN-C9.pdf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58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0.6-GenerativeModel-C10.pdf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100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0.7-RegularizationOptimization-C11.pdf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68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0.7-RegularizationOptimization-C12.pdf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81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0.8-DeepLearning-tools-C13_modified.pdf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132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DeepForest-C11.pdf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26</w:t>
            </w:r>
          </w:p>
        </w:tc>
      </w:tr>
    </w:tbl>
    <w:p>
      <w:pPr>
        <w:pStyle w:val="Heading1"/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附录 C 平台功能清单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4392"/>
        <w:gridCol w:w="4392"/>
      </w:tblGrid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主要作用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学生端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登录注册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完成身份认证并绑定个人学习记录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学生端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课程问答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围绕课程内容进行连续提问与追问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学生端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练习测评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按知识点完成选择题训练并查看解析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学生端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学习报告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查看学习表现、薄弱环节与复习建议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数据层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会话与作答记录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保存历史对话、答题过程和学习结果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知识层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课程知识库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保存课程知识点、题库和讲义来源映射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运行层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异步任务与队列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支撑并发访问和后台任务处理</w:t>
            </w:r>
          </w:p>
        </w:tc>
      </w:tr>
    </w:tbl>
    <w:p>
      <w:pPr>
        <w:pStyle w:val="Heading1"/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附录 D 图形文件说明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4392"/>
        <w:gridCol w:w="4392"/>
      </w:tblGrid>
      <w:t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图形名称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PNG 文件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SVG 文件</w:t>
            </w:r>
          </w:p>
        </w:tc>
      </w:tr>
      <w:t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教师侧内容生产流程图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教师侧内容生产流程图.png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教师侧内容生产流程图.svg</w:t>
            </w:r>
          </w:p>
        </w:tc>
      </w:tr>
      <w:t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学生端与平台服务架构图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学生端与平台服务架构图.png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学生端与平台服务架构图.svg</w:t>
            </w:r>
          </w:p>
        </w:tc>
      </w:tr>
    </w:tbl>
    <w:p>
      <w:pPr>
        <w:pStyle w:val="Heading1"/>
        <w:keepNext/>
        <w:spacing w:before="200" w:after="120"/>
      </w:pPr>
      <w:r>
        <w:rPr>
          <w:rFonts w:ascii="黑体" w:hAnsi="黑体" w:eastAsia="黑体"/>
          <w:b/>
          <w:color w:val="000000"/>
          <w:sz w:val="32"/>
        </w:rPr>
        <w:t>附录 E 平台界面截图</w:t>
      </w:r>
    </w:p>
    <w:sectPr w:rsidR="00FC693F" w:rsidRPr="0006063C" w:rsidSect="00034616">
      <w:pgSz w:w="15840" w:h="12240"/>
      <w:pgMar w:top="1304" w:right="124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