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color w:val="000000"/>
          <w:sz w:val="48"/>
        </w:rPr>
        <w:t>深度学习课程大模型平台项目汇报书</w:t>
      </w:r>
    </w:p>
    <w:p>
      <w:pPr>
        <w:jc w:val="center"/>
      </w:pPr>
      <w:r>
        <w:rPr>
          <w:rFonts w:ascii="仿宋_GB2312" w:hAnsi="仿宋_GB2312" w:eastAsia="仿宋_GB2312"/>
          <w:b/>
          <w:color w:val="000000"/>
          <w:sz w:val="26"/>
        </w:rPr>
        <w:t>项目建设完成情况汇报材料</w:t>
      </w:r>
    </w:p>
    <w:tbl>
      <w:tblPr>
        <w:tblStyle w:val="TableGrid"/>
        <w:tblW w:type="auto" w:w="0"/>
        <w:jc w:val="center"/>
        <w:tblLayout w:type="fixed"/>
        <w:tblLook w:firstColumn="1" w:firstRow="1" w:lastColumn="0" w:lastRow="0" w:noHBand="0" w:noVBand="1" w:val="04A0"/>
      </w:tblPr>
      <w:tblGrid>
        <w:gridCol w:w="4589"/>
        <w:gridCol w:w="4589"/>
      </w:tblGrid>
      <w:tr>
        <w:tc>
          <w:tcPr>
            <w:tcW w:type="dxa" w:w="2551"/>
            <w:vAlign w:val="center"/>
            <w:tcMar>
              <w:top w:w="70" w:type="dxa"/>
              <w:start w:w="80" w:type="dxa"/>
              <w:bottom w:w="70" w:type="dxa"/>
              <w:end w:w="80" w:type="dxa"/>
            </w:tcMar>
            <w:shd w:fill="F2F2F2"/>
          </w:tcPr>
          <w:p>
            <w:pPr>
              <w:jc w:val="center"/>
            </w:pPr>
            <w:r/>
            <w:r>
              <w:rPr>
                <w:rFonts w:ascii="宋体" w:hAnsi="宋体" w:eastAsia="宋体"/>
                <w:b/>
                <w:color w:val="000000"/>
                <w:sz w:val="21"/>
              </w:rPr>
              <w:t>项目要素</w:t>
            </w:r>
          </w:p>
        </w:tc>
        <w:tc>
          <w:tcPr>
            <w:tcW w:type="dxa" w:w="6350"/>
            <w:vAlign w:val="center"/>
            <w:tcMar>
              <w:top w:w="70" w:type="dxa"/>
              <w:start w:w="80" w:type="dxa"/>
              <w:bottom w:w="70" w:type="dxa"/>
              <w:end w:w="80" w:type="dxa"/>
            </w:tcMar>
            <w:shd w:fill="F2F2F2"/>
          </w:tcPr>
          <w:p>
            <w:pPr>
              <w:jc w:val="center"/>
            </w:pPr>
            <w:r/>
            <w:r>
              <w:rPr>
                <w:rFonts w:ascii="宋体" w:hAnsi="宋体" w:eastAsia="宋体"/>
                <w:b/>
                <w:color w:val="000000"/>
                <w:sz w:val="21"/>
              </w:rPr>
              <w:t>内容</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项目名称</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深度学习课程大模型平台</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材料属性</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项目汇报书</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建设对象</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编制日期</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2026年05月05日</w:t>
            </w:r>
          </w:p>
        </w:tc>
      </w:tr>
    </w:tbl>
    <w:p>
      <w:r>
        <w:br w:type="page"/>
      </w:r>
    </w:p>
    <w:p>
      <w:pPr>
        <w:pStyle w:val="Heading1"/>
        <w:spacing w:before="200" w:after="40"/>
      </w:pPr>
      <w:r>
        <w:rPr>
          <w:rFonts w:ascii="黑体" w:hAnsi="黑体" w:eastAsia="黑体"/>
          <w:b/>
          <w:color w:val="000000"/>
          <w:sz w:val="32"/>
        </w:rPr>
        <w:t>目录</w:t>
      </w:r>
    </w:p>
    <w:p>
      <w:pPr>
        <w:spacing w:line="560" w:lineRule="exact" w:after="0" w:before="0"/>
        <w:jc w:val="left"/>
      </w:pPr>
      <w:r>
        <w:rPr>
          <w:rFonts w:ascii="仿宋_GB2312" w:hAnsi="仿宋_GB2312" w:eastAsia="仿宋_GB2312"/>
          <w:b w:val="0"/>
          <w:color w:val="000000"/>
          <w:sz w:val="24"/>
        </w:rPr>
        <w:t>本目录按照正文结构编排，页码以正文排版结果为准。</w:t>
      </w:r>
    </w:p>
    <w:p>
      <w:pPr>
        <w:tabs>
          <w:tab w:pos="8787" w:val="right" w:leader="dot"/>
        </w:tabs>
        <w:spacing w:after="0"/>
      </w:pPr>
      <w:r>
        <w:rPr>
          <w:rFonts w:ascii="仿宋_GB2312" w:hAnsi="仿宋_GB2312" w:eastAsia="仿宋_GB2312"/>
          <w:b w:val="0"/>
          <w:color w:val="000000"/>
          <w:sz w:val="24"/>
        </w:rPr>
        <w:t>一、平台概述</w:t>
      </w:r>
      <w:r>
        <w:rPr>
          <w:rFonts w:ascii="仿宋_GB2312" w:hAnsi="仿宋_GB2312" w:eastAsia="仿宋_GB2312"/>
          <w:b w:val="0"/>
          <w:color w:val="000000"/>
          <w:sz w:val="24"/>
        </w:rPr>
        <w:tab/>
      </w:r>
      <w:r>
        <w:rPr>
          <w:rFonts w:ascii="仿宋_GB2312" w:hAnsi="仿宋_GB2312" w:eastAsia="仿宋_GB2312"/>
          <w:b w:val="0"/>
          <w:color w:val="000000"/>
          <w:sz w:val="24"/>
        </w:rPr>
        <w:t>3</w:t>
      </w:r>
    </w:p>
    <w:p>
      <w:pPr>
        <w:tabs>
          <w:tab w:pos="8787" w:val="right" w:leader="dot"/>
        </w:tabs>
        <w:spacing w:after="0"/>
      </w:pPr>
      <w:r>
        <w:rPr>
          <w:rFonts w:ascii="仿宋_GB2312" w:hAnsi="仿宋_GB2312" w:eastAsia="仿宋_GB2312"/>
          <w:b w:val="0"/>
          <w:color w:val="000000"/>
          <w:sz w:val="24"/>
        </w:rPr>
        <w:t>二、平台功能介绍与展示</w:t>
      </w:r>
      <w:r>
        <w:rPr>
          <w:rFonts w:ascii="仿宋_GB2312" w:hAnsi="仿宋_GB2312" w:eastAsia="仿宋_GB2312"/>
          <w:b w:val="0"/>
          <w:color w:val="000000"/>
          <w:sz w:val="24"/>
        </w:rPr>
        <w:tab/>
      </w:r>
      <w:r>
        <w:rPr>
          <w:rFonts w:ascii="仿宋_GB2312" w:hAnsi="仿宋_GB2312" w:eastAsia="仿宋_GB2312"/>
          <w:b w:val="0"/>
          <w:color w:val="000000"/>
          <w:sz w:val="24"/>
        </w:rPr>
        <w:t>4</w:t>
      </w:r>
    </w:p>
    <w:p>
      <w:pPr>
        <w:tabs>
          <w:tab w:pos="8787" w:val="right" w:leader="dot"/>
        </w:tabs>
        <w:spacing w:after="0"/>
      </w:pPr>
      <w:r>
        <w:rPr>
          <w:rFonts w:ascii="仿宋_GB2312" w:hAnsi="仿宋_GB2312" w:eastAsia="仿宋_GB2312"/>
          <w:b w:val="0"/>
          <w:color w:val="000000"/>
          <w:sz w:val="24"/>
        </w:rPr>
        <w:t>三、项目完成情况</w:t>
      </w:r>
      <w:r>
        <w:rPr>
          <w:rFonts w:ascii="仿宋_GB2312" w:hAnsi="仿宋_GB2312" w:eastAsia="仿宋_GB2312"/>
          <w:b w:val="0"/>
          <w:color w:val="000000"/>
          <w:sz w:val="24"/>
        </w:rPr>
        <w:tab/>
      </w:r>
      <w:r>
        <w:rPr>
          <w:rFonts w:ascii="仿宋_GB2312" w:hAnsi="仿宋_GB2312" w:eastAsia="仿宋_GB2312"/>
          <w:b w:val="0"/>
          <w:color w:val="000000"/>
          <w:sz w:val="24"/>
        </w:rPr>
        <w:t>6</w:t>
      </w:r>
    </w:p>
    <w:p>
      <w:pPr>
        <w:tabs>
          <w:tab w:pos="8787" w:val="right" w:leader="dot"/>
        </w:tabs>
        <w:spacing w:after="0"/>
      </w:pPr>
      <w:r>
        <w:rPr>
          <w:rFonts w:ascii="仿宋_GB2312" w:hAnsi="仿宋_GB2312" w:eastAsia="仿宋_GB2312"/>
          <w:b w:val="0"/>
          <w:color w:val="000000"/>
          <w:sz w:val="24"/>
        </w:rPr>
        <w:t>四、运行情况与总体成效</w:t>
      </w:r>
      <w:r>
        <w:rPr>
          <w:rFonts w:ascii="仿宋_GB2312" w:hAnsi="仿宋_GB2312" w:eastAsia="仿宋_GB2312"/>
          <w:b w:val="0"/>
          <w:color w:val="000000"/>
          <w:sz w:val="24"/>
        </w:rPr>
        <w:tab/>
      </w:r>
      <w:r>
        <w:rPr>
          <w:rFonts w:ascii="仿宋_GB2312" w:hAnsi="仿宋_GB2312" w:eastAsia="仿宋_GB2312"/>
          <w:b w:val="0"/>
          <w:color w:val="000000"/>
          <w:sz w:val="24"/>
        </w:rPr>
        <w:t>7</w:t>
      </w:r>
    </w:p>
    <w:p>
      <w:pPr>
        <w:tabs>
          <w:tab w:pos="8787" w:val="right" w:leader="dot"/>
        </w:tabs>
        <w:spacing w:after="0"/>
      </w:pPr>
      <w:r>
        <w:rPr>
          <w:rFonts w:ascii="仿宋_GB2312" w:hAnsi="仿宋_GB2312" w:eastAsia="仿宋_GB2312"/>
          <w:b w:val="0"/>
          <w:color w:val="000000"/>
          <w:sz w:val="24"/>
        </w:rPr>
        <w:t>五、课程知识组织情况</w:t>
      </w:r>
      <w:r>
        <w:rPr>
          <w:rFonts w:ascii="仿宋_GB2312" w:hAnsi="仿宋_GB2312" w:eastAsia="仿宋_GB2312"/>
          <w:b w:val="0"/>
          <w:color w:val="000000"/>
          <w:sz w:val="24"/>
        </w:rPr>
        <w:tab/>
      </w:r>
      <w:r>
        <w:rPr>
          <w:rFonts w:ascii="仿宋_GB2312" w:hAnsi="仿宋_GB2312" w:eastAsia="仿宋_GB2312"/>
          <w:b w:val="0"/>
          <w:color w:val="000000"/>
          <w:sz w:val="24"/>
        </w:rPr>
        <w:t>8</w:t>
      </w:r>
    </w:p>
    <w:p>
      <w:pPr>
        <w:tabs>
          <w:tab w:pos="8787" w:val="right" w:leader="dot"/>
        </w:tabs>
        <w:spacing w:after="0"/>
      </w:pPr>
      <w:r>
        <w:rPr>
          <w:rFonts w:ascii="仿宋_GB2312" w:hAnsi="仿宋_GB2312" w:eastAsia="仿宋_GB2312"/>
          <w:b w:val="0"/>
          <w:color w:val="000000"/>
          <w:sz w:val="24"/>
        </w:rPr>
        <w:t>六、教师侧建设内容</w:t>
      </w:r>
      <w:r>
        <w:rPr>
          <w:rFonts w:ascii="仿宋_GB2312" w:hAnsi="仿宋_GB2312" w:eastAsia="仿宋_GB2312"/>
          <w:b w:val="0"/>
          <w:color w:val="000000"/>
          <w:sz w:val="24"/>
        </w:rPr>
        <w:tab/>
      </w:r>
      <w:r>
        <w:rPr>
          <w:rFonts w:ascii="仿宋_GB2312" w:hAnsi="仿宋_GB2312" w:eastAsia="仿宋_GB2312"/>
          <w:b w:val="0"/>
          <w:color w:val="000000"/>
          <w:sz w:val="24"/>
        </w:rPr>
        <w:t>9</w:t>
      </w:r>
    </w:p>
    <w:p>
      <w:pPr>
        <w:tabs>
          <w:tab w:pos="8787" w:val="right" w:leader="dot"/>
        </w:tabs>
        <w:spacing w:after="0"/>
      </w:pPr>
      <w:r>
        <w:rPr>
          <w:rFonts w:ascii="仿宋_GB2312" w:hAnsi="仿宋_GB2312" w:eastAsia="仿宋_GB2312"/>
          <w:b w:val="0"/>
          <w:color w:val="000000"/>
          <w:sz w:val="24"/>
        </w:rPr>
        <w:t>七、学生侧建设内容</w:t>
      </w:r>
      <w:r>
        <w:rPr>
          <w:rFonts w:ascii="仿宋_GB2312" w:hAnsi="仿宋_GB2312" w:eastAsia="仿宋_GB2312"/>
          <w:b w:val="0"/>
          <w:color w:val="000000"/>
          <w:sz w:val="24"/>
        </w:rPr>
        <w:tab/>
      </w:r>
      <w:r>
        <w:rPr>
          <w:rFonts w:ascii="仿宋_GB2312" w:hAnsi="仿宋_GB2312" w:eastAsia="仿宋_GB2312"/>
          <w:b w:val="0"/>
          <w:color w:val="000000"/>
          <w:sz w:val="24"/>
        </w:rPr>
        <w:t>10</w:t>
      </w:r>
    </w:p>
    <w:p>
      <w:pPr>
        <w:tabs>
          <w:tab w:pos="8787" w:val="right" w:leader="dot"/>
        </w:tabs>
        <w:spacing w:after="0"/>
      </w:pPr>
      <w:r>
        <w:rPr>
          <w:rFonts w:ascii="仿宋_GB2312" w:hAnsi="仿宋_GB2312" w:eastAsia="仿宋_GB2312"/>
          <w:b w:val="0"/>
          <w:color w:val="000000"/>
          <w:sz w:val="24"/>
        </w:rPr>
        <w:t>八、系统设计与运行机制</w:t>
      </w:r>
      <w:r>
        <w:rPr>
          <w:rFonts w:ascii="仿宋_GB2312" w:hAnsi="仿宋_GB2312" w:eastAsia="仿宋_GB2312"/>
          <w:b w:val="0"/>
          <w:color w:val="000000"/>
          <w:sz w:val="24"/>
        </w:rPr>
        <w:tab/>
      </w:r>
      <w:r>
        <w:rPr>
          <w:rFonts w:ascii="仿宋_GB2312" w:hAnsi="仿宋_GB2312" w:eastAsia="仿宋_GB2312"/>
          <w:b w:val="0"/>
          <w:color w:val="000000"/>
          <w:sz w:val="24"/>
        </w:rPr>
        <w:t>11</w:t>
      </w:r>
    </w:p>
    <w:p>
      <w:pPr>
        <w:tabs>
          <w:tab w:pos="8787" w:val="right" w:leader="dot"/>
        </w:tabs>
        <w:spacing w:after="0"/>
      </w:pPr>
      <w:r>
        <w:rPr>
          <w:rFonts w:ascii="仿宋_GB2312" w:hAnsi="仿宋_GB2312" w:eastAsia="仿宋_GB2312"/>
          <w:b w:val="0"/>
          <w:color w:val="000000"/>
          <w:sz w:val="24"/>
        </w:rPr>
        <w:t>九、学习报告与教学反馈</w:t>
      </w:r>
      <w:r>
        <w:rPr>
          <w:rFonts w:ascii="仿宋_GB2312" w:hAnsi="仿宋_GB2312" w:eastAsia="仿宋_GB2312"/>
          <w:b w:val="0"/>
          <w:color w:val="000000"/>
          <w:sz w:val="24"/>
        </w:rPr>
        <w:tab/>
      </w:r>
      <w:r>
        <w:rPr>
          <w:rFonts w:ascii="仿宋_GB2312" w:hAnsi="仿宋_GB2312" w:eastAsia="仿宋_GB2312"/>
          <w:b w:val="0"/>
          <w:color w:val="000000"/>
          <w:sz w:val="24"/>
        </w:rPr>
        <w:t>12</w:t>
      </w:r>
    </w:p>
    <w:p>
      <w:pPr>
        <w:tabs>
          <w:tab w:pos="8787" w:val="right" w:leader="dot"/>
        </w:tabs>
        <w:spacing w:after="0"/>
      </w:pPr>
      <w:r>
        <w:rPr>
          <w:rFonts w:ascii="仿宋_GB2312" w:hAnsi="仿宋_GB2312" w:eastAsia="仿宋_GB2312"/>
          <w:b w:val="0"/>
          <w:color w:val="000000"/>
          <w:sz w:val="24"/>
        </w:rPr>
        <w:t>十、总结</w:t>
      </w:r>
      <w:r>
        <w:rPr>
          <w:rFonts w:ascii="仿宋_GB2312" w:hAnsi="仿宋_GB2312" w:eastAsia="仿宋_GB2312"/>
          <w:b w:val="0"/>
          <w:color w:val="000000"/>
          <w:sz w:val="24"/>
        </w:rPr>
        <w:tab/>
      </w:r>
      <w:r>
        <w:rPr>
          <w:rFonts w:ascii="仿宋_GB2312" w:hAnsi="仿宋_GB2312" w:eastAsia="仿宋_GB2312"/>
          <w:b w:val="0"/>
          <w:color w:val="000000"/>
          <w:sz w:val="24"/>
        </w:rPr>
        <w:t>13</w:t>
      </w:r>
    </w:p>
    <w:p>
      <w:pPr>
        <w:tabs>
          <w:tab w:pos="8787" w:val="right" w:leader="dot"/>
        </w:tabs>
        <w:spacing w:after="0"/>
      </w:pPr>
      <w:r>
        <w:rPr>
          <w:rFonts w:ascii="仿宋_GB2312" w:hAnsi="仿宋_GB2312" w:eastAsia="仿宋_GB2312"/>
          <w:b w:val="0"/>
          <w:color w:val="000000"/>
          <w:sz w:val="24"/>
        </w:rPr>
        <w:t>附录 A 课程材料统计</w:t>
      </w:r>
      <w:r>
        <w:rPr>
          <w:rFonts w:ascii="仿宋_GB2312" w:hAnsi="仿宋_GB2312" w:eastAsia="仿宋_GB2312"/>
          <w:b w:val="0"/>
          <w:color w:val="000000"/>
          <w:sz w:val="24"/>
        </w:rPr>
        <w:tab/>
      </w:r>
      <w:r>
        <w:rPr>
          <w:rFonts w:ascii="仿宋_GB2312" w:hAnsi="仿宋_GB2312" w:eastAsia="仿宋_GB2312"/>
          <w:b w:val="0"/>
          <w:color w:val="000000"/>
          <w:sz w:val="24"/>
        </w:rPr>
        <w:t>14</w:t>
      </w:r>
    </w:p>
    <w:p>
      <w:pPr>
        <w:tabs>
          <w:tab w:pos="8787" w:val="right" w:leader="dot"/>
        </w:tabs>
        <w:spacing w:after="0"/>
      </w:pPr>
      <w:r>
        <w:rPr>
          <w:rFonts w:ascii="仿宋_GB2312" w:hAnsi="仿宋_GB2312" w:eastAsia="仿宋_GB2312"/>
          <w:b w:val="0"/>
          <w:color w:val="000000"/>
          <w:sz w:val="24"/>
        </w:rPr>
        <w:t>附录 B 课程来源文件统计</w:t>
      </w:r>
      <w:r>
        <w:rPr>
          <w:rFonts w:ascii="仿宋_GB2312" w:hAnsi="仿宋_GB2312" w:eastAsia="仿宋_GB2312"/>
          <w:b w:val="0"/>
          <w:color w:val="000000"/>
          <w:sz w:val="24"/>
        </w:rPr>
        <w:tab/>
      </w:r>
      <w:r>
        <w:rPr>
          <w:rFonts w:ascii="仿宋_GB2312" w:hAnsi="仿宋_GB2312" w:eastAsia="仿宋_GB2312"/>
          <w:b w:val="0"/>
          <w:color w:val="000000"/>
          <w:sz w:val="24"/>
        </w:rPr>
        <w:t>15</w:t>
      </w:r>
    </w:p>
    <w:p>
      <w:pPr>
        <w:tabs>
          <w:tab w:pos="8787" w:val="right" w:leader="dot"/>
        </w:tabs>
        <w:spacing w:after="0"/>
      </w:pPr>
      <w:r>
        <w:rPr>
          <w:rFonts w:ascii="仿宋_GB2312" w:hAnsi="仿宋_GB2312" w:eastAsia="仿宋_GB2312"/>
          <w:b w:val="0"/>
          <w:color w:val="000000"/>
          <w:sz w:val="24"/>
        </w:rPr>
        <w:t>附录 C 平台功能清单</w:t>
      </w:r>
      <w:r>
        <w:rPr>
          <w:rFonts w:ascii="仿宋_GB2312" w:hAnsi="仿宋_GB2312" w:eastAsia="仿宋_GB2312"/>
          <w:b w:val="0"/>
          <w:color w:val="000000"/>
          <w:sz w:val="24"/>
        </w:rPr>
        <w:tab/>
      </w:r>
      <w:r>
        <w:rPr>
          <w:rFonts w:ascii="仿宋_GB2312" w:hAnsi="仿宋_GB2312" w:eastAsia="仿宋_GB2312"/>
          <w:b w:val="0"/>
          <w:color w:val="000000"/>
          <w:sz w:val="24"/>
        </w:rPr>
        <w:t>16</w:t>
      </w:r>
    </w:p>
    <w:p>
      <w:pPr>
        <w:tabs>
          <w:tab w:pos="8787" w:val="right" w:leader="dot"/>
        </w:tabs>
        <w:spacing w:after="0"/>
      </w:pPr>
      <w:r>
        <w:rPr>
          <w:rFonts w:ascii="仿宋_GB2312" w:hAnsi="仿宋_GB2312" w:eastAsia="仿宋_GB2312"/>
          <w:b w:val="0"/>
          <w:color w:val="000000"/>
          <w:sz w:val="24"/>
        </w:rPr>
        <w:t>附录 D 平台界面截图</w:t>
      </w:r>
      <w:r>
        <w:rPr>
          <w:rFonts w:ascii="仿宋_GB2312" w:hAnsi="仿宋_GB2312" w:eastAsia="仿宋_GB2312"/>
          <w:b w:val="0"/>
          <w:color w:val="000000"/>
          <w:sz w:val="24"/>
        </w:rPr>
        <w:tab/>
      </w:r>
      <w:r>
        <w:rPr>
          <w:rFonts w:ascii="仿宋_GB2312" w:hAnsi="仿宋_GB2312" w:eastAsia="仿宋_GB2312"/>
          <w:b w:val="0"/>
          <w:color w:val="000000"/>
          <w:sz w:val="24"/>
        </w:rPr>
        <w:t>17</w:t>
      </w:r>
    </w:p>
    <w:p>
      <w:r>
        <w:br w:type="page"/>
      </w:r>
    </w:p>
    <w:p>
      <w:pPr>
        <w:pStyle w:val="Heading1"/>
        <w:spacing w:before="200" w:after="40"/>
      </w:pPr>
      <w:r>
        <w:rPr>
          <w:rFonts w:ascii="黑体" w:hAnsi="黑体" w:eastAsia="黑体"/>
          <w:b/>
          <w:color w:val="000000"/>
          <w:sz w:val="32"/>
        </w:rPr>
        <w:t>一、平台概述</w:t>
      </w:r>
    </w:p>
    <w:p>
      <w:pPr>
        <w:spacing w:line="560" w:lineRule="exact" w:after="0" w:before="0"/>
        <w:ind w:firstLine="420"/>
        <w:jc w:val="both"/>
      </w:pPr>
      <w:r>
        <w:rPr>
          <w:rFonts w:ascii="仿宋_GB2312" w:hAnsi="仿宋_GB2312" w:eastAsia="仿宋_GB2312"/>
          <w:b w:val="0"/>
          <w:color w:val="000000"/>
          <w:sz w:val="24"/>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pPr>
        <w:spacing w:line="560" w:lineRule="exact" w:after="0" w:before="0"/>
        <w:ind w:firstLine="420"/>
        <w:jc w:val="both"/>
      </w:pPr>
      <w:r>
        <w:rPr>
          <w:rFonts w:ascii="仿宋_GB2312" w:hAnsi="仿宋_GB2312" w:eastAsia="仿宋_GB2312"/>
          <w:b w:val="0"/>
          <w:color w:val="000000"/>
          <w:sz w:val="24"/>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pPr>
        <w:pStyle w:val="Heading1"/>
        <w:spacing w:before="200" w:after="40"/>
      </w:pPr>
      <w:r>
        <w:rPr>
          <w:rFonts w:ascii="黑体" w:hAnsi="黑体" w:eastAsia="黑体"/>
          <w:b/>
          <w:color w:val="000000"/>
          <w:sz w:val="32"/>
        </w:rPr>
        <w:t>二、平台功能介绍与展示</w:t>
      </w:r>
    </w:p>
    <w:p>
      <w:pPr>
        <w:spacing w:line="560" w:lineRule="exact" w:after="0" w:before="0"/>
        <w:ind w:firstLine="420"/>
        <w:jc w:val="both"/>
      </w:pPr>
      <w:r>
        <w:rPr>
          <w:rFonts w:ascii="仿宋_GB2312" w:hAnsi="仿宋_GB2312" w:eastAsia="仿宋_GB2312"/>
          <w:b w:val="0"/>
          <w:color w:val="000000"/>
          <w:sz w:val="24"/>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p>
    <w:p>
      <w:pPr>
        <w:spacing w:line="560" w:lineRule="exact" w:after="0"/>
      </w:pPr>
      <w:r>
        <w:rPr>
          <w:rFonts w:ascii="仿宋_GB2312" w:hAnsi="仿宋_GB2312" w:eastAsia="仿宋_GB2312"/>
          <w:b w:val="0"/>
          <w:color w:val="000000"/>
          <w:sz w:val="24"/>
        </w:rPr>
        <w:t>1、课程问答。围绕课程概念、模型、训练方法和案例内容进行问答交互，帮助学生理解课程知识。</w:t>
      </w:r>
    </w:p>
    <w:p>
      <w:pPr>
        <w:spacing w:line="560" w:lineRule="exact" w:after="0"/>
      </w:pPr>
      <w:r>
        <w:rPr>
          <w:rFonts w:ascii="仿宋_GB2312" w:hAnsi="仿宋_GB2312" w:eastAsia="仿宋_GB2312"/>
          <w:b w:val="0"/>
          <w:color w:val="000000"/>
          <w:sz w:val="24"/>
        </w:rPr>
        <w:t>2、练习测评。围绕课程知识点组织练习题目，支持学生进行阶段性训练和答案核对。</w:t>
      </w:r>
    </w:p>
    <w:p>
      <w:pPr>
        <w:spacing w:line="560" w:lineRule="exact" w:after="0"/>
      </w:pPr>
      <w:r>
        <w:rPr>
          <w:rFonts w:ascii="仿宋_GB2312" w:hAnsi="仿宋_GB2312" w:eastAsia="仿宋_GB2312"/>
          <w:b w:val="0"/>
          <w:color w:val="000000"/>
          <w:sz w:val="24"/>
        </w:rPr>
        <w:t>3、学习报告。根据学生练习和作答情况形成反馈内容，提示优先复习方向。</w:t>
      </w:r>
    </w:p>
    <w:p>
      <w:pPr>
        <w:spacing w:line="560" w:lineRule="exact" w:after="0"/>
      </w:pPr>
      <w:r>
        <w:rPr>
          <w:rFonts w:ascii="仿宋_GB2312" w:hAnsi="仿宋_GB2312" w:eastAsia="仿宋_GB2312"/>
          <w:b w:val="0"/>
          <w:color w:val="000000"/>
          <w:sz w:val="24"/>
        </w:rPr>
        <w:t>4、历史对话。保存学生既有问答记录，支持延续式学习与回看。</w:t>
      </w:r>
    </w:p>
    <w:p>
      <w:pPr>
        <w:spacing w:line="560" w:lineRule="exact" w:after="0"/>
      </w:pPr>
      <w:r>
        <w:rPr>
          <w:rFonts w:ascii="仿宋_GB2312" w:hAnsi="仿宋_GB2312" w:eastAsia="仿宋_GB2312"/>
          <w:b w:val="0"/>
          <w:color w:val="000000"/>
          <w:sz w:val="24"/>
        </w:rPr>
        <w:t>5、来源回看。将问答与练习内容回连到课程材料相应位置，便于学生定位原始内容。</w:t>
      </w:r>
    </w:p>
    <w:p>
      <w:pPr>
        <w:jc w:val="center"/>
      </w:pPr>
      <w:r>
        <w:drawing>
          <wp:inline xmlns:a="http://schemas.openxmlformats.org/drawingml/2006/main" xmlns:pic="http://schemas.openxmlformats.org/drawingml/2006/picture">
            <wp:extent cx="5669280" cy="4330700"/>
            <wp:docPr id="1" name="Picture 1"/>
            <wp:cNvGraphicFramePr>
              <a:graphicFrameLocks noChangeAspect="1"/>
            </wp:cNvGraphicFramePr>
            <a:graphic>
              <a:graphicData uri="http://schemas.openxmlformats.org/drawingml/2006/picture">
                <pic:pic>
                  <pic:nvPicPr>
                    <pic:cNvPr id="0" name="busycap07_clean_busy.png"/>
                    <pic:cNvPicPr/>
                  </pic:nvPicPr>
                  <pic:blipFill>
                    <a:blip r:embed="rId9"/>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1 平台问答界面（合并展示）</w:t>
      </w:r>
    </w:p>
    <w:p>
      <w:pPr>
        <w:spacing w:line="560" w:lineRule="exact" w:before="0" w:after="0"/>
        <w:ind w:firstLine="420"/>
        <w:jc w:val="both"/>
      </w:pPr>
      <w:r>
        <w:rPr>
          <w:rFonts w:ascii="仿宋_GB2312" w:hAnsi="仿宋_GB2312" w:eastAsia="仿宋_GB2312"/>
          <w:b w:val="0"/>
          <w:color w:val="000000"/>
          <w:sz w:val="24"/>
        </w:rPr>
        <w:t>图1展示了平台问答功能的主要使用界面。界面左侧集中呈现功能入口与历史对话，右侧为课程问答交互区域，学生可围绕课程概念、模型方法和案例内容开展连续提问，并结合来源回看功能进一步定位相关课程材料。</w:t>
      </w:r>
    </w:p>
    <w:p>
      <w:pPr>
        <w:jc w:val="center"/>
      </w:pPr>
      <w:r>
        <w:rPr>
          <w:rFonts w:ascii="宋体" w:hAnsi="宋体" w:eastAsia="宋体"/>
          <w:b/>
          <w:color w:val="000000"/>
          <w:sz w:val="21"/>
        </w:rPr>
        <w:t>图 2 知识点练习界面</w:t>
      </w:r>
    </w:p>
    <w:p>
      <w:pPr>
        <w:spacing w:line="560" w:lineRule="exact" w:after="0" w:before="0"/>
        <w:ind w:firstLine="420"/>
        <w:jc w:val="both"/>
      </w:pPr>
      <w:r>
        <w:rPr>
          <w:rFonts w:ascii="仿宋_GB2312" w:hAnsi="仿宋_GB2312" w:eastAsia="仿宋_GB2312"/>
          <w:b w:val="0"/>
          <w:color w:val="000000"/>
          <w:sz w:val="24"/>
        </w:rPr>
        <w:t>图2展示了知识点练习界面。系统按照课程知识点组织选择题练习，并同步提供题干、选项、答案解析和来源定位信息，便于学生在完成作答后及时核对理解情况，进而围绕薄弱知识点开展针对性复习。</w:t>
      </w:r>
    </w:p>
    <w:p>
      <w:pPr>
        <w:jc w:val="center"/>
      </w:pPr>
      <w:r>
        <w:drawing>
          <wp:inline xmlns:a="http://schemas.openxmlformats.org/drawingml/2006/main" xmlns:pic="http://schemas.openxmlformats.org/drawingml/2006/picture">
            <wp:extent cx="5669280" cy="3527552"/>
            <wp:docPr id="3" name="Picture 3"/>
            <wp:cNvGraphicFramePr>
              <a:graphicFrameLocks noChangeAspect="1"/>
            </wp:cNvGraphicFramePr>
            <a:graphic>
              <a:graphicData uri="http://schemas.openxmlformats.org/drawingml/2006/picture">
                <pic:pic>
                  <pic:nvPicPr>
                    <pic:cNvPr id="0" name="学生端与平台服务架构图.png"/>
                    <pic:cNvPicPr/>
                  </pic:nvPicPr>
                  <pic:blipFill>
                    <a:blip r:embed="rId11"/>
                    <a:stretch>
                      <a:fillRect/>
                    </a:stretch>
                  </pic:blipFill>
                  <pic:spPr>
                    <a:xfrm>
                      <a:off x="0" y="0"/>
                      <a:ext cx="5669280" cy="3527552"/>
                    </a:xfrm>
                    <a:prstGeom prst="rect"/>
                  </pic:spPr>
                </pic:pic>
              </a:graphicData>
            </a:graphic>
          </wp:inline>
        </w:drawing>
      </w:r>
    </w:p>
    <w:p>
      <w:pPr>
        <w:jc w:val="center"/>
      </w:pPr>
      <w:r>
        <w:rPr>
          <w:rFonts w:ascii="宋体" w:hAnsi="宋体" w:eastAsia="宋体"/>
          <w:b/>
          <w:color w:val="000000"/>
          <w:sz w:val="21"/>
        </w:rPr>
        <w:t>图 3 学习报告界面</w:t>
      </w:r>
    </w:p>
    <w:p>
      <w:pPr>
        <w:spacing w:line="560" w:lineRule="exact" w:before="0" w:after="0"/>
        <w:ind w:firstLine="420"/>
        <w:jc w:val="both"/>
      </w:pPr>
      <w:r>
        <w:rPr>
          <w:rFonts w:ascii="仿宋_GB2312" w:hAnsi="仿宋_GB2312" w:eastAsia="仿宋_GB2312"/>
          <w:b w:val="0"/>
          <w:color w:val="000000"/>
          <w:sz w:val="24"/>
        </w:rPr>
        <w:t>图3展示了学习报告界面。系统基于学生作答情况汇总学习表现，识别需要优先复习的知识点，并给出后续练习与材料回看建议，以支持学生形成阶段性的复习安排。</w:t>
      </w:r>
    </w:p>
    <w:p>
      <w:pPr>
        <w:jc w:val="center"/>
      </w:pPr>
      <w:r>
        <w:rPr>
          <w:rFonts w:ascii="宋体" w:hAnsi="宋体" w:eastAsia="宋体"/>
          <w:b/>
          <w:color w:val="000000"/>
          <w:sz w:val="21"/>
        </w:rPr>
        <w:t>图 4 平台整体架构与内容生产流程</w:t>
      </w:r>
    </w:p>
    <w:p>
      <w:pPr>
        <w:spacing w:line="560" w:lineRule="exact" w:before="0" w:after="0"/>
        <w:ind w:firstLine="420"/>
        <w:jc w:val="both"/>
      </w:pPr>
      <w:r>
        <w:rPr>
          <w:rFonts w:ascii="仿宋_GB2312" w:hAnsi="仿宋_GB2312" w:eastAsia="仿宋_GB2312"/>
          <w:b w:val="0"/>
          <w:color w:val="000000"/>
          <w:sz w:val="24"/>
        </w:rPr>
        <w:t>图4展示了平台整体架构与内容生产流程。教师侧通过课程资料整理、知识点组织和题库形成完成内容生产，学生侧通过问答、练习和学习报告等功能开展学习使用，平台后台则负责知识组织、记录保存和服务联动。</w:t>
      </w:r>
    </w:p>
    <w:p>
      <w:pPr>
        <w:pStyle w:val="Heading1"/>
        <w:spacing w:before="200" w:after="40"/>
      </w:pPr>
      <w:r>
        <w:rPr>
          <w:rFonts w:ascii="黑体" w:hAnsi="黑体" w:eastAsia="黑体"/>
          <w:b/>
          <w:color w:val="000000"/>
          <w:sz w:val="32"/>
        </w:rPr>
        <w:t>三、项目完成情况</w:t>
      </w:r>
    </w:p>
    <w:p>
      <w:pPr>
        <w:spacing w:line="560" w:lineRule="exact" w:after="0" w:before="0"/>
        <w:ind w:firstLine="420"/>
        <w:jc w:val="both"/>
      </w:pPr>
      <w:r>
        <w:rPr>
          <w:rFonts w:ascii="仿宋_GB2312" w:hAnsi="仿宋_GB2312" w:eastAsia="仿宋_GB2312"/>
          <w:b w:val="0"/>
          <w:color w:val="000000"/>
          <w:sz w:val="24"/>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pPr>
        <w:spacing w:line="560" w:lineRule="exact" w:after="0" w:before="0"/>
        <w:ind w:firstLine="420"/>
        <w:jc w:val="both"/>
      </w:pPr>
      <w:r>
        <w:rPr>
          <w:rFonts w:ascii="仿宋_GB2312" w:hAnsi="仿宋_GB2312" w:eastAsia="仿宋_GB2312"/>
          <w:b w:val="0"/>
          <w:color w:val="000000"/>
          <w:sz w:val="24"/>
        </w:rPr>
        <w:t>项目完成后，课程资料已实现统一归集，课程知识已实现结构化组织，学生侧已形成问答、练习和学习反馈三类核心服务，平台运行已具备持续更新、持续使用和持续扩展的基本条件。</w:t>
      </w:r>
    </w:p>
    <w:p>
      <w:pPr>
        <w:pStyle w:val="Heading1"/>
        <w:spacing w:before="200" w:after="40"/>
      </w:pPr>
      <w:r>
        <w:rPr>
          <w:rFonts w:ascii="黑体" w:hAnsi="黑体" w:eastAsia="黑体"/>
          <w:b/>
          <w:color w:val="000000"/>
          <w:sz w:val="32"/>
        </w:rPr>
        <w:t>四、运行情况与总体成效</w:t>
      </w:r>
    </w:p>
    <w:p>
      <w:pPr>
        <w:spacing w:line="560" w:lineRule="exact" w:after="0" w:before="0"/>
        <w:ind w:firstLine="420"/>
        <w:jc w:val="both"/>
      </w:pPr>
      <w:r>
        <w:rPr>
          <w:rFonts w:ascii="仿宋_GB2312" w:hAnsi="仿宋_GB2312" w:eastAsia="仿宋_GB2312"/>
          <w:b w:val="0"/>
          <w:color w:val="000000"/>
          <w:sz w:val="24"/>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pPr>
        <w:spacing w:line="560" w:lineRule="exact" w:after="0" w:before="0"/>
        <w:ind w:firstLine="420"/>
        <w:jc w:val="both"/>
      </w:pPr>
      <w:r>
        <w:rPr>
          <w:rFonts w:ascii="仿宋_GB2312" w:hAnsi="仿宋_GB2312" w:eastAsia="仿宋_GB2312"/>
          <w:b w:val="0"/>
          <w:color w:val="000000"/>
          <w:sz w:val="24"/>
        </w:rPr>
        <w:t>从运行情况看，平台已经能够稳定提供课程问答、知识点练习、学习报告和历史对话等服务；从建设结果看，平台已经完成课程知识库和题库的成型工作，并能够随着课程资料的新增或调整继续更新相关内容。</w:t>
      </w:r>
    </w:p>
    <w:p>
      <w:pPr>
        <w:spacing w:line="560" w:lineRule="exact" w:after="0" w:before="0"/>
        <w:ind w:firstLine="420"/>
        <w:jc w:val="both"/>
      </w:pPr>
      <w:r>
        <w:rPr>
          <w:rFonts w:ascii="仿宋_GB2312" w:hAnsi="仿宋_GB2312" w:eastAsia="仿宋_GB2312"/>
          <w:b w:val="0"/>
          <w:color w:val="000000"/>
          <w:sz w:val="24"/>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pPr>
        <w:pStyle w:val="Heading1"/>
        <w:spacing w:before="200" w:after="40"/>
      </w:pPr>
      <w:r>
        <w:rPr>
          <w:rFonts w:ascii="黑体" w:hAnsi="黑体" w:eastAsia="黑体"/>
          <w:b/>
          <w:color w:val="000000"/>
          <w:sz w:val="32"/>
        </w:rPr>
        <w:t>五、课程知识组织情况</w:t>
      </w:r>
    </w:p>
    <w:p>
      <w:pPr>
        <w:spacing w:line="560" w:lineRule="exact" w:after="0" w:before="0"/>
        <w:ind w:firstLine="420"/>
        <w:jc w:val="both"/>
      </w:pPr>
      <w:r>
        <w:rPr>
          <w:rFonts w:ascii="仿宋_GB2312" w:hAnsi="仿宋_GB2312" w:eastAsia="仿宋_GB2312"/>
          <w:b w:val="0"/>
          <w:color w:val="000000"/>
          <w:sz w:val="24"/>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TableGrid"/>
        <w:tblW w:type="auto" w:w="0"/>
        <w:jc w:val="center"/>
        <w:tblLayout w:type="fixed"/>
        <w:tblLook w:firstColumn="1" w:firstRow="1" w:lastColumn="0" w:lastRow="0" w:noHBand="0" w:noVBand="1" w:val="04A0"/>
      </w:tblPr>
      <w:tblGrid>
        <w:gridCol w:w="4589"/>
        <w:gridCol w:w="4589"/>
      </w:tblGrid>
      <w:tr>
        <w:tc>
          <w:tcPr>
            <w:tcW w:type="dxa" w:w="2948"/>
            <w:vAlign w:val="center"/>
            <w:tcMar>
              <w:top w:w="70" w:type="dxa"/>
              <w:start w:w="80" w:type="dxa"/>
              <w:bottom w:w="70" w:type="dxa"/>
              <w:end w:w="80" w:type="dxa"/>
            </w:tcMar>
            <w:shd w:fill="F2F2F2"/>
          </w:tcPr>
          <w:p>
            <w:pPr>
              <w:jc w:val="center"/>
            </w:pPr>
            <w:r/>
            <w:r>
              <w:rPr>
                <w:rFonts w:ascii="宋体" w:hAnsi="宋体" w:eastAsia="宋体"/>
                <w:b/>
                <w:color w:val="000000"/>
                <w:sz w:val="21"/>
              </w:rPr>
              <w:t>知识点</w:t>
            </w:r>
          </w:p>
        </w:tc>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内容说明</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深度学习概述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理解深度学习的研究目标、发展背景、表示学习思想，以及其与传统机器学习方法的联系。</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数学基础与机器学习基础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掌握深度学习所需的线性代数、概率统计、优化和监督学习基本概念。</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神经元、感知器与反向传播</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理解人工神经元、感知器、多层感知器以及反向传播算法的核心机制。</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卷积神经网络基础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掌握卷积层、池化层、感受野、参数共享等 CNN 基本结构与核心思想。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典型卷积网络与视觉应用</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了解 LeNet、AlexNet、VGG、ResNet 等典型 CNN 架构及其在视觉任务中的应用。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循环神经网络与LSTM</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 RNN 的序列建模能力、梯度传播问题，以及 LSTM 等改进结构的作用。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注意力机制与Transformer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掌握注意力机制、自注意力、位置编码及 Transformer 编码器-解码器结构。</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GPT、BERT与视觉Transformer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理解基于 Transformer 的预训练模型家族，包括 GPT、BERT 与 Swin Transformer 的差异。</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GAN 对抗生成</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理解生成器与判别器的对抗训练机制，以及条件 GAN、结构优化等扩展思路。</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深度生成模型与扩散模型</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掌握自编码器、RBM、DBN、Hopfield 网络及扩散模型等深度生成模型的核心思想。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正则化与优化</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理解参数范数正则化、数据增强、提前终止、Dropout、归一化及优化方法对泛化的影响。</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深度学习开发平台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熟悉 TensorFlow、PyTorch、Keras、PaddlePaddle 等开发平台及其特点。</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决策树、随机森林与 DeepForest</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理解树模型、随机森林与 DeepForest 的集成学习思想及其与深度网络的关系。</w:t>
            </w:r>
          </w:p>
        </w:tc>
      </w:tr>
    </w:tbl>
    <w:p>
      <w:pPr>
        <w:spacing w:line="560" w:lineRule="exact" w:after="0" w:before="0"/>
        <w:ind w:firstLine="420"/>
        <w:jc w:val="both"/>
      </w:pPr>
      <w:r>
        <w:rPr>
          <w:rFonts w:ascii="仿宋_GB2312" w:hAnsi="仿宋_GB2312" w:eastAsia="仿宋_GB2312"/>
          <w:b w:val="0"/>
          <w:color w:val="000000"/>
          <w:sz w:val="24"/>
        </w:rPr>
        <w:t>在此基础上，平台能够将课程问答中的问题、练习中的题目以及学习报告中的分析内容统一映射到相应知识点，避免学生在不同模块之间面对不同口径、不同表述和不同来源的内容。</w:t>
      </w:r>
    </w:p>
    <w:p>
      <w:pPr>
        <w:pStyle w:val="Heading1"/>
        <w:spacing w:before="200" w:after="40"/>
      </w:pPr>
      <w:r>
        <w:rPr>
          <w:rFonts w:ascii="黑体" w:hAnsi="黑体" w:eastAsia="黑体"/>
          <w:b/>
          <w:color w:val="000000"/>
          <w:sz w:val="32"/>
        </w:rPr>
        <w:t>六、教师侧建设内容</w:t>
      </w:r>
    </w:p>
    <w:p>
      <w:pPr>
        <w:spacing w:line="560" w:lineRule="exact" w:after="0" w:before="0"/>
        <w:ind w:firstLine="420"/>
        <w:jc w:val="both"/>
      </w:pPr>
      <w:r>
        <w:rPr>
          <w:rFonts w:ascii="仿宋_GB2312" w:hAnsi="仿宋_GB2312" w:eastAsia="仿宋_GB2312"/>
          <w:b w:val="0"/>
          <w:color w:val="000000"/>
          <w:sz w:val="24"/>
        </w:rPr>
        <w:t>教师侧建设内容主要体现在课程内容整理、课程知识沉淀和教学资源发布三个层面。当前阶段，教师侧未单独设置前台操作页面，而是通过后台流程完成课程内容接入和知识服务发布，其主要作用在于将原始教学资料转化为可直接服务学生学习的课程资源。</w:t>
      </w:r>
    </w:p>
    <w:p>
      <w:pPr>
        <w:spacing w:line="560" w:lineRule="exact" w:after="0"/>
      </w:pPr>
      <w:r>
        <w:rPr>
          <w:rFonts w:ascii="仿宋_GB2312" w:hAnsi="仿宋_GB2312" w:eastAsia="仿宋_GB2312"/>
          <w:b w:val="0"/>
          <w:color w:val="000000"/>
          <w:sz w:val="24"/>
        </w:rPr>
        <w:t>1、课程资料整理。将课件、教材和补充资料进行统一整理，形成平台的课程内容基础。</w:t>
      </w:r>
    </w:p>
    <w:p>
      <w:pPr>
        <w:spacing w:line="560" w:lineRule="exact" w:after="0"/>
      </w:pPr>
      <w:r>
        <w:rPr>
          <w:rFonts w:ascii="仿宋_GB2312" w:hAnsi="仿宋_GB2312" w:eastAsia="仿宋_GB2312"/>
          <w:b w:val="0"/>
          <w:color w:val="000000"/>
          <w:sz w:val="24"/>
        </w:rPr>
        <w:t>2、课程知识组织。围绕课程主要教学内容整理知识点，并保持知识点与课程材料之间的稳定对应关系。</w:t>
      </w:r>
    </w:p>
    <w:p>
      <w:pPr>
        <w:spacing w:line="560" w:lineRule="exact" w:after="0"/>
      </w:pPr>
      <w:r>
        <w:rPr>
          <w:rFonts w:ascii="仿宋_GB2312" w:hAnsi="仿宋_GB2312" w:eastAsia="仿宋_GB2312"/>
          <w:b w:val="0"/>
          <w:color w:val="000000"/>
          <w:sz w:val="24"/>
        </w:rPr>
        <w:t>3、题库形成与修订。围绕课程知识点组织练习题目，并对题目内容、答案和解析进行校核与调整。</w:t>
      </w:r>
    </w:p>
    <w:p>
      <w:pPr>
        <w:spacing w:line="560" w:lineRule="exact" w:after="0"/>
      </w:pPr>
      <w:r>
        <w:rPr>
          <w:rFonts w:ascii="仿宋_GB2312" w:hAnsi="仿宋_GB2312" w:eastAsia="仿宋_GB2312"/>
          <w:b w:val="0"/>
          <w:color w:val="000000"/>
          <w:sz w:val="24"/>
        </w:rPr>
        <w:t>4、教学资源发布。将整理后的课程知识、题库和来源定位能力统一提供给学生端使用。</w:t>
      </w:r>
    </w:p>
    <w:p>
      <w:pPr>
        <w:spacing w:line="560" w:lineRule="exact" w:after="0"/>
      </w:pPr>
      <w:r>
        <w:rPr>
          <w:rFonts w:ascii="仿宋_GB2312" w:hAnsi="仿宋_GB2312" w:eastAsia="仿宋_GB2312"/>
          <w:b w:val="0"/>
          <w:color w:val="000000"/>
          <w:sz w:val="24"/>
        </w:rPr>
        <w:t>5、后续增量更新。课程资料新增或调整后，可继续在现有平台基础上补充更新，不需要重新搭建整套系统。</w:t>
      </w:r>
    </w:p>
    <w:p>
      <w:pPr>
        <w:pStyle w:val="Heading1"/>
        <w:spacing w:before="200" w:after="40"/>
      </w:pPr>
      <w:r>
        <w:rPr>
          <w:rFonts w:ascii="黑体" w:hAnsi="黑体" w:eastAsia="黑体"/>
          <w:b/>
          <w:color w:val="000000"/>
          <w:sz w:val="32"/>
        </w:rPr>
        <w:t>七、学生侧建设内容</w:t>
      </w:r>
    </w:p>
    <w:p>
      <w:pPr>
        <w:spacing w:line="560" w:lineRule="exact" w:after="0" w:before="0"/>
        <w:ind w:firstLine="420"/>
        <w:jc w:val="both"/>
      </w:pPr>
      <w:r>
        <w:rPr>
          <w:rFonts w:ascii="仿宋_GB2312" w:hAnsi="仿宋_GB2312" w:eastAsia="仿宋_GB2312"/>
          <w:b w:val="0"/>
          <w:color w:val="000000"/>
          <w:sz w:val="24"/>
        </w:rPr>
        <w:t>学生侧是平台的主要使用界面，围绕课程学习过程中的提问、练习、复习和回看需求展开。平台已在学生端形成统一入口，学生登录后即可进入问答、练习、学习报告和历史对话等功能页面，在连续的学习环境中完成课程学习相关活动。</w:t>
      </w:r>
    </w:p>
    <w:p>
      <w:pPr>
        <w:spacing w:line="560" w:lineRule="exact" w:after="0"/>
      </w:pPr>
      <w:r>
        <w:rPr>
          <w:rFonts w:ascii="仿宋_GB2312" w:hAnsi="仿宋_GB2312" w:eastAsia="仿宋_GB2312"/>
          <w:b w:val="0"/>
          <w:color w:val="000000"/>
          <w:sz w:val="24"/>
        </w:rPr>
        <w:t>1、课程问答。学生可围绕课程概念、模型方法、训练机制和课程案例进行提问，并获得面向课程内容的回答。</w:t>
      </w:r>
    </w:p>
    <w:p>
      <w:pPr>
        <w:spacing w:line="560" w:lineRule="exact" w:after="0"/>
      </w:pPr>
      <w:r>
        <w:rPr>
          <w:rFonts w:ascii="仿宋_GB2312" w:hAnsi="仿宋_GB2312" w:eastAsia="仿宋_GB2312"/>
          <w:b w:val="0"/>
          <w:color w:val="000000"/>
          <w:sz w:val="24"/>
        </w:rPr>
        <w:t>2、练习测评。学生可围绕知识点完成练习，查看标准答案、解析内容和相应课程来源。</w:t>
      </w:r>
    </w:p>
    <w:p>
      <w:pPr>
        <w:spacing w:line="560" w:lineRule="exact" w:after="0"/>
      </w:pPr>
      <w:r>
        <w:rPr>
          <w:rFonts w:ascii="仿宋_GB2312" w:hAnsi="仿宋_GB2312" w:eastAsia="仿宋_GB2312"/>
          <w:b w:val="0"/>
          <w:color w:val="000000"/>
          <w:sz w:val="24"/>
        </w:rPr>
        <w:t>3、学习报告。平台可根据学生作答情况形成复习建议，帮助学生识别薄弱知识点和优先复习内容。</w:t>
      </w:r>
    </w:p>
    <w:p>
      <w:pPr>
        <w:spacing w:line="560" w:lineRule="exact" w:after="0"/>
      </w:pPr>
      <w:r>
        <w:rPr>
          <w:rFonts w:ascii="仿宋_GB2312" w:hAnsi="仿宋_GB2312" w:eastAsia="仿宋_GB2312"/>
          <w:b w:val="0"/>
          <w:color w:val="000000"/>
          <w:sz w:val="24"/>
        </w:rPr>
        <w:t>4、历史对话。平台保留学生历史问答记录，便于学生延续前序讨论和持续学习。</w:t>
      </w:r>
    </w:p>
    <w:p>
      <w:pPr>
        <w:spacing w:line="560" w:lineRule="exact" w:after="0"/>
      </w:pPr>
      <w:r>
        <w:rPr>
          <w:rFonts w:ascii="仿宋_GB2312" w:hAnsi="仿宋_GB2312" w:eastAsia="仿宋_GB2312"/>
          <w:b w:val="0"/>
          <w:color w:val="000000"/>
          <w:sz w:val="24"/>
        </w:rPr>
        <w:t>5、来源回看。平台支持学生直接回到课程材料对应位置，减少学习过程中“知道结论但找不到出处”的情况。</w:t>
      </w:r>
    </w:p>
    <w:p>
      <w:pPr>
        <w:pStyle w:val="Heading1"/>
        <w:spacing w:before="200" w:after="40"/>
      </w:pPr>
      <w:r>
        <w:rPr>
          <w:rFonts w:ascii="黑体" w:hAnsi="黑体" w:eastAsia="黑体"/>
          <w:b/>
          <w:color w:val="000000"/>
          <w:sz w:val="32"/>
        </w:rPr>
        <w:t>八、系统设计与运行机制</w:t>
      </w:r>
    </w:p>
    <w:p>
      <w:pPr>
        <w:spacing w:line="560" w:lineRule="exact" w:after="0" w:before="0"/>
        <w:ind w:firstLine="420"/>
        <w:jc w:val="both"/>
      </w:pPr>
      <w:r>
        <w:rPr>
          <w:rFonts w:ascii="仿宋_GB2312" w:hAnsi="仿宋_GB2312" w:eastAsia="仿宋_GB2312"/>
          <w:b w:val="0"/>
          <w:color w:val="000000"/>
          <w:sz w:val="24"/>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pPr>
        <w:spacing w:line="560" w:lineRule="exact" w:after="0"/>
      </w:pPr>
      <w:r>
        <w:rPr>
          <w:rFonts w:ascii="仿宋_GB2312" w:hAnsi="仿宋_GB2312" w:eastAsia="仿宋_GB2312"/>
          <w:b w:val="0"/>
          <w:color w:val="000000"/>
          <w:sz w:val="24"/>
        </w:rPr>
        <w:t>1、课程知识层负责承载课程资料、知识点、题目和讲义来源等基础内容。</w:t>
      </w:r>
    </w:p>
    <w:p>
      <w:pPr>
        <w:spacing w:line="560" w:lineRule="exact" w:after="0"/>
      </w:pPr>
      <w:r>
        <w:rPr>
          <w:rFonts w:ascii="仿宋_GB2312" w:hAnsi="仿宋_GB2312" w:eastAsia="仿宋_GB2312"/>
          <w:b w:val="0"/>
          <w:color w:val="000000"/>
          <w:sz w:val="24"/>
        </w:rPr>
        <w:t>2、服务组织层负责完成课程问答、题目调用、来源定位、学习记录和反馈分析等业务处理。</w:t>
      </w:r>
    </w:p>
    <w:p>
      <w:pPr>
        <w:spacing w:line="560" w:lineRule="exact" w:after="0"/>
      </w:pPr>
      <w:r>
        <w:rPr>
          <w:rFonts w:ascii="仿宋_GB2312" w:hAnsi="仿宋_GB2312" w:eastAsia="仿宋_GB2312"/>
          <w:b w:val="0"/>
          <w:color w:val="000000"/>
          <w:sz w:val="24"/>
        </w:rPr>
        <w:t>3、学生使用层负责统一呈现问答、练习、学习报告和历史对话等界面内容。</w:t>
      </w:r>
    </w:p>
    <w:p>
      <w:pPr>
        <w:spacing w:line="560" w:lineRule="exact" w:after="0"/>
      </w:pPr>
      <w:r>
        <w:rPr>
          <w:rFonts w:ascii="仿宋_GB2312" w:hAnsi="仿宋_GB2312" w:eastAsia="仿宋_GB2312"/>
          <w:b w:val="0"/>
          <w:color w:val="000000"/>
          <w:sz w:val="24"/>
        </w:rPr>
        <w:t>4、数据支撑层负责保存用户信息、学习记录、对话记录和相关结果，保证平台能够持续运行和持续累积学习数据。</w:t>
      </w:r>
    </w:p>
    <w:p>
      <w:pPr>
        <w:spacing w:line="560" w:lineRule="exact" w:after="0"/>
      </w:pPr>
      <w:r>
        <w:rPr>
          <w:rFonts w:ascii="仿宋_GB2312" w:hAnsi="仿宋_GB2312" w:eastAsia="仿宋_GB2312"/>
          <w:b w:val="0"/>
          <w:color w:val="000000"/>
          <w:sz w:val="24"/>
        </w:rPr>
        <w:t>5、整个平台按照统一课程知识体系运行，保证不同功能之间的内容口径保持一致。</w:t>
      </w:r>
    </w:p>
    <w:p>
      <w:pPr>
        <w:pStyle w:val="Heading1"/>
        <w:spacing w:before="200" w:after="40"/>
      </w:pPr>
      <w:r>
        <w:rPr>
          <w:rFonts w:ascii="黑体" w:hAnsi="黑体" w:eastAsia="黑体"/>
          <w:b/>
          <w:color w:val="000000"/>
          <w:sz w:val="32"/>
        </w:rPr>
        <w:t>九、学习报告与教学反馈</w:t>
      </w:r>
    </w:p>
    <w:p>
      <w:pPr>
        <w:spacing w:line="560" w:lineRule="exact" w:after="0" w:before="0"/>
        <w:ind w:firstLine="420"/>
        <w:jc w:val="both"/>
      </w:pPr>
      <w:r>
        <w:rPr>
          <w:rFonts w:ascii="仿宋_GB2312" w:hAnsi="仿宋_GB2312" w:eastAsia="仿宋_GB2312"/>
          <w:b w:val="0"/>
          <w:color w:val="000000"/>
          <w:sz w:val="24"/>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pPr>
        <w:spacing w:line="560" w:lineRule="exact" w:after="0"/>
      </w:pPr>
      <w:r>
        <w:rPr>
          <w:rFonts w:ascii="仿宋_GB2312" w:hAnsi="仿宋_GB2312" w:eastAsia="仿宋_GB2312"/>
          <w:b w:val="0"/>
          <w:color w:val="000000"/>
          <w:sz w:val="24"/>
        </w:rPr>
        <w:t>1、学习报告能够汇总学生练习结果，并识别需要优先复习的知识点。</w:t>
      </w:r>
    </w:p>
    <w:p>
      <w:pPr>
        <w:spacing w:line="560" w:lineRule="exact" w:after="0"/>
      </w:pPr>
      <w:r>
        <w:rPr>
          <w:rFonts w:ascii="仿宋_GB2312" w:hAnsi="仿宋_GB2312" w:eastAsia="仿宋_GB2312"/>
          <w:b w:val="0"/>
          <w:color w:val="000000"/>
          <w:sz w:val="24"/>
        </w:rPr>
        <w:t>2、学习报告能够提示学生回看相应课程内容，提高复习的针对性。</w:t>
      </w:r>
    </w:p>
    <w:p>
      <w:pPr>
        <w:spacing w:line="560" w:lineRule="exact" w:after="0"/>
      </w:pPr>
      <w:r>
        <w:rPr>
          <w:rFonts w:ascii="仿宋_GB2312" w:hAnsi="仿宋_GB2312" w:eastAsia="仿宋_GB2312"/>
          <w:b w:val="0"/>
          <w:color w:val="000000"/>
          <w:sz w:val="24"/>
        </w:rPr>
        <w:t>3、学习报告也为教师观察学生学习情况提供了可用依据，有助于后续教学调整。</w:t>
      </w:r>
    </w:p>
    <w:p>
      <w:pPr>
        <w:pStyle w:val="Heading1"/>
        <w:spacing w:before="200" w:after="40"/>
      </w:pPr>
      <w:r>
        <w:rPr>
          <w:rFonts w:ascii="黑体" w:hAnsi="黑体" w:eastAsia="黑体"/>
          <w:b/>
          <w:color w:val="000000"/>
          <w:sz w:val="32"/>
        </w:rPr>
        <w:t>十、总结</w:t>
      </w:r>
    </w:p>
    <w:p>
      <w:pPr>
        <w:spacing w:line="560" w:lineRule="exact" w:after="0" w:before="0"/>
        <w:ind w:firstLine="420"/>
        <w:jc w:val="both"/>
      </w:pPr>
      <w:r>
        <w:rPr>
          <w:rFonts w:ascii="仿宋_GB2312" w:hAnsi="仿宋_GB2312" w:eastAsia="仿宋_GB2312"/>
          <w:b w:val="0"/>
          <w:color w:val="000000"/>
          <w:sz w:val="24"/>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pPr>
        <w:spacing w:line="560" w:lineRule="exact" w:after="0" w:before="0"/>
        <w:ind w:firstLine="420"/>
        <w:jc w:val="both"/>
      </w:pPr>
      <w:r>
        <w:rPr>
          <w:rFonts w:ascii="仿宋_GB2312" w:hAnsi="仿宋_GB2312" w:eastAsia="仿宋_GB2312"/>
          <w:b w:val="0"/>
          <w:color w:val="000000"/>
          <w:sz w:val="24"/>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r>
        <w:br w:type="page"/>
      </w:r>
    </w:p>
    <w:p>
      <w:pPr>
        <w:pStyle w:val="Heading1"/>
        <w:spacing w:before="200" w:after="40"/>
      </w:pPr>
      <w:r>
        <w:rPr>
          <w:rFonts w:ascii="黑体" w:hAnsi="黑体" w:eastAsia="黑体"/>
          <w:b/>
          <w:color w:val="000000"/>
          <w:sz w:val="32"/>
        </w:rPr>
        <w:t>附录 A 课程材料统计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周次</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Week10</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Week4</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Week5</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Week6</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Week7</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Week8</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Week9</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bl>
    <w:p>
      <w:pPr>
        <w:pStyle w:val="Heading1"/>
        <w:spacing w:before="200" w:after="40"/>
      </w:pPr>
      <w:r>
        <w:rPr>
          <w:rFonts w:ascii="黑体" w:hAnsi="黑体" w:eastAsia="黑体"/>
          <w:b/>
          <w:color w:val="000000"/>
          <w:sz w:val="32"/>
        </w:rPr>
        <w:t>附录 B 课程来源文件统计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来源文件</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0.1-DeepLearning-Introduction-C1.pdf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59</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0.3-DeepLearing-CNN-C4.pdf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0.3-DeepLearing-CNN-C5.pdf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0.4-DeepLearing-RNN-C6.pdf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0.5-Transformer-C7.pdf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76</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0.6-GAN-C9.pdf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0.6-GenerativeModel-C10.pdf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0.8-DeepLearning-tools-C13_modified.pdf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DeepForest-C11.pdf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26</w:t>
            </w:r>
          </w:p>
        </w:tc>
      </w:tr>
    </w:tbl>
    <w:p>
      <w:pPr>
        <w:pStyle w:val="Heading1"/>
        <w:spacing w:before="200" w:after="40"/>
      </w:pPr>
      <w:r>
        <w:rPr>
          <w:rFonts w:ascii="黑体" w:hAnsi="黑体" w:eastAsia="黑体"/>
          <w:b/>
          <w:color w:val="000000"/>
          <w:sz w:val="32"/>
        </w:rPr>
        <w:t>附录 C 平台功能清单</w:t>
      </w:r>
    </w:p>
    <w:tbl>
      <w:tblPr>
        <w:tblStyle w:val="TableGrid"/>
        <w:tblW w:type="auto" w:w="0"/>
        <w:jc w:val="center"/>
        <w:tblLayout w:type="fixed"/>
        <w:tblLook w:firstColumn="1" w:firstRow="1" w:lastColumn="0" w:lastRow="0" w:noHBand="0" w:noVBand="1" w:val="04A0"/>
      </w:tblPr>
      <w:tblGrid>
        <w:gridCol w:w="3060"/>
        <w:gridCol w:w="3060"/>
        <w:gridCol w:w="3060"/>
      </w:tblGrid>
      <w:tr>
        <w:tc>
          <w:tcPr>
            <w:tcW w:type="dxa" w:w="1814"/>
            <w:vAlign w:val="center"/>
            <w:tcMar>
              <w:top w:w="70" w:type="dxa"/>
              <w:start w:w="80" w:type="dxa"/>
              <w:bottom w:w="70" w:type="dxa"/>
              <w:end w:w="80" w:type="dxa"/>
            </w:tcMar>
            <w:shd w:fill="F2F2F2"/>
          </w:tcPr>
          <w:p>
            <w:pPr>
              <w:jc w:val="center"/>
            </w:pPr>
            <w:r/>
            <w:r>
              <w:rPr>
                <w:rFonts w:ascii="宋体" w:hAnsi="宋体" w:eastAsia="宋体"/>
                <w:b/>
                <w:color w:val="000000"/>
                <w:sz w:val="21"/>
              </w:rPr>
              <w:t>类别</w:t>
            </w:r>
          </w:p>
        </w:tc>
        <w:tc>
          <w:tcPr>
            <w:tcW w:type="dxa" w:w="2494"/>
            <w:vAlign w:val="center"/>
            <w:tcMar>
              <w:top w:w="70" w:type="dxa"/>
              <w:start w:w="80" w:type="dxa"/>
              <w:bottom w:w="70" w:type="dxa"/>
              <w:end w:w="80" w:type="dxa"/>
            </w:tcMar>
            <w:shd w:fill="F2F2F2"/>
          </w:tcPr>
          <w:p>
            <w:pPr>
              <w:jc w:val="center"/>
            </w:pPr>
            <w:r/>
            <w:r>
              <w:rPr>
                <w:rFonts w:ascii="宋体" w:hAnsi="宋体" w:eastAsia="宋体"/>
                <w:b/>
                <w:color w:val="000000"/>
                <w:sz w:val="21"/>
              </w:rPr>
              <w:t>模块</w:t>
            </w:r>
          </w:p>
        </w:tc>
        <w:tc>
          <w:tcPr>
            <w:tcW w:type="dxa" w:w="4082"/>
            <w:vAlign w:val="center"/>
            <w:tcMar>
              <w:top w:w="70" w:type="dxa"/>
              <w:start w:w="80" w:type="dxa"/>
              <w:bottom w:w="70" w:type="dxa"/>
              <w:end w:w="80" w:type="dxa"/>
            </w:tcMar>
            <w:shd w:fill="F2F2F2"/>
          </w:tcPr>
          <w:p>
            <w:pPr>
              <w:jc w:val="center"/>
            </w:pPr>
            <w:r/>
            <w:r>
              <w:rPr>
                <w:rFonts w:ascii="宋体" w:hAnsi="宋体" w:eastAsia="宋体"/>
                <w:b/>
                <w:color w:val="000000"/>
                <w:sz w:val="21"/>
              </w:rPr>
              <w:t>主要作用</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登录注册</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完成身份认证并绑定个人学习记录</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课程问答</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围绕课程内容进行连续提问与追问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练习测评</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按知识点完成选择题训练并查看解析</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学习报告</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查看学习表现、薄弱环节与复习建议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数据层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会话与作答记录</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保存历史对话、答题过程和学习结果</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知识层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课程知识库</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保存课程知识点、题库和讲义来源映射</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运行层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异步任务与队列</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支撑并发访问和后台任务处理</w:t>
            </w:r>
          </w:p>
        </w:tc>
      </w:tr>
    </w:tbl>
    <w:p>
      <w:pPr>
        <w:pStyle w:val="Heading1"/>
        <w:spacing w:before="200" w:after="40"/>
      </w:pPr>
      <w:r>
        <w:rPr>
          <w:rFonts w:ascii="黑体" w:hAnsi="黑体" w:eastAsia="黑体"/>
          <w:b/>
          <w:color w:val="000000"/>
          <w:sz w:val="32"/>
        </w:rPr>
        <w:t>附录 D 平台界面截图说明</w:t>
      </w:r>
    </w:p>
    <w:p>
      <w:pPr>
        <w:spacing w:line="560" w:lineRule="exact" w:after="0" w:before="0"/>
        <w:ind w:firstLine="420"/>
        <w:jc w:val="both"/>
      </w:pPr>
      <w:r>
        <w:rPr>
          <w:rFonts w:ascii="仿宋_GB2312" w:hAnsi="仿宋_GB2312" w:eastAsia="仿宋_GB2312"/>
          <w:b w:val="0"/>
          <w:color w:val="000000"/>
          <w:sz w:val="24"/>
        </w:rPr>
        <w:t>附录所列界面截图与正文展示内容一致，已覆盖平台问答、知识点练习和学习报告等主要学生使用界面，可用于说明平台的实际运行状态、主要交互方式以及学生侧的连续学习流程。</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