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Local dataset-related storage on disk is 149.9 MB, well below the 5 GB local-storage ceiling. However, cumulative lifetime network download volume is recorded as 5.12 GB, exceeding the 4.5 GB download budget. Therefore, the local storage footprint is below 5 GB, but the cumulative download budget was exceeded; these are distinct measures.</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19.99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At alpha = 0.05 we REJECT H0 - i.e. a statistically significant but weak association exists. Some expected cells remain sparse (min 2.8); interpretation is cautious.</w:t>
      </w:r>
    </w:p>
    <w:p>
      <w:r>
        <w:t>H2 (sentiment ⊥ price tier): chi-square(4) = 8.58, p = 0.0724, Cramér's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majority_class(Health &amp; Personal Care)</w:t>
            </w:r>
          </w:p>
        </w:tc>
        <w:tc>
          <w:tcPr>
            <w:tcW w:type="dxa" w:w="1234"/>
          </w:tcPr>
          <w:p>
            <w:r>
              <w:t>0.209</w:t>
            </w:r>
          </w:p>
        </w:tc>
        <w:tc>
          <w:tcPr>
            <w:tcW w:type="dxa" w:w="1234"/>
          </w:tcPr>
          <w:p>
            <w:r>
              <w:t>0.017</w:t>
            </w:r>
          </w:p>
        </w:tc>
        <w:tc>
          <w:tcPr>
            <w:tcW w:type="dxa" w:w="1234"/>
          </w:tcPr>
          <w:p>
            <w:r>
              <w:t>0.083</w:t>
            </w:r>
          </w:p>
        </w:tc>
        <w:tc>
          <w:tcPr>
            <w:tcW w:type="dxa" w:w="1234"/>
          </w:tcPr>
          <w:p>
            <w:r>
              <w:t>0.029</w:t>
            </w:r>
          </w:p>
        </w:tc>
        <w:tc>
          <w:tcPr>
            <w:tcW w:type="dxa" w:w="1234"/>
          </w:tcPr>
          <w:p>
            <w:r>
              <w:t>0.00</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majority_class(low)</w:t>
            </w:r>
          </w:p>
        </w:tc>
        <w:tc>
          <w:tcPr>
            <w:tcW w:type="dxa" w:w="1234"/>
          </w:tcPr>
          <w:p>
            <w:r>
              <w:t>0.297</w:t>
            </w:r>
          </w:p>
        </w:tc>
        <w:tc>
          <w:tcPr>
            <w:tcW w:type="dxa" w:w="1234"/>
          </w:tcPr>
          <w:p>
            <w:r>
              <w:t>0.099</w:t>
            </w:r>
          </w:p>
        </w:tc>
        <w:tc>
          <w:tcPr>
            <w:tcW w:type="dxa" w:w="1234"/>
          </w:tcPr>
          <w:p>
            <w:r>
              <w:t>0.333</w:t>
            </w:r>
          </w:p>
        </w:tc>
        <w:tc>
          <w:tcPr>
            <w:tcW w:type="dxa" w:w="1234"/>
          </w:tcPr>
          <w:p>
            <w:r>
              <w:t>0.153</w:t>
            </w:r>
          </w:p>
        </w:tc>
        <w:tc>
          <w:tcPr>
            <w:tcW w:type="dxa" w:w="1234"/>
          </w:tcPr>
          <w:p>
            <w:r>
              <w:t>0.00</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majority_class(positive)</w:t>
            </w:r>
          </w:p>
        </w:tc>
        <w:tc>
          <w:tcPr>
            <w:tcW w:type="dxa" w:w="1234"/>
          </w:tcPr>
          <w:p>
            <w:r>
              <w:t>0.801</w:t>
            </w:r>
          </w:p>
        </w:tc>
        <w:tc>
          <w:tcPr>
            <w:tcW w:type="dxa" w:w="1234"/>
          </w:tcPr>
          <w:p>
            <w:r>
              <w:t>0.267</w:t>
            </w:r>
          </w:p>
        </w:tc>
        <w:tc>
          <w:tcPr>
            <w:tcW w:type="dxa" w:w="1234"/>
          </w:tcPr>
          <w:p>
            <w:r>
              <w:t>0.333</w:t>
            </w:r>
          </w:p>
        </w:tc>
        <w:tc>
          <w:tcPr>
            <w:tcW w:type="dxa" w:w="1234"/>
          </w:tcPr>
          <w:p>
            <w:r>
              <w:t>0.297</w:t>
            </w:r>
          </w:p>
        </w:tc>
        <w:tc>
          <w:tcPr>
            <w:tcW w:type="dxa" w:w="1234"/>
          </w:tcPr>
          <w:p>
            <w:r>
              <w:t>0.00</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bl>
    <w:p>
      <w:r>
        <w:t>Table 1. Test-set performance under the original category-label space; all models use the same product-grouped test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category</w:t>
            </w:r>
          </w:p>
        </w:tc>
        <w:tc>
          <w:tcPr>
            <w:tcW w:type="dxa" w:w="1234"/>
          </w:tcPr>
          <w:p>
            <w:r>
              <w:t>mtl_shared_encoder</w:t>
            </w:r>
          </w:p>
        </w:tc>
        <w:tc>
          <w:tcPr>
            <w:tcW w:type="dxa" w:w="1234"/>
          </w:tcPr>
          <w:p>
            <w:r>
              <w:t>0.483</w:t>
            </w:r>
          </w:p>
        </w:tc>
        <w:tc>
          <w:tcPr>
            <w:tcW w:type="dxa" w:w="1234"/>
          </w:tcPr>
          <w:p>
            <w:r>
              <w:t>0.337</w:t>
            </w:r>
          </w:p>
        </w:tc>
        <w:tc>
          <w:tcPr>
            <w:tcW w:type="dxa" w:w="1234"/>
          </w:tcPr>
          <w:p>
            <w:r>
              <w:t>0.353</w:t>
            </w:r>
          </w:p>
        </w:tc>
        <w:tc>
          <w:tcPr>
            <w:tcW w:type="dxa" w:w="1234"/>
          </w:tcPr>
          <w:p>
            <w:r>
              <w:t>0.344</w:t>
            </w:r>
          </w:p>
        </w:tc>
        <w:tc>
          <w:tcPr>
            <w:tcW w:type="dxa" w:w="1234"/>
          </w:tcPr>
          <w:p>
            <w:r>
              <w:t>2.36</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price_tier</w:t>
            </w:r>
          </w:p>
        </w:tc>
        <w:tc>
          <w:tcPr>
            <w:tcW w:type="dxa" w:w="1234"/>
          </w:tcPr>
          <w:p>
            <w:r>
              <w:t>mtl_shared_encoder</w:t>
            </w:r>
          </w:p>
        </w:tc>
        <w:tc>
          <w:tcPr>
            <w:tcW w:type="dxa" w:w="1234"/>
          </w:tcPr>
          <w:p>
            <w:r>
              <w:t>0.446</w:t>
            </w:r>
          </w:p>
        </w:tc>
        <w:tc>
          <w:tcPr>
            <w:tcW w:type="dxa" w:w="1234"/>
          </w:tcPr>
          <w:p>
            <w:r>
              <w:t>0.443</w:t>
            </w:r>
          </w:p>
        </w:tc>
        <w:tc>
          <w:tcPr>
            <w:tcW w:type="dxa" w:w="1234"/>
          </w:tcPr>
          <w:p>
            <w:r>
              <w:t>0.443</w:t>
            </w:r>
          </w:p>
        </w:tc>
        <w:tc>
          <w:tcPr>
            <w:tcW w:type="dxa" w:w="1234"/>
          </w:tcPr>
          <w:p>
            <w:r>
              <w:t>0.443</w:t>
            </w:r>
          </w:p>
        </w:tc>
        <w:tc>
          <w:tcPr>
            <w:tcW w:type="dxa" w:w="1234"/>
          </w:tcPr>
          <w:p>
            <w:r>
              <w:t>2.36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mtl_shared_encoder</w:t>
            </w:r>
          </w:p>
        </w:tc>
        <w:tc>
          <w:tcPr>
            <w:tcW w:type="dxa" w:w="1234"/>
          </w:tcPr>
          <w:p>
            <w:r>
              <w:t>0.856</w:t>
            </w:r>
          </w:p>
        </w:tc>
        <w:tc>
          <w:tcPr>
            <w:tcW w:type="dxa" w:w="1234"/>
          </w:tcPr>
          <w:p>
            <w:r>
              <w:t>0.631</w:t>
            </w:r>
          </w:p>
        </w:tc>
        <w:tc>
          <w:tcPr>
            <w:tcW w:type="dxa" w:w="1234"/>
          </w:tcPr>
          <w:p>
            <w:r>
              <w:t>0.528</w:t>
            </w:r>
          </w:p>
        </w:tc>
        <w:tc>
          <w:tcPr>
            <w:tcW w:type="dxa" w:w="1234"/>
          </w:tcPr>
          <w:p>
            <w:r>
              <w:t>0.563</w:t>
            </w:r>
          </w:p>
        </w:tc>
        <w:tc>
          <w:tcPr>
            <w:tcW w:type="dxa" w:w="1234"/>
          </w:tcPr>
          <w:p>
            <w:r>
              <w:t>2.36</w:t>
            </w:r>
          </w:p>
        </w:tc>
      </w:tr>
    </w:tbl>
    <w:p>
      <w:r>
        <w:t>Table 2. Test-set performance after grouping categories with fewer than 30 training rows into 'Other'; results are a separate label-space experiment.</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label space).</w:t>
      </w:r>
    </w:p>
    <w:p>
      <w:r>
        <w:t>Error analysis. Under the original category-label space, category macro-F1 is low for all models, although MTL (0.248) exceeds logistic regression (0.190). Under the grouped label space, logistic regression reaches 0.410 macro-F1 versus 0.344 for MTL, so the ranking reverses when rare categories are grouped. Price tier is the weakest task overall: review text carries limited reliable price signal. Sentiment is the strongest task for MTL, which exceeds the majority-class baseline in macro-F1; the small neutral class still affects macro-averaged metrics.</w:t>
      </w:r>
    </w:p>
    <w:p>
      <w:r>
        <w:t>Task-level verdict from the actual test metrics: sentiment improves under joint learning (original-label MTL macro-F1 0.5605 vs logistic regression 0.4691; grouped-label MTL 0.563 vs logistic regression 0.469). Price-tier performance is lower for MTL in both experiments (original labels 0.4516 vs 0.4724; grouped labels 0.443 vs 0.472). Category performance depends on label space: MTL is higher under original labels (0.2482 vs 0.1895), while logistic regression is higher after grouping rare categories (0.410 vs 0.344). Overall, results do not support a claim that multi-task learning is uniformly superior; the observed benefit is task- and label-space-specific.</w:t>
      </w:r>
    </w:p>
    <w:p>
      <w:pPr>
        <w:pStyle w:val="Heading1"/>
      </w:pPr>
      <w:r>
        <w:t>7. Conclusion</w:t>
      </w:r>
    </w:p>
    <w:p>
      <w:r>
        <w:t>We built a product-grouped pipeline, performed EDA and chi-square tests, and benchmarked independent learners against a shared-encoder TF-IDF multi-task model. The initial results show task-specific rather than uniform benefits: MTL improved sentiment macro-F1, did not outperform Logistic Regression on price tier, and its category ranking depended on the label space. Stage 2 extends the investigation with both independent DistilBERT models and a shared DistilBERT multi-task model; these experiments remain to be executed before any transformer-performance conclusion is drawn. The local dataset footprint was within 5 GB; however, recorded cumulative network downloads exceeded the 4.5 GB download budget. Future work includes completing the transformer comparison, task-weight tuning, and evaluation on a larger sample.</w:t>
      </w:r>
    </w:p>
    <w:p>
      <w:pPr>
        <w:pStyle w:val="Heading1"/>
      </w:pPr>
      <w:r>
        <w:t>8. Stage 2: Independent and Shared Transformer Experiments</w:t>
      </w:r>
    </w:p>
    <w:p>
      <w:r>
        <w:t>To extend the TF-IDF experiments, the companion notebook defines two transformer approaches using pretrained DistilBERT. Stage 2A fine-tunes three independent models, one each for category, price tier (low/medium/high), and rating-derived sentiment. Each independent model has its own encoder and task-specific classification head and optimizes only that task's cross-entropy loss. Stage 2B uses one shared DistilBERT encoder with three task-specific heads and jointly optimizes the sum of the three task losses. This design allows the project to compare contextual transformer representations with the TF-IDF baselines, and to test whether parameter sharing helps or causes negative transfer.</w:t>
      </w:r>
    </w:p>
    <w:p>
      <w:r>
        <w:t>Both transformer approaches reuse the processed sample and the same product-grouped train/validation/test split, use the leakage-safe grouped-category label space, select checkpoints using validation macro-F1, and evaluate the held-out test split after checkpoint selection. The notebook records accuracy, macro precision, macro recall, macro-F1, training time, and checkpoint files. The independent-model run saves one checkpoint per task; the shared run saves one multi-task checkpoint. The final comparison includes grouped-label Stage 1 Logistic Regression and TF-IDF multi-task results alongside both transformer approaches.</w:t>
      </w:r>
    </w:p>
    <w:p>
      <w:r>
        <w:t>Status and interpretation: both Stage 2 training paths and the comparison code have been added, but neither transformer experiment has been run as part of this report revision. Consequently, no transformer accuracy or macro-F1 values are claimed. Run both paths in the project environment before interpreting the comparison; pretrained weights must be available, and the three independent models will require more total training time and checkpoint storage than the single shared model. Results should be added only from the generated output files, not estimated in advance.</w:t>
      </w:r>
    </w:p>
    <w:p>
      <w:pPr/>
      <w:r>
        <w:t>Planned comparison: (1) TF-IDF + Logistic Regression, (2) shared TF-IDF multi-task model, (3) three independent fine-tuned DistilBERT models, and (4) shared DistilBERT with three heads. The primary metric is macro-F1, with accuracy and per-class metrics reported to make class imbalance visible.</w:t>
      </w:r>
    </w:p>
    <w:p>
      <w:pPr/>
      <w:r>
        <w:t>For a fair comparison, all methods should use the same product-grouped split and the same permitted text fields. The sentiment target remains a rating-derived proxy, and price-tier prediction remains a text-only inference task; neither limitation is removed by using a transformer.</w:t>
      </w:r>
    </w:p>
    <w:p>
      <w:r>
        <w:t>Sanh, V., Debut, L., Chaumond, J., &amp; Wolf, T. (2019). DistilBERT, a distilled version of BERT: smaller, faster, cheaper and lighter. arXiv:1910.01108.</w:t>
      </w:r>
    </w:p>
    <w:p>
      <w:pPr>
        <w:pStyle w:val="Heading1"/>
      </w:pPr>
      <w:r>
        <w:t>9.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Shared-Encoder Multi-Task E-Commerce Attribute Inference — Stage 1 and Stage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