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3DB17" w14:textId="77777777" w:rsidR="007C635D" w:rsidRPr="00F77AC0" w:rsidRDefault="00000000">
      <w:pPr>
        <w:pStyle w:val="Ttulo1"/>
        <w:rPr>
          <w:lang w:val="es-PE"/>
        </w:rPr>
      </w:pPr>
      <w:r w:rsidRPr="00F77AC0">
        <w:rPr>
          <w:lang w:val="es-PE"/>
        </w:rPr>
        <w:t>Documento de Alcance de Calidad — MiFarma</w:t>
      </w:r>
    </w:p>
    <w:p w14:paraId="4488F292" w14:textId="2D2D8A65" w:rsidR="007C635D" w:rsidRPr="00F77AC0" w:rsidRDefault="00000000">
      <w:pPr>
        <w:rPr>
          <w:lang w:val="es-PE"/>
        </w:rPr>
      </w:pPr>
      <w:r w:rsidRPr="00F77AC0">
        <w:rPr>
          <w:lang w:val="es-PE"/>
        </w:rPr>
        <w:t xml:space="preserve">07-oct-2026 — Autor: </w:t>
      </w:r>
      <w:r w:rsidR="006F148F">
        <w:rPr>
          <w:lang w:val="es-PE"/>
        </w:rPr>
        <w:t>Vladimir De La Cruz</w:t>
      </w:r>
    </w:p>
    <w:p w14:paraId="54CEB68F" w14:textId="77777777" w:rsidR="007C635D" w:rsidRPr="00F77AC0" w:rsidRDefault="00000000">
      <w:pPr>
        <w:rPr>
          <w:lang w:val="es-PE"/>
        </w:rPr>
      </w:pPr>
      <w:r w:rsidRPr="00F77AC0">
        <w:rPr>
          <w:lang w:val="es-PE"/>
        </w:rPr>
        <w:t>Este documento define qué se prueba en MiFarma, con qué criterio y con qué límites. Sigue las secciones y el formato del documento modelo del curso, aplicadas a un proyecto propio: la migración del sistema de punto de venta de la botica.</w:t>
      </w:r>
    </w:p>
    <w:p w14:paraId="0D96BCBC" w14:textId="77777777" w:rsidR="007C635D" w:rsidRPr="00F77AC0" w:rsidRDefault="00000000">
      <w:pPr>
        <w:pStyle w:val="Ttulo2"/>
        <w:rPr>
          <w:lang w:val="es-PE"/>
        </w:rPr>
      </w:pPr>
      <w:r w:rsidRPr="00F77AC0">
        <w:rPr>
          <w:lang w:val="es-PE"/>
        </w:rPr>
        <w:t>Control del documento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997"/>
        <w:gridCol w:w="7363"/>
      </w:tblGrid>
      <w:tr w:rsidR="007C635D" w:rsidRPr="00F77AC0" w14:paraId="11F3834E" w14:textId="77777777">
        <w:trPr>
          <w:tblHeader/>
        </w:trPr>
        <w:tc>
          <w:tcPr>
            <w:tcW w:w="1997" w:type="dxa"/>
            <w:shd w:val="clear" w:color="auto" w:fill="F2F2F2"/>
          </w:tcPr>
          <w:p w14:paraId="6AD32BD8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Campo</w:t>
            </w:r>
          </w:p>
        </w:tc>
        <w:tc>
          <w:tcPr>
            <w:tcW w:w="7363" w:type="dxa"/>
            <w:shd w:val="clear" w:color="auto" w:fill="F2F2F2"/>
          </w:tcPr>
          <w:p w14:paraId="4245FC79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Detalle</w:t>
            </w:r>
          </w:p>
        </w:tc>
      </w:tr>
      <w:tr w:rsidR="007C635D" w:rsidRPr="00F77AC0" w14:paraId="2947766C" w14:textId="77777777">
        <w:tc>
          <w:tcPr>
            <w:tcW w:w="1997" w:type="dxa"/>
          </w:tcPr>
          <w:p w14:paraId="4600F68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Código</w:t>
            </w:r>
          </w:p>
        </w:tc>
        <w:tc>
          <w:tcPr>
            <w:tcW w:w="7363" w:type="dxa"/>
          </w:tcPr>
          <w:p w14:paraId="2DFEF69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QA-ALC-001</w:t>
            </w:r>
          </w:p>
        </w:tc>
      </w:tr>
      <w:tr w:rsidR="007C635D" w:rsidRPr="00F77AC0" w14:paraId="0F1001E7" w14:textId="77777777">
        <w:tc>
          <w:tcPr>
            <w:tcW w:w="1997" w:type="dxa"/>
          </w:tcPr>
          <w:p w14:paraId="3596C61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Proyecto</w:t>
            </w:r>
          </w:p>
        </w:tc>
        <w:tc>
          <w:tcPr>
            <w:tcW w:w="7363" w:type="dxa"/>
          </w:tcPr>
          <w:p w14:paraId="743ACE7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MiFarma — migración del sistema de punto de venta de botica</w:t>
            </w:r>
          </w:p>
        </w:tc>
      </w:tr>
      <w:tr w:rsidR="007C635D" w:rsidRPr="00F77AC0" w14:paraId="2C2F40A7" w14:textId="77777777">
        <w:tc>
          <w:tcPr>
            <w:tcW w:w="1997" w:type="dxa"/>
          </w:tcPr>
          <w:p w14:paraId="7425BDD3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Versión</w:t>
            </w:r>
          </w:p>
        </w:tc>
        <w:tc>
          <w:tcPr>
            <w:tcW w:w="7363" w:type="dxa"/>
          </w:tcPr>
          <w:p w14:paraId="66F04FB8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1.0</w:t>
            </w:r>
          </w:p>
        </w:tc>
      </w:tr>
      <w:tr w:rsidR="007C635D" w:rsidRPr="00F77AC0" w14:paraId="00406B3D" w14:textId="77777777">
        <w:tc>
          <w:tcPr>
            <w:tcW w:w="1997" w:type="dxa"/>
          </w:tcPr>
          <w:p w14:paraId="2BD01558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Fecha de emisión</w:t>
            </w:r>
          </w:p>
        </w:tc>
        <w:tc>
          <w:tcPr>
            <w:tcW w:w="7363" w:type="dxa"/>
          </w:tcPr>
          <w:p w14:paraId="68CFA02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07-oct-2026</w:t>
            </w:r>
          </w:p>
        </w:tc>
      </w:tr>
      <w:tr w:rsidR="007C635D" w:rsidRPr="00F77AC0" w14:paraId="3BC0A2AF" w14:textId="77777777">
        <w:tc>
          <w:tcPr>
            <w:tcW w:w="1997" w:type="dxa"/>
          </w:tcPr>
          <w:p w14:paraId="425EBFED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Autor</w:t>
            </w:r>
          </w:p>
        </w:tc>
        <w:tc>
          <w:tcPr>
            <w:tcW w:w="7363" w:type="dxa"/>
          </w:tcPr>
          <w:p w14:paraId="47F5CCDA" w14:textId="1DB3097A" w:rsidR="007C635D" w:rsidRPr="00F77AC0" w:rsidRDefault="00F77AC0" w:rsidP="00F77AC0">
            <w:pPr>
              <w:ind w:left="708" w:hanging="708"/>
              <w:rPr>
                <w:lang w:val="es-PE"/>
              </w:rPr>
            </w:pPr>
            <w:r>
              <w:rPr>
                <w:lang w:val="es-PE"/>
              </w:rPr>
              <w:t>Vladimir De La Cruz</w:t>
            </w:r>
          </w:p>
        </w:tc>
      </w:tr>
      <w:tr w:rsidR="007C635D" w:rsidRPr="00F77AC0" w14:paraId="6DB94D3C" w14:textId="77777777">
        <w:tc>
          <w:tcPr>
            <w:tcW w:w="1997" w:type="dxa"/>
          </w:tcPr>
          <w:p w14:paraId="682DE518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Revisor</w:t>
            </w:r>
          </w:p>
        </w:tc>
        <w:tc>
          <w:tcPr>
            <w:tcW w:w="7363" w:type="dxa"/>
          </w:tcPr>
          <w:p w14:paraId="43BABB89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Instructor del curso (entregable académico)</w:t>
            </w:r>
          </w:p>
        </w:tc>
      </w:tr>
      <w:tr w:rsidR="007C635D" w:rsidRPr="00F77AC0" w14:paraId="6DF27577" w14:textId="77777777">
        <w:tc>
          <w:tcPr>
            <w:tcW w:w="1997" w:type="dxa"/>
          </w:tcPr>
          <w:p w14:paraId="78D4E829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Estado</w:t>
            </w:r>
          </w:p>
        </w:tc>
        <w:tc>
          <w:tcPr>
            <w:tcW w:w="7363" w:type="dxa"/>
          </w:tcPr>
          <w:p w14:paraId="1ADB665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Emitido para revisión</w:t>
            </w:r>
          </w:p>
        </w:tc>
      </w:tr>
      <w:tr w:rsidR="007C635D" w:rsidRPr="00F77AC0" w14:paraId="0CBE081B" w14:textId="77777777">
        <w:tc>
          <w:tcPr>
            <w:tcW w:w="1997" w:type="dxa"/>
          </w:tcPr>
          <w:p w14:paraId="09915038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Clasificación</w:t>
            </w:r>
          </w:p>
        </w:tc>
        <w:tc>
          <w:tcPr>
            <w:tcW w:w="7363" w:type="dxa"/>
          </w:tcPr>
          <w:p w14:paraId="26BF1CB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Uso académico y de proyecto</w:t>
            </w:r>
          </w:p>
        </w:tc>
      </w:tr>
    </w:tbl>
    <w:p w14:paraId="7149A2F0" w14:textId="77777777" w:rsidR="007C635D" w:rsidRPr="00F77AC0" w:rsidRDefault="00000000">
      <w:pPr>
        <w:rPr>
          <w:lang w:val="es-PE"/>
        </w:rPr>
      </w:pPr>
      <w:r w:rsidRPr="00F77AC0">
        <w:rPr>
          <w:lang w:val="es-PE"/>
        </w:rPr>
        <w:t>Historial de versiones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092"/>
        <w:gridCol w:w="1716"/>
        <w:gridCol w:w="2028"/>
        <w:gridCol w:w="4524"/>
      </w:tblGrid>
      <w:tr w:rsidR="007C635D" w:rsidRPr="00F77AC0" w14:paraId="2AD84704" w14:textId="77777777">
        <w:trPr>
          <w:tblHeader/>
        </w:trPr>
        <w:tc>
          <w:tcPr>
            <w:tcW w:w="1092" w:type="dxa"/>
            <w:shd w:val="clear" w:color="auto" w:fill="F2F2F2"/>
          </w:tcPr>
          <w:p w14:paraId="30FCB4B2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Versión</w:t>
            </w:r>
          </w:p>
        </w:tc>
        <w:tc>
          <w:tcPr>
            <w:tcW w:w="1716" w:type="dxa"/>
            <w:shd w:val="clear" w:color="auto" w:fill="F2F2F2"/>
          </w:tcPr>
          <w:p w14:paraId="69ACCC88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Fecha</w:t>
            </w:r>
          </w:p>
        </w:tc>
        <w:tc>
          <w:tcPr>
            <w:tcW w:w="2028" w:type="dxa"/>
            <w:shd w:val="clear" w:color="auto" w:fill="F2F2F2"/>
          </w:tcPr>
          <w:p w14:paraId="252F5C44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Autor</w:t>
            </w:r>
          </w:p>
        </w:tc>
        <w:tc>
          <w:tcPr>
            <w:tcW w:w="4524" w:type="dxa"/>
            <w:shd w:val="clear" w:color="auto" w:fill="F2F2F2"/>
          </w:tcPr>
          <w:p w14:paraId="24F374E5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Descripción del cambio</w:t>
            </w:r>
          </w:p>
        </w:tc>
      </w:tr>
      <w:tr w:rsidR="007C635D" w:rsidRPr="00F77AC0" w14:paraId="5E59086C" w14:textId="77777777">
        <w:tc>
          <w:tcPr>
            <w:tcW w:w="1092" w:type="dxa"/>
          </w:tcPr>
          <w:p w14:paraId="4629256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0.1</w:t>
            </w:r>
          </w:p>
        </w:tc>
        <w:tc>
          <w:tcPr>
            <w:tcW w:w="1716" w:type="dxa"/>
          </w:tcPr>
          <w:p w14:paraId="338D3FD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07-oct-2026</w:t>
            </w:r>
          </w:p>
        </w:tc>
        <w:tc>
          <w:tcPr>
            <w:tcW w:w="2028" w:type="dxa"/>
          </w:tcPr>
          <w:p w14:paraId="4CD7810F" w14:textId="471ECA2D" w:rsidR="007C635D" w:rsidRPr="00F77AC0" w:rsidRDefault="00F77AC0">
            <w:pPr>
              <w:rPr>
                <w:lang w:val="es-PE"/>
              </w:rPr>
            </w:pPr>
            <w:r>
              <w:rPr>
                <w:lang w:val="es-PE"/>
              </w:rPr>
              <w:t>Vladimir De La Cruz</w:t>
            </w:r>
          </w:p>
        </w:tc>
        <w:tc>
          <w:tcPr>
            <w:tcW w:w="4524" w:type="dxa"/>
          </w:tcPr>
          <w:p w14:paraId="027F07C0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Borrador inicial del alcance</w:t>
            </w:r>
          </w:p>
        </w:tc>
      </w:tr>
      <w:tr w:rsidR="007C635D" w:rsidRPr="00F77AC0" w14:paraId="792E47B5" w14:textId="77777777">
        <w:tc>
          <w:tcPr>
            <w:tcW w:w="1092" w:type="dxa"/>
          </w:tcPr>
          <w:p w14:paraId="18A4EF81" w14:textId="34809858" w:rsidR="007C635D" w:rsidRPr="00F77AC0" w:rsidRDefault="007C635D">
            <w:pPr>
              <w:rPr>
                <w:lang w:val="es-PE"/>
              </w:rPr>
            </w:pPr>
          </w:p>
        </w:tc>
        <w:tc>
          <w:tcPr>
            <w:tcW w:w="1716" w:type="dxa"/>
          </w:tcPr>
          <w:p w14:paraId="0A84F14C" w14:textId="7330DC4E" w:rsidR="007C635D" w:rsidRPr="00F77AC0" w:rsidRDefault="007C635D">
            <w:pPr>
              <w:rPr>
                <w:lang w:val="es-PE"/>
              </w:rPr>
            </w:pPr>
          </w:p>
        </w:tc>
        <w:tc>
          <w:tcPr>
            <w:tcW w:w="2028" w:type="dxa"/>
          </w:tcPr>
          <w:p w14:paraId="2929A463" w14:textId="2072E7BC" w:rsidR="007C635D" w:rsidRPr="00F77AC0" w:rsidRDefault="007C635D">
            <w:pPr>
              <w:rPr>
                <w:lang w:val="es-PE"/>
              </w:rPr>
            </w:pPr>
          </w:p>
        </w:tc>
        <w:tc>
          <w:tcPr>
            <w:tcW w:w="4524" w:type="dxa"/>
          </w:tcPr>
          <w:p w14:paraId="3D943126" w14:textId="033EEF67" w:rsidR="007C635D" w:rsidRPr="00F77AC0" w:rsidRDefault="007C635D">
            <w:pPr>
              <w:rPr>
                <w:lang w:val="es-PE"/>
              </w:rPr>
            </w:pPr>
          </w:p>
        </w:tc>
      </w:tr>
    </w:tbl>
    <w:p w14:paraId="7F81E0D6" w14:textId="77777777" w:rsidR="007C635D" w:rsidRPr="00F77AC0" w:rsidRDefault="00000000">
      <w:pPr>
        <w:pStyle w:val="Ttulo2"/>
        <w:rPr>
          <w:lang w:val="es-PE"/>
        </w:rPr>
      </w:pPr>
      <w:r w:rsidRPr="00F77AC0">
        <w:rPr>
          <w:lang w:val="es-PE"/>
        </w:rPr>
        <w:t>1. Propósito y objetivo de calidad</w:t>
      </w:r>
    </w:p>
    <w:p w14:paraId="349B7C23" w14:textId="77777777" w:rsidR="007C635D" w:rsidRPr="00F77AC0" w:rsidRDefault="00000000" w:rsidP="009735D7">
      <w:pPr>
        <w:rPr>
          <w:lang w:val="es-PE"/>
        </w:rPr>
      </w:pPr>
      <w:r w:rsidRPr="00F77AC0">
        <w:rPr>
          <w:lang w:val="es-PE"/>
        </w:rPr>
        <w:t>Este documento delimita qué se va a probar en MiFarma, qué queda fuera y con qué criterios se considera terminado el trabajo de pruebas. Sirve de base para el plan de pruebas, la matriz de trazabilidad y los reportes de defectos del proyecto.</w:t>
      </w:r>
    </w:p>
    <w:p w14:paraId="4BF61112" w14:textId="77777777" w:rsidR="007C635D" w:rsidRPr="00F77AC0" w:rsidRDefault="00000000" w:rsidP="009735D7">
      <w:pPr>
        <w:rPr>
          <w:lang w:val="es-PE"/>
        </w:rPr>
      </w:pPr>
      <w:r w:rsidRPr="00F77AC0">
        <w:rPr>
          <w:b/>
          <w:lang w:val="es-PE"/>
        </w:rPr>
        <w:t>Objetivo de calidad:</w:t>
      </w:r>
      <w:r w:rsidRPr="00F77AC0">
        <w:rPr>
          <w:lang w:val="es-PE"/>
        </w:rPr>
        <w:t xml:space="preserve"> verificar que un cajero pueda cobrar una venta y entregar al cliente un comprobante impreso </w:t>
      </w:r>
      <w:r w:rsidRPr="00F77AC0">
        <w:rPr>
          <w:b/>
          <w:lang w:val="es-PE"/>
        </w:rPr>
        <w:t>sin conexión a internet</w:t>
      </w:r>
      <w:r w:rsidRPr="00F77AC0">
        <w:rPr>
          <w:lang w:val="es-PE"/>
        </w:rPr>
        <w:t xml:space="preserve">; que esa venta llegue al servidor y a SUNAT </w:t>
      </w:r>
      <w:r w:rsidRPr="00F77AC0">
        <w:rPr>
          <w:b/>
          <w:lang w:val="es-PE"/>
        </w:rPr>
        <w:t>íntegra, una sola vez y dentro del plazo legal</w:t>
      </w:r>
      <w:r w:rsidRPr="00F77AC0">
        <w:rPr>
          <w:lang w:val="es-PE"/>
        </w:rPr>
        <w:t xml:space="preserve">; y que el stock y la rentabilidad que el sistema reporta sean </w:t>
      </w:r>
      <w:r w:rsidRPr="00F77AC0">
        <w:rPr>
          <w:b/>
          <w:lang w:val="es-PE"/>
        </w:rPr>
        <w:t>explicables a partir de los movimientos que los produjeron</w:t>
      </w:r>
      <w:r w:rsidRPr="00F77AC0">
        <w:rPr>
          <w:lang w:val="es-PE"/>
        </w:rPr>
        <w:t>.</w:t>
      </w:r>
    </w:p>
    <w:p w14:paraId="39F9CEE2" w14:textId="77777777" w:rsidR="007C635D" w:rsidRPr="00F77AC0" w:rsidRDefault="00000000" w:rsidP="009735D7">
      <w:pPr>
        <w:rPr>
          <w:lang w:val="es-PE"/>
        </w:rPr>
      </w:pPr>
      <w:r w:rsidRPr="00F77AC0">
        <w:rPr>
          <w:lang w:val="es-PE"/>
        </w:rPr>
        <w:t xml:space="preserve">El objetivo se redacta desde el punto de vista del usuario, no desde el código. Las tres cláusulas no son decorativas: cada una nombra algo que el sistema actual </w:t>
      </w:r>
      <w:r w:rsidRPr="00F77AC0">
        <w:rPr>
          <w:b/>
          <w:lang w:val="es-PE"/>
        </w:rPr>
        <w:t>no</w:t>
      </w:r>
      <w:r w:rsidRPr="00F77AC0">
        <w:rPr>
          <w:lang w:val="es-PE"/>
        </w:rPr>
        <w:t xml:space="preserve"> hace. Hoy no se imprime ningún comprobante, no se transmite nada a SUNAT y el stock se descuadra sin que nadie pueda saber por qué.</w:t>
      </w:r>
    </w:p>
    <w:p w14:paraId="3F828ACB" w14:textId="77777777" w:rsidR="007C635D" w:rsidRPr="00F77AC0" w:rsidRDefault="00000000" w:rsidP="009735D7">
      <w:pPr>
        <w:rPr>
          <w:lang w:val="es-PE"/>
        </w:rPr>
      </w:pPr>
      <w:r w:rsidRPr="00F77AC0">
        <w:rPr>
          <w:lang w:val="es-PE"/>
        </w:rPr>
        <w:lastRenderedPageBreak/>
        <w:t xml:space="preserve">Un segundo objetivo, propio de una migración: </w:t>
      </w:r>
      <w:r w:rsidRPr="00F77AC0">
        <w:rPr>
          <w:b/>
          <w:lang w:val="es-PE"/>
        </w:rPr>
        <w:t>once años de historia de ventas deben seguir cuadrando</w:t>
      </w:r>
      <w:r w:rsidRPr="00F77AC0">
        <w:rPr>
          <w:lang w:val="es-PE"/>
        </w:rPr>
        <w:t xml:space="preserve"> después del traslado. Si los totales del sistema nuevo no coinciden con los del actual, la migración no se acepta.</w:t>
      </w:r>
    </w:p>
    <w:p w14:paraId="0E136DA8" w14:textId="77777777" w:rsidR="007C635D" w:rsidRPr="00F77AC0" w:rsidRDefault="00000000">
      <w:pPr>
        <w:pStyle w:val="Ttulo2"/>
        <w:rPr>
          <w:lang w:val="es-PE"/>
        </w:rPr>
      </w:pPr>
      <w:r w:rsidRPr="00F77AC0">
        <w:rPr>
          <w:lang w:val="es-PE"/>
        </w:rPr>
        <w:t>2. Sistema bajo prueba</w:t>
      </w:r>
    </w:p>
    <w:p w14:paraId="1A628CB1" w14:textId="77777777" w:rsidR="007C635D" w:rsidRPr="00F77AC0" w:rsidRDefault="00000000">
      <w:pPr>
        <w:rPr>
          <w:lang w:val="es-PE"/>
        </w:rPr>
      </w:pPr>
      <w:r w:rsidRPr="00F77AC0">
        <w:rPr>
          <w:lang w:val="es-PE"/>
        </w:rPr>
        <w:t xml:space="preserve">MiFarma es el sistema que </w:t>
      </w:r>
      <w:r w:rsidRPr="00F77AC0">
        <w:rPr>
          <w:b/>
          <w:lang w:val="es-PE"/>
        </w:rPr>
        <w:t>reemplaza</w:t>
      </w:r>
      <w:r w:rsidRPr="00F77AC0">
        <w:rPr>
          <w:lang w:val="es-PE"/>
        </w:rPr>
        <w:t xml:space="preserve"> a BOT. FARMAVIDA, el punto de venta en Visual FoxPro 9 que la botica opera desde 2015. El sistema actual no se va a reparar.</w:t>
      </w:r>
    </w:p>
    <w:p w14:paraId="51BC20CA" w14:textId="1913C236" w:rsidR="007C635D" w:rsidRPr="00F77AC0" w:rsidRDefault="00000000">
      <w:pPr>
        <w:rPr>
          <w:lang w:val="es-PE"/>
        </w:rPr>
      </w:pPr>
      <w:r w:rsidRPr="00F77AC0">
        <w:rPr>
          <w:lang w:val="es-PE"/>
        </w:rPr>
        <w:t xml:space="preserve">El sistema bajo prueba </w:t>
      </w:r>
      <w:r w:rsidRPr="00F77AC0">
        <w:rPr>
          <w:b/>
          <w:lang w:val="es-PE"/>
        </w:rPr>
        <w:t>todavía no existe</w:t>
      </w:r>
      <w:r w:rsidRPr="00F77AC0">
        <w:rPr>
          <w:lang w:val="es-PE"/>
        </w:rPr>
        <w:t>. Este documento define el alcance de calidad de un sistema en diseño, de modo que varios datos del entorno se declara</w:t>
      </w:r>
      <w:r w:rsidR="006F148F">
        <w:rPr>
          <w:lang w:val="es-PE"/>
        </w:rPr>
        <w:t>ran durante el desarrollo</w:t>
      </w:r>
      <w:r w:rsidRPr="00F77AC0">
        <w:rPr>
          <w:lang w:val="es-PE"/>
        </w:rPr>
        <w:t>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518"/>
        <w:gridCol w:w="6842"/>
      </w:tblGrid>
      <w:tr w:rsidR="007C635D" w:rsidRPr="00F77AC0" w14:paraId="0BB42E4C" w14:textId="77777777" w:rsidTr="00F77AC0">
        <w:trPr>
          <w:tblHeader/>
        </w:trPr>
        <w:tc>
          <w:tcPr>
            <w:tcW w:w="2518" w:type="dxa"/>
            <w:shd w:val="clear" w:color="auto" w:fill="F2F2F2"/>
          </w:tcPr>
          <w:p w14:paraId="3942D1F4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Aspecto</w:t>
            </w:r>
          </w:p>
        </w:tc>
        <w:tc>
          <w:tcPr>
            <w:tcW w:w="6842" w:type="dxa"/>
            <w:shd w:val="clear" w:color="auto" w:fill="F2F2F2"/>
          </w:tcPr>
          <w:p w14:paraId="537D5F0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Detalle</w:t>
            </w:r>
          </w:p>
        </w:tc>
      </w:tr>
      <w:tr w:rsidR="007C635D" w:rsidRPr="00F77AC0" w14:paraId="0A302F63" w14:textId="77777777" w:rsidTr="00F77AC0">
        <w:tc>
          <w:tcPr>
            <w:tcW w:w="2518" w:type="dxa"/>
          </w:tcPr>
          <w:p w14:paraId="1A60D268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Nombre del proyecto</w:t>
            </w:r>
          </w:p>
        </w:tc>
        <w:tc>
          <w:tcPr>
            <w:tcW w:w="6842" w:type="dxa"/>
          </w:tcPr>
          <w:p w14:paraId="0F74AD7C" w14:textId="0E6065AB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MiFarma</w:t>
            </w:r>
          </w:p>
        </w:tc>
      </w:tr>
      <w:tr w:rsidR="007C635D" w:rsidRPr="00F77AC0" w14:paraId="6EE688E0" w14:textId="77777777" w:rsidTr="00F77AC0">
        <w:tc>
          <w:tcPr>
            <w:tcW w:w="2518" w:type="dxa"/>
          </w:tcPr>
          <w:p w14:paraId="7596AB6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Estado</w:t>
            </w:r>
          </w:p>
        </w:tc>
        <w:tc>
          <w:tcPr>
            <w:tcW w:w="6842" w:type="dxa"/>
          </w:tcPr>
          <w:p w14:paraId="303B52D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En diseño. Sin código de producción escrito</w:t>
            </w:r>
          </w:p>
        </w:tc>
      </w:tr>
      <w:tr w:rsidR="007C635D" w:rsidRPr="00F77AC0" w14:paraId="70FE6B0D" w14:textId="77777777" w:rsidTr="00F77AC0">
        <w:tc>
          <w:tcPr>
            <w:tcW w:w="2518" w:type="dxa"/>
          </w:tcPr>
          <w:p w14:paraId="1D1DFA1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Sistema que reemplaza</w:t>
            </w:r>
          </w:p>
        </w:tc>
        <w:tc>
          <w:tcPr>
            <w:tcW w:w="6842" w:type="dxa"/>
          </w:tcPr>
          <w:p w14:paraId="221093A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BOT. FARMAVIDA — Visual FoxPro 9, ejecutable compilado el 25-jun-2017, datos en 13 tablas DBF locales</w:t>
            </w:r>
          </w:p>
        </w:tc>
      </w:tr>
      <w:tr w:rsidR="007C635D" w:rsidRPr="00F77AC0" w14:paraId="140D160D" w14:textId="77777777" w:rsidTr="00F77AC0">
        <w:tc>
          <w:tcPr>
            <w:tcW w:w="2518" w:type="dxa"/>
          </w:tcPr>
          <w:p w14:paraId="6B5DC0B0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Clientes previstos</w:t>
            </w:r>
          </w:p>
        </w:tc>
        <w:tc>
          <w:tcPr>
            <w:tcW w:w="6842" w:type="dxa"/>
          </w:tcPr>
          <w:p w14:paraId="06B62098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Escritorio (caja, opera sin internet), web (monitoreo de ventas y gestión de accesos), móvil (escaneo de código de barras e inventario)</w:t>
            </w:r>
          </w:p>
        </w:tc>
      </w:tr>
      <w:tr w:rsidR="007C635D" w:rsidRPr="00F77AC0" w14:paraId="03846482" w14:textId="77777777" w:rsidTr="00F77AC0">
        <w:tc>
          <w:tcPr>
            <w:tcW w:w="2518" w:type="dxa"/>
          </w:tcPr>
          <w:p w14:paraId="5513B85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URL de la aplicación</w:t>
            </w:r>
          </w:p>
        </w:tc>
        <w:tc>
          <w:tcPr>
            <w:tcW w:w="6842" w:type="dxa"/>
          </w:tcPr>
          <w:p w14:paraId="70944768" w14:textId="365CC5E7" w:rsidR="007C635D" w:rsidRPr="00F77AC0" w:rsidRDefault="009735D7">
            <w:pPr>
              <w:rPr>
                <w:lang w:val="es-PE"/>
              </w:rPr>
            </w:pPr>
            <w:r>
              <w:rPr>
                <w:lang w:val="es-PE"/>
              </w:rPr>
              <w:t>No</w:t>
            </w:r>
            <w:r w:rsidR="00000000" w:rsidRPr="00F77AC0">
              <w:rPr>
                <w:lang w:val="es-PE"/>
              </w:rPr>
              <w:t xml:space="preserve"> existe todavía</w:t>
            </w:r>
          </w:p>
        </w:tc>
      </w:tr>
      <w:tr w:rsidR="007C635D" w:rsidRPr="00F77AC0" w14:paraId="0ACB8DD6" w14:textId="77777777" w:rsidTr="00F77AC0">
        <w:tc>
          <w:tcPr>
            <w:tcW w:w="2518" w:type="dxa"/>
          </w:tcPr>
          <w:p w14:paraId="09108F4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Versión bajo prueba</w:t>
            </w:r>
          </w:p>
        </w:tc>
        <w:tc>
          <w:tcPr>
            <w:tcW w:w="6842" w:type="dxa"/>
          </w:tcPr>
          <w:p w14:paraId="5B55EF56" w14:textId="43BC5A3A" w:rsidR="007C635D" w:rsidRPr="00F77AC0" w:rsidRDefault="009735D7">
            <w:pPr>
              <w:rPr>
                <w:lang w:val="es-PE"/>
              </w:rPr>
            </w:pPr>
            <w:r>
              <w:rPr>
                <w:lang w:val="es-PE"/>
              </w:rPr>
              <w:t>No</w:t>
            </w:r>
            <w:r w:rsidRPr="00F77AC0">
              <w:rPr>
                <w:lang w:val="es-PE"/>
              </w:rPr>
              <w:t xml:space="preserve"> existe todavía</w:t>
            </w:r>
          </w:p>
        </w:tc>
      </w:tr>
      <w:tr w:rsidR="007C635D" w:rsidRPr="00F77AC0" w14:paraId="6F150DED" w14:textId="77777777" w:rsidTr="00F77AC0">
        <w:tc>
          <w:tcPr>
            <w:tcW w:w="2518" w:type="dxa"/>
          </w:tcPr>
          <w:p w14:paraId="3E0D0B2E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Tecnología</w:t>
            </w:r>
          </w:p>
        </w:tc>
        <w:tc>
          <w:tcPr>
            <w:tcW w:w="6842" w:type="dxa"/>
          </w:tcPr>
          <w:p w14:paraId="1572C5A5" w14:textId="44B8B912" w:rsidR="007C635D" w:rsidRPr="00F77AC0" w:rsidRDefault="00000000">
            <w:pPr>
              <w:rPr>
                <w:lang w:val="es-PE"/>
              </w:rPr>
            </w:pPr>
            <w:r w:rsidRPr="00F77AC0">
              <w:rPr>
                <w:b/>
                <w:lang w:val="es-PE"/>
              </w:rPr>
              <w:t>Recomendada, no decidida:</w:t>
            </w:r>
            <w:r w:rsidRPr="00F77AC0">
              <w:rPr>
                <w:lang w:val="es-PE"/>
              </w:rPr>
              <w:t xml:space="preserve"> TypeScript en los tres clientes, Tauri 2 y SQLite en la caja, </w:t>
            </w:r>
            <w:r w:rsidR="009735D7">
              <w:rPr>
                <w:lang w:val="es-PE"/>
              </w:rPr>
              <w:t>C#</w:t>
            </w:r>
            <w:r w:rsidRPr="00F77AC0">
              <w:rPr>
                <w:lang w:val="es-PE"/>
              </w:rPr>
              <w:t xml:space="preserve"> en el servidor, PostgreSQL como base central, </w:t>
            </w:r>
            <w:r w:rsidR="009735D7">
              <w:rPr>
                <w:lang w:val="es-PE"/>
              </w:rPr>
              <w:t>Angular</w:t>
            </w:r>
            <w:r w:rsidRPr="00F77AC0">
              <w:rPr>
                <w:lang w:val="es-PE"/>
              </w:rPr>
              <w:t xml:space="preserve"> y </w:t>
            </w:r>
            <w:r w:rsidR="009735D7">
              <w:rPr>
                <w:lang w:val="es-PE"/>
              </w:rPr>
              <w:t>TypeScript</w:t>
            </w:r>
            <w:r w:rsidRPr="00F77AC0">
              <w:rPr>
                <w:lang w:val="es-PE"/>
              </w:rPr>
              <w:t xml:space="preserve"> en la web, </w:t>
            </w:r>
            <w:r w:rsidR="009735D7">
              <w:rPr>
                <w:lang w:val="es-PE"/>
              </w:rPr>
              <w:t>Flutter</w:t>
            </w:r>
            <w:r w:rsidRPr="00F77AC0">
              <w:rPr>
                <w:lang w:val="es-PE"/>
              </w:rPr>
              <w:t xml:space="preserve"> en el móvil. </w:t>
            </w:r>
          </w:p>
        </w:tc>
      </w:tr>
      <w:tr w:rsidR="007C635D" w:rsidRPr="00F77AC0" w14:paraId="49428588" w14:textId="77777777" w:rsidTr="00F77AC0">
        <w:tc>
          <w:tcPr>
            <w:tcW w:w="2518" w:type="dxa"/>
          </w:tcPr>
          <w:p w14:paraId="15C425C6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Repositorio del proyecto</w:t>
            </w:r>
          </w:p>
        </w:tc>
        <w:tc>
          <w:tcPr>
            <w:tcW w:w="6842" w:type="dxa"/>
          </w:tcPr>
          <w:p w14:paraId="20E9ED54" w14:textId="09D3314D" w:rsidR="007C635D" w:rsidRPr="00F77AC0" w:rsidRDefault="009735D7">
            <w:pPr>
              <w:rPr>
                <w:lang w:val="es-PE"/>
              </w:rPr>
            </w:pPr>
            <w:r>
              <w:rPr>
                <w:lang w:val="es-PE"/>
              </w:rPr>
              <w:t>No</w:t>
            </w:r>
            <w:r w:rsidRPr="00F77AC0">
              <w:rPr>
                <w:lang w:val="es-PE"/>
              </w:rPr>
              <w:t xml:space="preserve"> existe todavía</w:t>
            </w:r>
          </w:p>
        </w:tc>
      </w:tr>
      <w:tr w:rsidR="007C635D" w:rsidRPr="00F77AC0" w14:paraId="1196080A" w14:textId="77777777" w:rsidTr="00F77AC0">
        <w:tc>
          <w:tcPr>
            <w:tcW w:w="2518" w:type="dxa"/>
          </w:tcPr>
          <w:p w14:paraId="1809A054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Documentación de la API</w:t>
            </w:r>
          </w:p>
        </w:tc>
        <w:tc>
          <w:tcPr>
            <w:tcW w:w="6842" w:type="dxa"/>
          </w:tcPr>
          <w:p w14:paraId="44587BE6" w14:textId="3C35383E" w:rsidR="007C635D" w:rsidRPr="00F77AC0" w:rsidRDefault="009735D7">
            <w:pPr>
              <w:rPr>
                <w:lang w:val="es-PE"/>
              </w:rPr>
            </w:pPr>
            <w:r>
              <w:rPr>
                <w:lang w:val="es-PE"/>
              </w:rPr>
              <w:t>No</w:t>
            </w:r>
            <w:r w:rsidRPr="00F77AC0">
              <w:rPr>
                <w:lang w:val="es-PE"/>
              </w:rPr>
              <w:t xml:space="preserve"> existe todavía</w:t>
            </w:r>
          </w:p>
        </w:tc>
      </w:tr>
      <w:tr w:rsidR="007C635D" w:rsidRPr="00F77AC0" w14:paraId="3E111A41" w14:textId="77777777" w:rsidTr="00F77AC0">
        <w:tc>
          <w:tcPr>
            <w:tcW w:w="2518" w:type="dxa"/>
          </w:tcPr>
          <w:p w14:paraId="43BF272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Facturación electrónica</w:t>
            </w:r>
          </w:p>
        </w:tc>
        <w:tc>
          <w:tcPr>
            <w:tcW w:w="6842" w:type="dxa"/>
          </w:tcPr>
          <w:p w14:paraId="174E9E06" w14:textId="0EB71D5C" w:rsidR="007C635D" w:rsidRPr="00F77AC0" w:rsidRDefault="009735D7">
            <w:pPr>
              <w:rPr>
                <w:lang w:val="es-PE"/>
              </w:rPr>
            </w:pPr>
            <w:r>
              <w:rPr>
                <w:lang w:val="es-PE"/>
              </w:rPr>
              <w:t>Servicio de Facturación Electrónica de SUNAT</w:t>
            </w:r>
          </w:p>
        </w:tc>
      </w:tr>
      <w:tr w:rsidR="007C635D" w:rsidRPr="00F77AC0" w14:paraId="7E88B1DC" w14:textId="77777777" w:rsidTr="00F77AC0">
        <w:tc>
          <w:tcPr>
            <w:tcW w:w="2518" w:type="dxa"/>
          </w:tcPr>
          <w:p w14:paraId="312913C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Roles de usuario</w:t>
            </w:r>
          </w:p>
        </w:tc>
        <w:tc>
          <w:tcPr>
            <w:tcW w:w="6842" w:type="dxa"/>
          </w:tcPr>
          <w:p w14:paraId="0FE926F8" w14:textId="439BB7C5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Propuesta de partida: cajero, almacén y administrador.</w:t>
            </w:r>
          </w:p>
        </w:tc>
      </w:tr>
      <w:tr w:rsidR="007C635D" w:rsidRPr="00F77AC0" w14:paraId="6B48B639" w14:textId="77777777" w:rsidTr="00F77AC0">
        <w:tc>
          <w:tcPr>
            <w:tcW w:w="2518" w:type="dxa"/>
          </w:tcPr>
          <w:p w14:paraId="5D1C46D9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Volumen de referencia</w:t>
            </w:r>
          </w:p>
        </w:tc>
        <w:tc>
          <w:tcPr>
            <w:tcW w:w="6842" w:type="dxa"/>
          </w:tcPr>
          <w:p w14:paraId="20D6CB79" w14:textId="536D9808" w:rsidR="007C635D" w:rsidRPr="00F77AC0" w:rsidRDefault="006F148F">
            <w:pPr>
              <w:rPr>
                <w:lang w:val="es-PE"/>
              </w:rPr>
            </w:pPr>
            <w:r>
              <w:rPr>
                <w:lang w:val="es-PE"/>
              </w:rPr>
              <w:t>50</w:t>
            </w:r>
            <w:r w:rsidR="00000000" w:rsidRPr="00F77AC0">
              <w:rPr>
                <w:lang w:val="es-PE"/>
              </w:rPr>
              <w:t xml:space="preserve"> boletas diarias, 1 o 2 cajas</w:t>
            </w:r>
          </w:p>
        </w:tc>
      </w:tr>
    </w:tbl>
    <w:p w14:paraId="334FFBA1" w14:textId="4C9F32EB" w:rsidR="007C635D" w:rsidRPr="00F77AC0" w:rsidRDefault="00000000">
      <w:pPr>
        <w:rPr>
          <w:lang w:val="es-PE"/>
        </w:rPr>
      </w:pPr>
      <w:r w:rsidRPr="00F77AC0">
        <w:rPr>
          <w:lang w:val="es-PE"/>
        </w:rPr>
        <w:t xml:space="preserve">Las cifras de este documento se midieron sobre los datos reales, no se estimaron. La tecnología proviene de la arquitectura propuesta y </w:t>
      </w:r>
      <w:r w:rsidRPr="00F77AC0">
        <w:rPr>
          <w:b/>
          <w:lang w:val="es-PE"/>
        </w:rPr>
        <w:t xml:space="preserve">se </w:t>
      </w:r>
      <w:r w:rsidR="006F148F" w:rsidRPr="00F77AC0">
        <w:rPr>
          <w:b/>
          <w:lang w:val="es-PE"/>
        </w:rPr>
        <w:t>declara</w:t>
      </w:r>
      <w:r w:rsidRPr="00F77AC0">
        <w:rPr>
          <w:b/>
          <w:lang w:val="es-PE"/>
        </w:rPr>
        <w:t xml:space="preserve"> </w:t>
      </w:r>
      <w:r w:rsidR="006F148F">
        <w:rPr>
          <w:b/>
          <w:lang w:val="es-PE"/>
        </w:rPr>
        <w:t xml:space="preserve">como </w:t>
      </w:r>
      <w:r w:rsidRPr="00F77AC0">
        <w:rPr>
          <w:b/>
          <w:lang w:val="es-PE"/>
        </w:rPr>
        <w:t>recomendación</w:t>
      </w:r>
      <w:r w:rsidRPr="00F77AC0">
        <w:rPr>
          <w:lang w:val="es-PE"/>
        </w:rPr>
        <w:t xml:space="preserve">, ningún caso de prueba debe depender del </w:t>
      </w:r>
      <w:r w:rsidR="006F148F" w:rsidRPr="00F77AC0">
        <w:rPr>
          <w:lang w:val="es-PE"/>
        </w:rPr>
        <w:t>Stack</w:t>
      </w:r>
      <w:r w:rsidRPr="00F77AC0">
        <w:rPr>
          <w:lang w:val="es-PE"/>
        </w:rPr>
        <w:t>.</w:t>
      </w:r>
    </w:p>
    <w:p w14:paraId="1E7512DA" w14:textId="77777777" w:rsidR="007C635D" w:rsidRPr="00F77AC0" w:rsidRDefault="00000000">
      <w:pPr>
        <w:pStyle w:val="Ttulo2"/>
        <w:rPr>
          <w:lang w:val="es-PE"/>
        </w:rPr>
      </w:pPr>
      <w:r w:rsidRPr="00F77AC0">
        <w:rPr>
          <w:lang w:val="es-PE"/>
        </w:rPr>
        <w:t>3. Alcance de las pruebas</w:t>
      </w:r>
    </w:p>
    <w:p w14:paraId="0C60F3FD" w14:textId="77777777" w:rsidR="007C635D" w:rsidRPr="00F77AC0" w:rsidRDefault="00000000">
      <w:pPr>
        <w:rPr>
          <w:lang w:val="es-PE"/>
        </w:rPr>
      </w:pPr>
      <w:r w:rsidRPr="00F77AC0">
        <w:rPr>
          <w:lang w:val="es-PE"/>
        </w:rPr>
        <w:t>Se priorizan los módulos por el daño que causaría un fallo al negocio: si la caja no imprime, el cliente se va sin comprobante y el negocio incumple; si un reporte del panel se equivoca, el dueño toma una decisión con una cifra mala, que es grave pero no detiene la venta.</w:t>
      </w:r>
    </w:p>
    <w:p w14:paraId="7E7CECA0" w14:textId="77777777" w:rsidR="007C635D" w:rsidRPr="00F77AC0" w:rsidRDefault="00000000">
      <w:pPr>
        <w:rPr>
          <w:lang w:val="es-PE"/>
        </w:rPr>
      </w:pPr>
      <w:r w:rsidRPr="00F77AC0">
        <w:rPr>
          <w:lang w:val="es-PE"/>
        </w:rPr>
        <w:lastRenderedPageBreak/>
        <w:t>Dentro del alcance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850"/>
        <w:gridCol w:w="1385"/>
        <w:gridCol w:w="3584"/>
        <w:gridCol w:w="850"/>
        <w:gridCol w:w="2691"/>
      </w:tblGrid>
      <w:tr w:rsidR="007C635D" w:rsidRPr="00F77AC0" w14:paraId="6DEF56E7" w14:textId="77777777" w:rsidTr="006F148F">
        <w:trPr>
          <w:tblHeader/>
        </w:trPr>
        <w:tc>
          <w:tcPr>
            <w:tcW w:w="850" w:type="dxa"/>
            <w:shd w:val="clear" w:color="auto" w:fill="F2F2F2"/>
          </w:tcPr>
          <w:p w14:paraId="198EAD6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Código</w:t>
            </w:r>
          </w:p>
        </w:tc>
        <w:tc>
          <w:tcPr>
            <w:tcW w:w="1385" w:type="dxa"/>
            <w:shd w:val="clear" w:color="auto" w:fill="F2F2F2"/>
          </w:tcPr>
          <w:p w14:paraId="119F7595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Módulo</w:t>
            </w:r>
          </w:p>
        </w:tc>
        <w:tc>
          <w:tcPr>
            <w:tcW w:w="3584" w:type="dxa"/>
            <w:shd w:val="clear" w:color="auto" w:fill="F2F2F2"/>
          </w:tcPr>
          <w:p w14:paraId="2D6E7FD7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Qué se verifica</w:t>
            </w:r>
          </w:p>
        </w:tc>
        <w:tc>
          <w:tcPr>
            <w:tcW w:w="850" w:type="dxa"/>
            <w:shd w:val="clear" w:color="auto" w:fill="F2F2F2"/>
          </w:tcPr>
          <w:p w14:paraId="032B231E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Prioridad</w:t>
            </w:r>
          </w:p>
        </w:tc>
        <w:tc>
          <w:tcPr>
            <w:tcW w:w="2691" w:type="dxa"/>
            <w:shd w:val="clear" w:color="auto" w:fill="F2F2F2"/>
          </w:tcPr>
          <w:p w14:paraId="28EED85E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Riesgo si falla</w:t>
            </w:r>
          </w:p>
        </w:tc>
      </w:tr>
      <w:tr w:rsidR="007C635D" w:rsidRPr="00F77AC0" w14:paraId="49EAB062" w14:textId="77777777" w:rsidTr="006F148F">
        <w:tc>
          <w:tcPr>
            <w:tcW w:w="850" w:type="dxa"/>
          </w:tcPr>
          <w:p w14:paraId="11E5DB13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M01</w:t>
            </w:r>
          </w:p>
        </w:tc>
        <w:tc>
          <w:tcPr>
            <w:tcW w:w="1385" w:type="dxa"/>
          </w:tcPr>
          <w:p w14:paraId="3A1224D2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Dominio compartido</w:t>
            </w:r>
          </w:p>
        </w:tc>
        <w:tc>
          <w:tcPr>
            <w:tcW w:w="3584" w:type="dxa"/>
          </w:tcPr>
          <w:p w14:paraId="651B599D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Cálculo de totales e IGV con vigencia, validación de precios, numeración por serie, importe en letras, derivación del stock</w:t>
            </w:r>
          </w:p>
        </w:tc>
        <w:tc>
          <w:tcPr>
            <w:tcW w:w="850" w:type="dxa"/>
          </w:tcPr>
          <w:p w14:paraId="6549C741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Alta</w:t>
            </w:r>
          </w:p>
        </w:tc>
        <w:tc>
          <w:tcPr>
            <w:tcW w:w="2691" w:type="dxa"/>
          </w:tcPr>
          <w:p w14:paraId="5A6E060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Toda cifra del sistema nace aquí; un error se propaga a los tres clientes a la vez</w:t>
            </w:r>
          </w:p>
        </w:tc>
      </w:tr>
      <w:tr w:rsidR="007C635D" w:rsidRPr="00F77AC0" w14:paraId="41EB6765" w14:textId="77777777" w:rsidTr="006F148F">
        <w:tc>
          <w:tcPr>
            <w:tcW w:w="850" w:type="dxa"/>
          </w:tcPr>
          <w:p w14:paraId="4B7D7804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M02</w:t>
            </w:r>
          </w:p>
        </w:tc>
        <w:tc>
          <w:tcPr>
            <w:tcW w:w="1385" w:type="dxa"/>
          </w:tcPr>
          <w:p w14:paraId="2772182E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Venta en caja, sin conexión</w:t>
            </w:r>
          </w:p>
        </w:tc>
        <w:tc>
          <w:tcPr>
            <w:tcW w:w="3584" w:type="dxa"/>
          </w:tcPr>
          <w:p w14:paraId="5F1677A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Búsqueda por código de barras, descripción o código interno; suma de cantidades al repetir un producto; cobro con medios múltiples y vuelto</w:t>
            </w:r>
          </w:p>
        </w:tc>
        <w:tc>
          <w:tcPr>
            <w:tcW w:w="850" w:type="dxa"/>
          </w:tcPr>
          <w:p w14:paraId="7BF9EEF4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Alta</w:t>
            </w:r>
          </w:p>
        </w:tc>
        <w:tc>
          <w:tcPr>
            <w:tcW w:w="2691" w:type="dxa"/>
          </w:tcPr>
          <w:p w14:paraId="3E50EEF1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La botica no puede vender</w:t>
            </w:r>
          </w:p>
        </w:tc>
      </w:tr>
      <w:tr w:rsidR="007C635D" w:rsidRPr="00F77AC0" w14:paraId="79E8B327" w14:textId="77777777" w:rsidTr="006F148F">
        <w:tc>
          <w:tcPr>
            <w:tcW w:w="850" w:type="dxa"/>
          </w:tcPr>
          <w:p w14:paraId="7EEA7158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M03</w:t>
            </w:r>
          </w:p>
        </w:tc>
        <w:tc>
          <w:tcPr>
            <w:tcW w:w="1385" w:type="dxa"/>
          </w:tcPr>
          <w:p w14:paraId="030B2D24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Emisión e impresión del comprobante</w:t>
            </w:r>
          </w:p>
        </w:tc>
        <w:tc>
          <w:tcPr>
            <w:tcW w:w="3584" w:type="dxa"/>
          </w:tcPr>
          <w:p w14:paraId="5ECF6E68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Serie propia del terminal, correlativo sin huecos ni duplicados, impresión del ticket en la impresora térmica</w:t>
            </w:r>
          </w:p>
        </w:tc>
        <w:tc>
          <w:tcPr>
            <w:tcW w:w="850" w:type="dxa"/>
          </w:tcPr>
          <w:p w14:paraId="56CB6BB1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Alta</w:t>
            </w:r>
          </w:p>
        </w:tc>
        <w:tc>
          <w:tcPr>
            <w:tcW w:w="2691" w:type="dxa"/>
          </w:tcPr>
          <w:p w14:paraId="54EF42F6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El cliente no recibe comprobante. Es lo que hoy no ocurre nunca</w:t>
            </w:r>
          </w:p>
        </w:tc>
      </w:tr>
      <w:tr w:rsidR="007C635D" w:rsidRPr="00F77AC0" w14:paraId="73783AA3" w14:textId="77777777" w:rsidTr="006F148F">
        <w:tc>
          <w:tcPr>
            <w:tcW w:w="850" w:type="dxa"/>
          </w:tcPr>
          <w:p w14:paraId="6F2DCC90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M04</w:t>
            </w:r>
          </w:p>
        </w:tc>
        <w:tc>
          <w:tcPr>
            <w:tcW w:w="1385" w:type="dxa"/>
          </w:tcPr>
          <w:p w14:paraId="4B0D91A5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Atomicidad de la operación de venta</w:t>
            </w:r>
          </w:p>
        </w:tc>
        <w:tc>
          <w:tcPr>
            <w:tcW w:w="3584" w:type="dxa"/>
          </w:tcPr>
          <w:p w14:paraId="62993EF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Comprobante, líneas, pagos, movimientos de inventario, saldos y bandeja de salida en una sola transacción: o todo o nada</w:t>
            </w:r>
          </w:p>
        </w:tc>
        <w:tc>
          <w:tcPr>
            <w:tcW w:w="850" w:type="dxa"/>
          </w:tcPr>
          <w:p w14:paraId="2C120D6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Alta</w:t>
            </w:r>
          </w:p>
        </w:tc>
        <w:tc>
          <w:tcPr>
            <w:tcW w:w="2691" w:type="dxa"/>
          </w:tcPr>
          <w:p w14:paraId="4B9A2487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Ventas a medias y stock descontado parcialmente, sin error y sin rastro</w:t>
            </w:r>
          </w:p>
        </w:tc>
      </w:tr>
      <w:tr w:rsidR="007C635D" w:rsidRPr="00F77AC0" w14:paraId="6207624A" w14:textId="77777777" w:rsidTr="006F148F">
        <w:tc>
          <w:tcPr>
            <w:tcW w:w="850" w:type="dxa"/>
          </w:tcPr>
          <w:p w14:paraId="666E791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M05</w:t>
            </w:r>
          </w:p>
        </w:tc>
        <w:tc>
          <w:tcPr>
            <w:tcW w:w="1385" w:type="dxa"/>
          </w:tcPr>
          <w:p w14:paraId="3729887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Anulación con nota de crédito</w:t>
            </w:r>
          </w:p>
        </w:tc>
        <w:tc>
          <w:tcPr>
            <w:tcW w:w="3584" w:type="dxa"/>
          </w:tcPr>
          <w:p w14:paraId="4F65B7F1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La anulación agrega un movimiento contrario y referencia al comprobante original; nada se edita ni se borra</w:t>
            </w:r>
          </w:p>
        </w:tc>
        <w:tc>
          <w:tcPr>
            <w:tcW w:w="850" w:type="dxa"/>
          </w:tcPr>
          <w:p w14:paraId="0C4E698D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Alta</w:t>
            </w:r>
          </w:p>
        </w:tc>
        <w:tc>
          <w:tcPr>
            <w:tcW w:w="2691" w:type="dxa"/>
          </w:tcPr>
          <w:p w14:paraId="37340743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Se destruye el histórico de lo vendido</w:t>
            </w:r>
          </w:p>
        </w:tc>
      </w:tr>
      <w:tr w:rsidR="007C635D" w:rsidRPr="00F77AC0" w14:paraId="01D72953" w14:textId="77777777" w:rsidTr="006F148F">
        <w:tc>
          <w:tcPr>
            <w:tcW w:w="850" w:type="dxa"/>
          </w:tcPr>
          <w:p w14:paraId="50529FA0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M06</w:t>
            </w:r>
          </w:p>
        </w:tc>
        <w:tc>
          <w:tcPr>
            <w:tcW w:w="1385" w:type="dxa"/>
          </w:tcPr>
          <w:p w14:paraId="0CC2A8CD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Libro de movimientos y saldos derivados</w:t>
            </w:r>
          </w:p>
        </w:tc>
        <w:tc>
          <w:tcPr>
            <w:tcW w:w="3584" w:type="dxa"/>
          </w:tcPr>
          <w:p w14:paraId="22D274A0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El stock es la suma de sus movimientos; el saldo es una caché reconstruible desde cero en cualquier momento</w:t>
            </w:r>
          </w:p>
        </w:tc>
        <w:tc>
          <w:tcPr>
            <w:tcW w:w="850" w:type="dxa"/>
          </w:tcPr>
          <w:p w14:paraId="7ED0E1C8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Alta</w:t>
            </w:r>
          </w:p>
        </w:tc>
        <w:tc>
          <w:tcPr>
            <w:tcW w:w="2691" w:type="dxa"/>
          </w:tcPr>
          <w:p w14:paraId="2E72B6A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Stock inexplicable, que es el defecto de fondo del sistema actual</w:t>
            </w:r>
          </w:p>
        </w:tc>
      </w:tr>
      <w:tr w:rsidR="007C635D" w:rsidRPr="00F77AC0" w14:paraId="5DD2192A" w14:textId="77777777" w:rsidTr="006F148F">
        <w:tc>
          <w:tcPr>
            <w:tcW w:w="850" w:type="dxa"/>
          </w:tcPr>
          <w:p w14:paraId="36590F26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M07</w:t>
            </w:r>
          </w:p>
        </w:tc>
        <w:tc>
          <w:tcPr>
            <w:tcW w:w="1385" w:type="dxa"/>
          </w:tcPr>
          <w:p w14:paraId="11A6EEE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Motor de sincronización</w:t>
            </w:r>
          </w:p>
        </w:tc>
        <w:tc>
          <w:tcPr>
            <w:tcW w:w="3584" w:type="dxa"/>
          </w:tcPr>
          <w:p w14:paraId="4C2843C6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Bandeja de salida, ingesta idempotente por identificador, rechazo de lotes con huecos de secuencia, bajada de catálogo y precios</w:t>
            </w:r>
          </w:p>
        </w:tc>
        <w:tc>
          <w:tcPr>
            <w:tcW w:w="850" w:type="dxa"/>
          </w:tcPr>
          <w:p w14:paraId="3FBCE8A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Alta</w:t>
            </w:r>
          </w:p>
        </w:tc>
        <w:tc>
          <w:tcPr>
            <w:tcW w:w="2691" w:type="dxa"/>
          </w:tcPr>
          <w:p w14:paraId="4D374EAD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Ventas duplicadas o perdidas, e incumplimiento del plazo tributario</w:t>
            </w:r>
          </w:p>
        </w:tc>
      </w:tr>
      <w:tr w:rsidR="007C635D" w:rsidRPr="00F77AC0" w14:paraId="1B478E40" w14:textId="77777777" w:rsidTr="006F148F">
        <w:tc>
          <w:tcPr>
            <w:tcW w:w="850" w:type="dxa"/>
          </w:tcPr>
          <w:p w14:paraId="601C43B0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M08</w:t>
            </w:r>
          </w:p>
        </w:tc>
        <w:tc>
          <w:tcPr>
            <w:tcW w:w="1385" w:type="dxa"/>
          </w:tcPr>
          <w:p w14:paraId="375D9233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Integración con SUNAT vía PSE u OSE</w:t>
            </w:r>
          </w:p>
        </w:tc>
        <w:tc>
          <w:tcPr>
            <w:tcW w:w="3584" w:type="dxa"/>
          </w:tcPr>
          <w:p w14:paraId="1BBE9183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Resumen diario de boletas, envío de facturas, reintentos y visibilidad del estado de cada comprobante</w:t>
            </w:r>
          </w:p>
        </w:tc>
        <w:tc>
          <w:tcPr>
            <w:tcW w:w="850" w:type="dxa"/>
          </w:tcPr>
          <w:p w14:paraId="78E1000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Alta</w:t>
            </w:r>
          </w:p>
        </w:tc>
        <w:tc>
          <w:tcPr>
            <w:tcW w:w="2691" w:type="dxa"/>
          </w:tcPr>
          <w:p w14:paraId="6ACB7B56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Incumplimiento tributario del negocio</w:t>
            </w:r>
          </w:p>
        </w:tc>
      </w:tr>
      <w:tr w:rsidR="007C635D" w:rsidRPr="00F77AC0" w14:paraId="34299987" w14:textId="77777777" w:rsidTr="006F148F">
        <w:tc>
          <w:tcPr>
            <w:tcW w:w="850" w:type="dxa"/>
          </w:tcPr>
          <w:p w14:paraId="2328F868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M09</w:t>
            </w:r>
          </w:p>
        </w:tc>
        <w:tc>
          <w:tcPr>
            <w:tcW w:w="1385" w:type="dxa"/>
          </w:tcPr>
          <w:p w14:paraId="75CE685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 xml:space="preserve">Sesión de </w:t>
            </w:r>
            <w:r w:rsidRPr="00F77AC0">
              <w:rPr>
                <w:lang w:val="es-PE"/>
              </w:rPr>
              <w:lastRenderedPageBreak/>
              <w:t>caja y arqueo</w:t>
            </w:r>
          </w:p>
        </w:tc>
        <w:tc>
          <w:tcPr>
            <w:tcW w:w="3584" w:type="dxa"/>
          </w:tcPr>
          <w:p w14:paraId="0A87065E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lastRenderedPageBreak/>
              <w:t xml:space="preserve">Apertura, cierre y cuadre del efectivo </w:t>
            </w:r>
            <w:r w:rsidRPr="00F77AC0">
              <w:rPr>
                <w:lang w:val="es-PE"/>
              </w:rPr>
              <w:lastRenderedPageBreak/>
              <w:t>contra lo cobrado</w:t>
            </w:r>
          </w:p>
        </w:tc>
        <w:tc>
          <w:tcPr>
            <w:tcW w:w="850" w:type="dxa"/>
          </w:tcPr>
          <w:p w14:paraId="790BEF61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lastRenderedPageBreak/>
              <w:t>Media</w:t>
            </w:r>
          </w:p>
        </w:tc>
        <w:tc>
          <w:tcPr>
            <w:tcW w:w="2691" w:type="dxa"/>
          </w:tcPr>
          <w:p w14:paraId="59EB5505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 xml:space="preserve">No se detecta un </w:t>
            </w:r>
            <w:r w:rsidRPr="00F77AC0">
              <w:rPr>
                <w:lang w:val="es-PE"/>
              </w:rPr>
              <w:lastRenderedPageBreak/>
              <w:t>descuadre de caja</w:t>
            </w:r>
          </w:p>
        </w:tc>
      </w:tr>
      <w:tr w:rsidR="007C635D" w:rsidRPr="00F77AC0" w14:paraId="2635C271" w14:textId="77777777" w:rsidTr="006F148F">
        <w:tc>
          <w:tcPr>
            <w:tcW w:w="850" w:type="dxa"/>
          </w:tcPr>
          <w:p w14:paraId="3AF39B6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lastRenderedPageBreak/>
              <w:t>M10</w:t>
            </w:r>
          </w:p>
        </w:tc>
        <w:tc>
          <w:tcPr>
            <w:tcW w:w="1385" w:type="dxa"/>
          </w:tcPr>
          <w:p w14:paraId="2E9E4DB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Autenticación, roles y permisos</w:t>
            </w:r>
          </w:p>
        </w:tc>
        <w:tc>
          <w:tcPr>
            <w:tcW w:w="3584" w:type="dxa"/>
          </w:tcPr>
          <w:p w14:paraId="0A18F46D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Contraseñas con hash y factor de coste, permisos verificados donde se ejecuta la operación, cierre de sesión real, costos y márgenes ocultos también en los reportes</w:t>
            </w:r>
          </w:p>
        </w:tc>
        <w:tc>
          <w:tcPr>
            <w:tcW w:w="850" w:type="dxa"/>
          </w:tcPr>
          <w:p w14:paraId="7A65A5E1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Alta</w:t>
            </w:r>
          </w:p>
        </w:tc>
        <w:tc>
          <w:tcPr>
            <w:tcW w:w="2691" w:type="dxa"/>
          </w:tcPr>
          <w:p w14:paraId="28998FFE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Cualquiera entra, y cualquiera ve los márgenes del negocio</w:t>
            </w:r>
          </w:p>
        </w:tc>
      </w:tr>
      <w:tr w:rsidR="007C635D" w:rsidRPr="00F77AC0" w14:paraId="013F494C" w14:textId="77777777" w:rsidTr="006F148F">
        <w:tc>
          <w:tcPr>
            <w:tcW w:w="850" w:type="dxa"/>
          </w:tcPr>
          <w:p w14:paraId="7771213E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M11</w:t>
            </w:r>
          </w:p>
        </w:tc>
        <w:tc>
          <w:tcPr>
            <w:tcW w:w="1385" w:type="dxa"/>
          </w:tcPr>
          <w:p w14:paraId="4A155091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Panel web: reportes y rentabilidad</w:t>
            </w:r>
          </w:p>
        </w:tc>
        <w:tc>
          <w:tcPr>
            <w:tcW w:w="3584" w:type="dxa"/>
          </w:tcPr>
          <w:p w14:paraId="2EC0AD0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Los reportes de gestión que el sistema actual tenía y no se podían abrir; rentabilidad calculada con el costo histórico de la línea</w:t>
            </w:r>
          </w:p>
        </w:tc>
        <w:tc>
          <w:tcPr>
            <w:tcW w:w="850" w:type="dxa"/>
          </w:tcPr>
          <w:p w14:paraId="30BBDEE2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Media</w:t>
            </w:r>
          </w:p>
        </w:tc>
        <w:tc>
          <w:tcPr>
            <w:tcW w:w="2691" w:type="dxa"/>
          </w:tcPr>
          <w:p w14:paraId="3262540D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Decisiones de negocio tomadas con cifras que no se pueden reproducir</w:t>
            </w:r>
          </w:p>
        </w:tc>
      </w:tr>
      <w:tr w:rsidR="007C635D" w:rsidRPr="00F77AC0" w14:paraId="305256A1" w14:textId="77777777" w:rsidTr="006F148F">
        <w:tc>
          <w:tcPr>
            <w:tcW w:w="850" w:type="dxa"/>
          </w:tcPr>
          <w:p w14:paraId="73EBA287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M12</w:t>
            </w:r>
          </w:p>
        </w:tc>
        <w:tc>
          <w:tcPr>
            <w:tcW w:w="1385" w:type="dxa"/>
          </w:tcPr>
          <w:p w14:paraId="31C6FE8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Panel web: vigilancia de sincronización</w:t>
            </w:r>
          </w:p>
        </w:tc>
        <w:tc>
          <w:tcPr>
            <w:tcW w:w="3584" w:type="dxa"/>
          </w:tcPr>
          <w:p w14:paraId="3A1FF649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Días sin sincronizar por terminal, escalado de avisos y bloqueo de la emisión de facturas al tercer día</w:t>
            </w:r>
          </w:p>
        </w:tc>
        <w:tc>
          <w:tcPr>
            <w:tcW w:w="850" w:type="dxa"/>
          </w:tcPr>
          <w:p w14:paraId="7738158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Alta</w:t>
            </w:r>
          </w:p>
        </w:tc>
        <w:tc>
          <w:tcPr>
            <w:tcW w:w="2691" w:type="dxa"/>
          </w:tcPr>
          <w:p w14:paraId="3D9FA38E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Una caja acumula días sin subir y el negocio incumple sin que nadie lo note</w:t>
            </w:r>
          </w:p>
        </w:tc>
      </w:tr>
      <w:tr w:rsidR="007C635D" w:rsidRPr="00F77AC0" w14:paraId="0E653730" w14:textId="77777777" w:rsidTr="006F148F">
        <w:tc>
          <w:tcPr>
            <w:tcW w:w="850" w:type="dxa"/>
          </w:tcPr>
          <w:p w14:paraId="61D2225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M13</w:t>
            </w:r>
          </w:p>
        </w:tc>
        <w:tc>
          <w:tcPr>
            <w:tcW w:w="1385" w:type="dxa"/>
          </w:tcPr>
          <w:p w14:paraId="557D8614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Móvil: escaneo e inventario</w:t>
            </w:r>
          </w:p>
        </w:tc>
        <w:tc>
          <w:tcPr>
            <w:tcW w:w="3584" w:type="dxa"/>
          </w:tcPr>
          <w:p w14:paraId="4B8D98DD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Consulta de producto por código de barras, captura del código en productos que no lo tienen, conteo físico con registro de diferencias, movimientos con motivo</w:t>
            </w:r>
          </w:p>
        </w:tc>
        <w:tc>
          <w:tcPr>
            <w:tcW w:w="850" w:type="dxa"/>
          </w:tcPr>
          <w:p w14:paraId="122E29D5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Media</w:t>
            </w:r>
          </w:p>
        </w:tc>
        <w:tc>
          <w:tcPr>
            <w:tcW w:w="2691" w:type="dxa"/>
          </w:tcPr>
          <w:p w14:paraId="1007982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El inventario sigue sin significar nada</w:t>
            </w:r>
          </w:p>
        </w:tc>
      </w:tr>
      <w:tr w:rsidR="007C635D" w:rsidRPr="00F77AC0" w14:paraId="4EE37550" w14:textId="77777777" w:rsidTr="006F148F">
        <w:tc>
          <w:tcPr>
            <w:tcW w:w="850" w:type="dxa"/>
          </w:tcPr>
          <w:p w14:paraId="5C02DB31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M14</w:t>
            </w:r>
          </w:p>
        </w:tc>
        <w:tc>
          <w:tcPr>
            <w:tcW w:w="1385" w:type="dxa"/>
          </w:tcPr>
          <w:p w14:paraId="749FCDD3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Migración de los datos históricos</w:t>
            </w:r>
          </w:p>
        </w:tc>
        <w:tc>
          <w:tcPr>
            <w:tcW w:w="3584" w:type="dxa"/>
          </w:tcPr>
          <w:p w14:paraId="31A80E7D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Las comprobaciones de verificación de la migración, automatizadas y reejecutables desde cero</w:t>
            </w:r>
          </w:p>
        </w:tc>
        <w:tc>
          <w:tcPr>
            <w:tcW w:w="850" w:type="dxa"/>
          </w:tcPr>
          <w:p w14:paraId="1740AE8D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Alta</w:t>
            </w:r>
          </w:p>
        </w:tc>
        <w:tc>
          <w:tcPr>
            <w:tcW w:w="2691" w:type="dxa"/>
          </w:tcPr>
          <w:p w14:paraId="2775023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Once años de ventas que no cuadran con el sistema anterior</w:t>
            </w:r>
          </w:p>
        </w:tc>
      </w:tr>
      <w:tr w:rsidR="007C635D" w:rsidRPr="00F77AC0" w14:paraId="176ED6A7" w14:textId="77777777" w:rsidTr="006F148F">
        <w:tc>
          <w:tcPr>
            <w:tcW w:w="850" w:type="dxa"/>
          </w:tcPr>
          <w:p w14:paraId="07185CC7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M15</w:t>
            </w:r>
          </w:p>
        </w:tc>
        <w:tc>
          <w:tcPr>
            <w:tcW w:w="1385" w:type="dxa"/>
          </w:tcPr>
          <w:p w14:paraId="4CABE22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Respaldo y restauración</w:t>
            </w:r>
          </w:p>
        </w:tc>
        <w:tc>
          <w:tcPr>
            <w:tcW w:w="3584" w:type="dxa"/>
          </w:tcPr>
          <w:p w14:paraId="7910FF23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Respaldo automático verificado, copia fuera del local y una restauración efectivamente ejecutada</w:t>
            </w:r>
          </w:p>
        </w:tc>
        <w:tc>
          <w:tcPr>
            <w:tcW w:w="850" w:type="dxa"/>
          </w:tcPr>
          <w:p w14:paraId="1C18C84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Alta</w:t>
            </w:r>
          </w:p>
        </w:tc>
        <w:tc>
          <w:tcPr>
            <w:tcW w:w="2691" w:type="dxa"/>
          </w:tcPr>
          <w:p w14:paraId="7DC8B258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Pérdida total e irreversible de los datos. Es el riesgo más alto que arrastra el negocio</w:t>
            </w:r>
          </w:p>
        </w:tc>
      </w:tr>
      <w:tr w:rsidR="007C635D" w:rsidRPr="00F77AC0" w14:paraId="453D392C" w14:textId="77777777" w:rsidTr="006F148F">
        <w:tc>
          <w:tcPr>
            <w:tcW w:w="850" w:type="dxa"/>
          </w:tcPr>
          <w:p w14:paraId="122D81BD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M16</w:t>
            </w:r>
          </w:p>
        </w:tc>
        <w:tc>
          <w:tcPr>
            <w:tcW w:w="1385" w:type="dxa"/>
          </w:tcPr>
          <w:p w14:paraId="76D6E48E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Catálogo, precios y auditoría</w:t>
            </w:r>
          </w:p>
        </w:tc>
        <w:tc>
          <w:tcPr>
            <w:tcW w:w="3584" w:type="dxa"/>
          </w:tcPr>
          <w:p w14:paraId="2D0B24EE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Precio como dato con vigencia, códigos de barras acumulables, bitácora de auditoría consultable</w:t>
            </w:r>
          </w:p>
        </w:tc>
        <w:tc>
          <w:tcPr>
            <w:tcW w:w="850" w:type="dxa"/>
          </w:tcPr>
          <w:p w14:paraId="1F94965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Media</w:t>
            </w:r>
          </w:p>
        </w:tc>
        <w:tc>
          <w:tcPr>
            <w:tcW w:w="2691" w:type="dxa"/>
          </w:tcPr>
          <w:p w14:paraId="2258D702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Cambiar un precio reescribe el pasado, y nadie sabe quién cambió qué</w:t>
            </w:r>
          </w:p>
        </w:tc>
      </w:tr>
    </w:tbl>
    <w:p w14:paraId="58C737D5" w14:textId="77777777" w:rsidR="007C635D" w:rsidRPr="00F77AC0" w:rsidRDefault="00000000">
      <w:pPr>
        <w:rPr>
          <w:lang w:val="es-PE"/>
        </w:rPr>
      </w:pPr>
      <w:r w:rsidRPr="00F77AC0">
        <w:rPr>
          <w:lang w:val="es-PE"/>
        </w:rPr>
        <w:t>Fuera del alcance</w:t>
      </w:r>
    </w:p>
    <w:p w14:paraId="6DB5C0F7" w14:textId="1EFDE436" w:rsidR="007C635D" w:rsidRPr="00F77AC0" w:rsidRDefault="00000000">
      <w:pPr>
        <w:pStyle w:val="Prrafodelista"/>
        <w:numPr>
          <w:ilvl w:val="0"/>
          <w:numId w:val="1"/>
        </w:numPr>
        <w:rPr>
          <w:lang w:val="es-PE"/>
        </w:rPr>
      </w:pPr>
      <w:r w:rsidRPr="00F77AC0">
        <w:rPr>
          <w:lang w:val="es-PE"/>
        </w:rPr>
        <w:t xml:space="preserve">Pruebas de carga y de estrés. El volumen medido es de unas </w:t>
      </w:r>
      <w:r w:rsidR="006F148F">
        <w:rPr>
          <w:lang w:val="es-PE"/>
        </w:rPr>
        <w:t>50</w:t>
      </w:r>
      <w:r w:rsidRPr="00F77AC0">
        <w:rPr>
          <w:lang w:val="es-PE"/>
        </w:rPr>
        <w:t xml:space="preserve"> ventas diarias en una o dos cajas; la dificultad de este proyecto es la fiabilidad y el cumplimiento, no la escala. Sí se verifica que los reportes sobre las 187,155 líneas migradas respondan en un tiempo razonable.</w:t>
      </w:r>
    </w:p>
    <w:p w14:paraId="70B8B4B8" w14:textId="77777777" w:rsidR="007C635D" w:rsidRPr="00F77AC0" w:rsidRDefault="00000000">
      <w:pPr>
        <w:pStyle w:val="Prrafodelista"/>
        <w:numPr>
          <w:ilvl w:val="0"/>
          <w:numId w:val="1"/>
        </w:numPr>
        <w:rPr>
          <w:lang w:val="es-PE"/>
        </w:rPr>
      </w:pPr>
      <w:r w:rsidRPr="00F77AC0">
        <w:rPr>
          <w:lang w:val="es-PE"/>
        </w:rPr>
        <w:lastRenderedPageBreak/>
        <w:t>Pruebas de penetración y seguridad ofensiva. Los requisitos de seguridad se verifican por comportamiento observable, no por intrusión.</w:t>
      </w:r>
    </w:p>
    <w:p w14:paraId="78F9F3BF" w14:textId="64FB945E" w:rsidR="007C635D" w:rsidRPr="00F77AC0" w:rsidRDefault="00000000">
      <w:pPr>
        <w:pStyle w:val="Prrafodelista"/>
        <w:numPr>
          <w:ilvl w:val="0"/>
          <w:numId w:val="1"/>
        </w:numPr>
        <w:rPr>
          <w:lang w:val="es-PE"/>
        </w:rPr>
      </w:pPr>
      <w:r w:rsidRPr="00F77AC0">
        <w:rPr>
          <w:lang w:val="es-PE"/>
        </w:rPr>
        <w:t>Conformidad del XML UBL y de la firma digital. Quedan del lado de</w:t>
      </w:r>
      <w:r w:rsidR="006F148F">
        <w:rPr>
          <w:lang w:val="es-PE"/>
        </w:rPr>
        <w:t xml:space="preserve"> SUNAT</w:t>
      </w:r>
      <w:r w:rsidRPr="00F77AC0">
        <w:rPr>
          <w:lang w:val="es-PE"/>
        </w:rPr>
        <w:t>, los plazos y el estado del envío, no el formato del documento electrónico.</w:t>
      </w:r>
    </w:p>
    <w:p w14:paraId="2808DECC" w14:textId="3EE6A3F4" w:rsidR="007C635D" w:rsidRPr="00F77AC0" w:rsidRDefault="00000000">
      <w:pPr>
        <w:pStyle w:val="Prrafodelista"/>
        <w:numPr>
          <w:ilvl w:val="0"/>
          <w:numId w:val="1"/>
        </w:numPr>
        <w:rPr>
          <w:lang w:val="es-PE"/>
        </w:rPr>
      </w:pPr>
      <w:r w:rsidRPr="00F77AC0">
        <w:rPr>
          <w:lang w:val="es-PE"/>
        </w:rPr>
        <w:t xml:space="preserve">Gestión de crédito y cobranzas, y precio por mayor. Están fuera del alcance del producto, por </w:t>
      </w:r>
      <w:r w:rsidR="006F148F" w:rsidRPr="00F77AC0">
        <w:rPr>
          <w:lang w:val="es-PE"/>
        </w:rPr>
        <w:t>tanto,</w:t>
      </w:r>
      <w:r w:rsidRPr="00F77AC0">
        <w:rPr>
          <w:lang w:val="es-PE"/>
        </w:rPr>
        <w:t xml:space="preserve"> fuera del de pruebas.</w:t>
      </w:r>
    </w:p>
    <w:p w14:paraId="77580E0D" w14:textId="77777777" w:rsidR="007C635D" w:rsidRPr="00F77AC0" w:rsidRDefault="00000000">
      <w:pPr>
        <w:pStyle w:val="Prrafodelista"/>
        <w:numPr>
          <w:ilvl w:val="0"/>
          <w:numId w:val="1"/>
        </w:numPr>
        <w:rPr>
          <w:lang w:val="es-PE"/>
        </w:rPr>
      </w:pPr>
      <w:r w:rsidRPr="00F77AC0">
        <w:rPr>
          <w:lang w:val="es-PE"/>
        </w:rPr>
        <w:t>Varias sucursales. El supuesto de un solo local sigue sin confirmar; si resulta falso, cambia la arquitectura y este documento se reemite.</w:t>
      </w:r>
    </w:p>
    <w:p w14:paraId="081FEFAE" w14:textId="2329025A" w:rsidR="007C635D" w:rsidRPr="00F77AC0" w:rsidRDefault="00000000">
      <w:pPr>
        <w:pStyle w:val="Prrafodelista"/>
        <w:numPr>
          <w:ilvl w:val="0"/>
          <w:numId w:val="1"/>
        </w:numPr>
        <w:rPr>
          <w:lang w:val="es-PE"/>
        </w:rPr>
      </w:pPr>
      <w:r w:rsidRPr="00F77AC0">
        <w:rPr>
          <w:lang w:val="es-PE"/>
        </w:rPr>
        <w:t>Compatibilidad en múltiples navegadores y dispositivos. El panel web se prueba en un navegador de escritorio y el móvil en un dispositivo.</w:t>
      </w:r>
    </w:p>
    <w:p w14:paraId="4C3A8980" w14:textId="77777777" w:rsidR="007C635D" w:rsidRPr="00F77AC0" w:rsidRDefault="00000000">
      <w:pPr>
        <w:pStyle w:val="Prrafodelista"/>
        <w:numPr>
          <w:ilvl w:val="0"/>
          <w:numId w:val="1"/>
        </w:numPr>
        <w:rPr>
          <w:lang w:val="es-PE"/>
        </w:rPr>
      </w:pPr>
      <w:r w:rsidRPr="00F77AC0">
        <w:rPr>
          <w:lang w:val="es-PE"/>
        </w:rPr>
        <w:t>Revisión profunda de accesibilidad.</w:t>
      </w:r>
    </w:p>
    <w:p w14:paraId="7CB9E28A" w14:textId="77777777" w:rsidR="007C635D" w:rsidRPr="00F77AC0" w:rsidRDefault="00000000">
      <w:pPr>
        <w:pStyle w:val="Prrafodelista"/>
        <w:numPr>
          <w:ilvl w:val="0"/>
          <w:numId w:val="1"/>
        </w:numPr>
        <w:rPr>
          <w:lang w:val="es-PE"/>
        </w:rPr>
      </w:pPr>
      <w:r w:rsidRPr="00F77AC0">
        <w:rPr>
          <w:lang w:val="es-PE"/>
        </w:rPr>
        <w:t>Pruebas sobre el sistema actual. Sus defectos ya están documentados y no se van a corregir: el sistema se reemplaza. Lo que sí se usa de ellos es la suite de regresión del sistema nuevo.</w:t>
      </w:r>
    </w:p>
    <w:p w14:paraId="0234CFAF" w14:textId="77777777" w:rsidR="007C635D" w:rsidRPr="00F77AC0" w:rsidRDefault="00000000">
      <w:pPr>
        <w:pStyle w:val="Prrafodelista"/>
        <w:numPr>
          <w:ilvl w:val="0"/>
          <w:numId w:val="1"/>
        </w:numPr>
        <w:rPr>
          <w:lang w:val="es-PE"/>
        </w:rPr>
      </w:pPr>
      <w:r w:rsidRPr="00F77AC0">
        <w:rPr>
          <w:lang w:val="es-PE"/>
        </w:rPr>
        <w:t>Automatización de pruebas de interfaz durante el Módulo 1 del curso: ahí todo es manual. El dominio y el motor de sincronización son la excepción, y llevan pruebas automatizadas desde el primer día por decisión de arquitectura, no por el calendario del curso.</w:t>
      </w:r>
    </w:p>
    <w:p w14:paraId="3F101051" w14:textId="77777777" w:rsidR="007C635D" w:rsidRPr="00F77AC0" w:rsidRDefault="00000000">
      <w:pPr>
        <w:rPr>
          <w:lang w:val="es-PE"/>
        </w:rPr>
      </w:pPr>
      <w:r w:rsidRPr="00F77AC0">
        <w:rPr>
          <w:lang w:val="es-PE"/>
        </w:rPr>
        <w:t>Declarar lo que queda fuera es tan importante como lo que entra: evita que alguien lea "no se encontró ningún defecto" como "se probó todo".</w:t>
      </w:r>
    </w:p>
    <w:p w14:paraId="664EBF8E" w14:textId="77777777" w:rsidR="007C635D" w:rsidRPr="00F77AC0" w:rsidRDefault="00000000">
      <w:pPr>
        <w:pStyle w:val="Ttulo2"/>
        <w:rPr>
          <w:lang w:val="es-PE"/>
        </w:rPr>
      </w:pPr>
      <w:r w:rsidRPr="00F77AC0">
        <w:rPr>
          <w:lang w:val="es-PE"/>
        </w:rPr>
        <w:t>4. Tipos y niveles de prueba aplicables</w:t>
      </w:r>
    </w:p>
    <w:p w14:paraId="76178A0B" w14:textId="77777777" w:rsidR="007C635D" w:rsidRPr="00F77AC0" w:rsidRDefault="00000000">
      <w:pPr>
        <w:rPr>
          <w:lang w:val="es-PE"/>
        </w:rPr>
      </w:pPr>
      <w:r w:rsidRPr="00F77AC0">
        <w:rPr>
          <w:lang w:val="es-PE"/>
        </w:rPr>
        <w:t xml:space="preserve">A diferencia del documento modelo, aquí </w:t>
      </w:r>
      <w:r w:rsidRPr="00F77AC0">
        <w:rPr>
          <w:b/>
          <w:lang w:val="es-PE"/>
        </w:rPr>
        <w:t>el nivel unitario sí aplica</w:t>
      </w:r>
      <w:r w:rsidRPr="00F77AC0">
        <w:rPr>
          <w:lang w:val="es-PE"/>
        </w:rPr>
        <w:t>: el código es propio. Y se añaden tres tipos que este proyecto necesita y una tienda en línea no: compatibilidad de hardware, tolerancia a fallos y migración.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94"/>
        <w:gridCol w:w="1349"/>
        <w:gridCol w:w="1134"/>
        <w:gridCol w:w="5283"/>
      </w:tblGrid>
      <w:tr w:rsidR="007C635D" w:rsidRPr="00F77AC0" w14:paraId="60C4AC90" w14:textId="77777777" w:rsidTr="00AD501B">
        <w:trPr>
          <w:tblHeader/>
        </w:trPr>
        <w:tc>
          <w:tcPr>
            <w:tcW w:w="1594" w:type="dxa"/>
            <w:shd w:val="clear" w:color="auto" w:fill="F2F2F2"/>
          </w:tcPr>
          <w:p w14:paraId="0017B193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Tipo de prueba</w:t>
            </w:r>
          </w:p>
        </w:tc>
        <w:tc>
          <w:tcPr>
            <w:tcW w:w="1349" w:type="dxa"/>
            <w:shd w:val="clear" w:color="auto" w:fill="F2F2F2"/>
          </w:tcPr>
          <w:p w14:paraId="28040555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Nivel</w:t>
            </w:r>
          </w:p>
        </w:tc>
        <w:tc>
          <w:tcPr>
            <w:tcW w:w="1134" w:type="dxa"/>
            <w:shd w:val="clear" w:color="auto" w:fill="F2F2F2"/>
          </w:tcPr>
          <w:p w14:paraId="3D4D58C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Módulos</w:t>
            </w:r>
          </w:p>
        </w:tc>
        <w:tc>
          <w:tcPr>
            <w:tcW w:w="5283" w:type="dxa"/>
            <w:shd w:val="clear" w:color="auto" w:fill="F2F2F2"/>
          </w:tcPr>
          <w:p w14:paraId="5B54D6E3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Cómo se aplica</w:t>
            </w:r>
          </w:p>
        </w:tc>
      </w:tr>
      <w:tr w:rsidR="007C635D" w:rsidRPr="00F77AC0" w14:paraId="1C697BB2" w14:textId="77777777" w:rsidTr="00AD501B">
        <w:tc>
          <w:tcPr>
            <w:tcW w:w="1594" w:type="dxa"/>
          </w:tcPr>
          <w:p w14:paraId="741CF1F1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Funcional</w:t>
            </w:r>
          </w:p>
        </w:tc>
        <w:tc>
          <w:tcPr>
            <w:tcW w:w="1349" w:type="dxa"/>
          </w:tcPr>
          <w:p w14:paraId="157A9E65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Unitario</w:t>
            </w:r>
          </w:p>
        </w:tc>
        <w:tc>
          <w:tcPr>
            <w:tcW w:w="1134" w:type="dxa"/>
          </w:tcPr>
          <w:p w14:paraId="1C1B3547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M01, M06, M07</w:t>
            </w:r>
          </w:p>
        </w:tc>
        <w:tc>
          <w:tcPr>
            <w:tcW w:w="5283" w:type="dxa"/>
          </w:tcPr>
          <w:p w14:paraId="5AD79B31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Pruebas del paquete de dominio y del protocolo de sincronización, sin interfaz ni base de datos. Son lo único con cobertura alta exigida desde el primer día</w:t>
            </w:r>
          </w:p>
        </w:tc>
      </w:tr>
      <w:tr w:rsidR="007C635D" w:rsidRPr="00F77AC0" w14:paraId="0E9B3D03" w14:textId="77777777" w:rsidTr="00AD501B">
        <w:tc>
          <w:tcPr>
            <w:tcW w:w="1594" w:type="dxa"/>
          </w:tcPr>
          <w:p w14:paraId="15BB2DC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Funcional</w:t>
            </w:r>
          </w:p>
        </w:tc>
        <w:tc>
          <w:tcPr>
            <w:tcW w:w="1349" w:type="dxa"/>
          </w:tcPr>
          <w:p w14:paraId="48D854D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Integración</w:t>
            </w:r>
          </w:p>
        </w:tc>
        <w:tc>
          <w:tcPr>
            <w:tcW w:w="1134" w:type="dxa"/>
          </w:tcPr>
          <w:p w14:paraId="2E3C316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M04, M07, M08, M14</w:t>
            </w:r>
          </w:p>
        </w:tc>
        <w:tc>
          <w:tcPr>
            <w:tcW w:w="5283" w:type="dxa"/>
          </w:tcPr>
          <w:p w14:paraId="5640CA3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Transacción local completa, ingesta idempotente contra el servidor, envío contra el ambiente de pruebas del OSE, e importador contra una copia de los DBF</w:t>
            </w:r>
          </w:p>
        </w:tc>
      </w:tr>
      <w:tr w:rsidR="007C635D" w:rsidRPr="00F77AC0" w14:paraId="07B77B5A" w14:textId="77777777" w:rsidTr="00AD501B">
        <w:tc>
          <w:tcPr>
            <w:tcW w:w="1594" w:type="dxa"/>
          </w:tcPr>
          <w:p w14:paraId="74804E10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Funcional</w:t>
            </w:r>
          </w:p>
        </w:tc>
        <w:tc>
          <w:tcPr>
            <w:tcW w:w="1349" w:type="dxa"/>
          </w:tcPr>
          <w:p w14:paraId="793FC1EE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Sistema</w:t>
            </w:r>
          </w:p>
        </w:tc>
        <w:tc>
          <w:tcPr>
            <w:tcW w:w="1134" w:type="dxa"/>
          </w:tcPr>
          <w:p w14:paraId="1DFFCD0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M02 a M13</w:t>
            </w:r>
          </w:p>
        </w:tc>
        <w:tc>
          <w:tcPr>
            <w:tcW w:w="5283" w:type="dxa"/>
          </w:tcPr>
          <w:p w14:paraId="796A8D31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Casos manuales diseñados con partición de equivalencia y valores límite</w:t>
            </w:r>
          </w:p>
        </w:tc>
      </w:tr>
      <w:tr w:rsidR="007C635D" w:rsidRPr="00F77AC0" w14:paraId="724815B4" w14:textId="77777777" w:rsidTr="00AD501B">
        <w:tc>
          <w:tcPr>
            <w:tcW w:w="1594" w:type="dxa"/>
          </w:tcPr>
          <w:p w14:paraId="2503EA90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Funcional</w:t>
            </w:r>
          </w:p>
        </w:tc>
        <w:tc>
          <w:tcPr>
            <w:tcW w:w="1349" w:type="dxa"/>
          </w:tcPr>
          <w:p w14:paraId="224A5900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Aceptación</w:t>
            </w:r>
          </w:p>
        </w:tc>
        <w:tc>
          <w:tcPr>
            <w:tcW w:w="1134" w:type="dxa"/>
          </w:tcPr>
          <w:p w14:paraId="194521CE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M02, M03, M09, M15</w:t>
            </w:r>
          </w:p>
        </w:tc>
        <w:tc>
          <w:tcPr>
            <w:tcW w:w="5283" w:type="dxa"/>
          </w:tcPr>
          <w:p w14:paraId="0C2E9649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Un turno completo de caja: abrir, vender, cobrar, imprimir, anular, cerrar con arqueo. Lo recorre el personal que hoy usa el sistema actual</w:t>
            </w:r>
          </w:p>
        </w:tc>
      </w:tr>
      <w:tr w:rsidR="007C635D" w:rsidRPr="00F77AC0" w14:paraId="228275D5" w14:textId="77777777" w:rsidTr="00AD501B">
        <w:tc>
          <w:tcPr>
            <w:tcW w:w="1594" w:type="dxa"/>
          </w:tcPr>
          <w:p w14:paraId="52759A84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Compatibilidad de hardware</w:t>
            </w:r>
          </w:p>
        </w:tc>
        <w:tc>
          <w:tcPr>
            <w:tcW w:w="1349" w:type="dxa"/>
          </w:tcPr>
          <w:p w14:paraId="04B5AB2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Sistema</w:t>
            </w:r>
          </w:p>
        </w:tc>
        <w:tc>
          <w:tcPr>
            <w:tcW w:w="1134" w:type="dxa"/>
          </w:tcPr>
          <w:p w14:paraId="48747C11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M03, M13</w:t>
            </w:r>
          </w:p>
        </w:tc>
        <w:tc>
          <w:tcPr>
            <w:tcW w:w="5283" w:type="dxa"/>
          </w:tcPr>
          <w:p w14:paraId="37C88426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 xml:space="preserve">Impresora térmica ESC/POS y lector de código de barras reales, en un equipo equivalente al de la botica. Los </w:t>
            </w:r>
            <w:r w:rsidRPr="00F77AC0">
              <w:rPr>
                <w:lang w:val="es-PE"/>
              </w:rPr>
              <w:lastRenderedPageBreak/>
              <w:t>modelos están por confirmar</w:t>
            </w:r>
          </w:p>
        </w:tc>
      </w:tr>
      <w:tr w:rsidR="007C635D" w:rsidRPr="00F77AC0" w14:paraId="442D8850" w14:textId="77777777" w:rsidTr="00AD501B">
        <w:tc>
          <w:tcPr>
            <w:tcW w:w="1594" w:type="dxa"/>
          </w:tcPr>
          <w:p w14:paraId="01EF1F8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lastRenderedPageBreak/>
              <w:t>Tolerancia a fallos</w:t>
            </w:r>
          </w:p>
        </w:tc>
        <w:tc>
          <w:tcPr>
            <w:tcW w:w="1349" w:type="dxa"/>
          </w:tcPr>
          <w:p w14:paraId="4D9A66B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Sistema</w:t>
            </w:r>
          </w:p>
        </w:tc>
        <w:tc>
          <w:tcPr>
            <w:tcW w:w="1134" w:type="dxa"/>
          </w:tcPr>
          <w:p w14:paraId="37649743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M04, M07, M15</w:t>
            </w:r>
          </w:p>
        </w:tc>
        <w:tc>
          <w:tcPr>
            <w:tcW w:w="5283" w:type="dxa"/>
          </w:tcPr>
          <w:p w14:paraId="290BC912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Corte de red y de energía a mitad de una operación; restauración desde un respaldo; base local restaurada de una copia antigua</w:t>
            </w:r>
          </w:p>
        </w:tc>
      </w:tr>
      <w:tr w:rsidR="007C635D" w:rsidRPr="00F77AC0" w14:paraId="2AE72821" w14:textId="77777777" w:rsidTr="00AD501B">
        <w:tc>
          <w:tcPr>
            <w:tcW w:w="1594" w:type="dxa"/>
          </w:tcPr>
          <w:p w14:paraId="21D33790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Migración</w:t>
            </w:r>
          </w:p>
        </w:tc>
        <w:tc>
          <w:tcPr>
            <w:tcW w:w="1349" w:type="dxa"/>
          </w:tcPr>
          <w:p w14:paraId="3F074244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Integración</w:t>
            </w:r>
          </w:p>
        </w:tc>
        <w:tc>
          <w:tcPr>
            <w:tcW w:w="1134" w:type="dxa"/>
          </w:tcPr>
          <w:p w14:paraId="1485F1F7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M14</w:t>
            </w:r>
          </w:p>
        </w:tc>
        <w:tc>
          <w:tcPr>
            <w:tcW w:w="5283" w:type="dxa"/>
          </w:tcPr>
          <w:p w14:paraId="71A03A3D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Las comprobaciones de verificación de la migración, ejecutadas de forma automatizada y comparadas contra las cifras del origen</w:t>
            </w:r>
          </w:p>
        </w:tc>
      </w:tr>
      <w:tr w:rsidR="007C635D" w:rsidRPr="00F77AC0" w14:paraId="3DFE9089" w14:textId="77777777" w:rsidTr="00AD501B">
        <w:tc>
          <w:tcPr>
            <w:tcW w:w="1594" w:type="dxa"/>
          </w:tcPr>
          <w:p w14:paraId="00FB381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Regresión</w:t>
            </w:r>
          </w:p>
        </w:tc>
        <w:tc>
          <w:tcPr>
            <w:tcW w:w="1349" w:type="dxa"/>
          </w:tcPr>
          <w:p w14:paraId="40A42D8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Sistema</w:t>
            </w:r>
          </w:p>
        </w:tc>
        <w:tc>
          <w:tcPr>
            <w:tcW w:w="1134" w:type="dxa"/>
          </w:tcPr>
          <w:p w14:paraId="7573D6C8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M01 a M08</w:t>
            </w:r>
          </w:p>
        </w:tc>
        <w:tc>
          <w:tcPr>
            <w:tcW w:w="5283" w:type="dxa"/>
          </w:tcPr>
          <w:p w14:paraId="78039F2E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Los dieciséis hallazgos documentados del sistema actual, convertidos en suite permanente: ninguno debe reaparecer</w:t>
            </w:r>
          </w:p>
        </w:tc>
      </w:tr>
      <w:tr w:rsidR="007C635D" w:rsidRPr="00F77AC0" w14:paraId="1A7B6D12" w14:textId="77777777" w:rsidTr="00AD501B">
        <w:tc>
          <w:tcPr>
            <w:tcW w:w="1594" w:type="dxa"/>
          </w:tcPr>
          <w:p w14:paraId="69FBB61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Exploratoria</w:t>
            </w:r>
          </w:p>
        </w:tc>
        <w:tc>
          <w:tcPr>
            <w:tcW w:w="1349" w:type="dxa"/>
          </w:tcPr>
          <w:p w14:paraId="7885F795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Sistema</w:t>
            </w:r>
          </w:p>
        </w:tc>
        <w:tc>
          <w:tcPr>
            <w:tcW w:w="1134" w:type="dxa"/>
          </w:tcPr>
          <w:p w14:paraId="4677FDC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M02, M05, M09, M13</w:t>
            </w:r>
          </w:p>
        </w:tc>
        <w:tc>
          <w:tcPr>
            <w:tcW w:w="5283" w:type="dxa"/>
          </w:tcPr>
          <w:p w14:paraId="04505FE4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Sesiones estructuradas de 60 a 90 minutos con una meta definida</w:t>
            </w:r>
          </w:p>
        </w:tc>
      </w:tr>
      <w:tr w:rsidR="007C635D" w:rsidRPr="00F77AC0" w14:paraId="54C83A66" w14:textId="77777777" w:rsidTr="00AD501B">
        <w:tc>
          <w:tcPr>
            <w:tcW w:w="1594" w:type="dxa"/>
          </w:tcPr>
          <w:p w14:paraId="0C140AB5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Usabilidad (básica)</w:t>
            </w:r>
          </w:p>
        </w:tc>
        <w:tc>
          <w:tcPr>
            <w:tcW w:w="1349" w:type="dxa"/>
          </w:tcPr>
          <w:p w14:paraId="77EB79F2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Sistema</w:t>
            </w:r>
          </w:p>
        </w:tc>
        <w:tc>
          <w:tcPr>
            <w:tcW w:w="1134" w:type="dxa"/>
          </w:tcPr>
          <w:p w14:paraId="1FB241F6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M02, M03</w:t>
            </w:r>
          </w:p>
        </w:tc>
        <w:tc>
          <w:tcPr>
            <w:tcW w:w="5283" w:type="dxa"/>
          </w:tcPr>
          <w:p w14:paraId="14993663" w14:textId="5F2345FF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 xml:space="preserve">La caja la opera </w:t>
            </w:r>
            <w:r w:rsidR="007823E1">
              <w:rPr>
                <w:lang w:val="es-PE"/>
              </w:rPr>
              <w:t xml:space="preserve">el </w:t>
            </w:r>
            <w:r w:rsidRPr="00F77AC0">
              <w:rPr>
                <w:lang w:val="es-PE"/>
              </w:rPr>
              <w:t>personal acostumbrado al sistema anterior; se identifican los puntos de fricción del cambio</w:t>
            </w:r>
          </w:p>
        </w:tc>
      </w:tr>
      <w:tr w:rsidR="007C635D" w:rsidRPr="00F77AC0" w14:paraId="647D93F2" w14:textId="77777777" w:rsidTr="00AD501B">
        <w:tc>
          <w:tcPr>
            <w:tcW w:w="1594" w:type="dxa"/>
          </w:tcPr>
          <w:p w14:paraId="20752B01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Seguridad (verificación de requisitos)</w:t>
            </w:r>
          </w:p>
        </w:tc>
        <w:tc>
          <w:tcPr>
            <w:tcW w:w="1349" w:type="dxa"/>
          </w:tcPr>
          <w:p w14:paraId="49FF97E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Sistema</w:t>
            </w:r>
          </w:p>
        </w:tc>
        <w:tc>
          <w:tcPr>
            <w:tcW w:w="1134" w:type="dxa"/>
          </w:tcPr>
          <w:p w14:paraId="6D748C1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M10, M16</w:t>
            </w:r>
          </w:p>
        </w:tc>
        <w:tc>
          <w:tcPr>
            <w:tcW w:w="5283" w:type="dxa"/>
          </w:tcPr>
          <w:p w14:paraId="2B2FD14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Los requisitos de seguridad se comprueban por comportamiento: hash, permisos, cierre de sesión, ocultamiento de costos</w:t>
            </w:r>
          </w:p>
        </w:tc>
      </w:tr>
    </w:tbl>
    <w:p w14:paraId="40A1995C" w14:textId="34152D7F" w:rsidR="007C635D" w:rsidRPr="00F77AC0" w:rsidRDefault="00000000">
      <w:pPr>
        <w:rPr>
          <w:lang w:val="es-PE"/>
        </w:rPr>
      </w:pPr>
      <w:r w:rsidRPr="00F77AC0">
        <w:rPr>
          <w:lang w:val="es-PE"/>
        </w:rPr>
        <w:t xml:space="preserve">El tipo dice qué se verifica y el nivel dice qué tan aislado o completo es lo que se prueba. La fila de nivel unitario es la que más se diferencia del modelo del curso, y la razón es estructural: las reglas de negocio de este sistema </w:t>
      </w:r>
      <w:r w:rsidR="007823E1">
        <w:rPr>
          <w:b/>
          <w:lang w:val="es-PE"/>
        </w:rPr>
        <w:t>se</w:t>
      </w:r>
      <w:r w:rsidRPr="00F77AC0">
        <w:rPr>
          <w:b/>
          <w:lang w:val="es-PE"/>
        </w:rPr>
        <w:t xml:space="preserve"> recuperar</w:t>
      </w:r>
      <w:r w:rsidR="007823E1">
        <w:rPr>
          <w:b/>
          <w:lang w:val="es-PE"/>
        </w:rPr>
        <w:t>on</w:t>
      </w:r>
      <w:r w:rsidRPr="00F77AC0">
        <w:rPr>
          <w:b/>
          <w:lang w:val="es-PE"/>
        </w:rPr>
        <w:t xml:space="preserve"> de un ejecutable sin código fuente</w:t>
      </w:r>
      <w:r w:rsidRPr="00F77AC0">
        <w:rPr>
          <w:lang w:val="es-PE"/>
        </w:rPr>
        <w:t>, y son el activo del proyecto.</w:t>
      </w:r>
    </w:p>
    <w:p w14:paraId="12852E39" w14:textId="77777777" w:rsidR="007C635D" w:rsidRPr="00F77AC0" w:rsidRDefault="00000000">
      <w:pPr>
        <w:pStyle w:val="Ttulo2"/>
        <w:rPr>
          <w:lang w:val="es-PE"/>
        </w:rPr>
      </w:pPr>
      <w:r w:rsidRPr="00F77AC0">
        <w:rPr>
          <w:lang w:val="es-PE"/>
        </w:rPr>
        <w:t>5. Entorno, herramientas y datos de prueba</w:t>
      </w:r>
    </w:p>
    <w:p w14:paraId="1A4B0558" w14:textId="77777777" w:rsidR="007C635D" w:rsidRPr="00F77AC0" w:rsidRDefault="00000000">
      <w:pPr>
        <w:rPr>
          <w:lang w:val="es-PE"/>
        </w:rPr>
      </w:pPr>
      <w:r w:rsidRPr="00F77AC0">
        <w:rPr>
          <w:lang w:val="es-PE"/>
        </w:rPr>
        <w:t>No existe ambiente de pruebas todavía. Esta sección declara qué hace falta montar, no qué está montado.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660"/>
        <w:gridCol w:w="6700"/>
      </w:tblGrid>
      <w:tr w:rsidR="007C635D" w:rsidRPr="00F77AC0" w14:paraId="526976F3" w14:textId="77777777" w:rsidTr="007823E1">
        <w:trPr>
          <w:tblHeader/>
        </w:trPr>
        <w:tc>
          <w:tcPr>
            <w:tcW w:w="2660" w:type="dxa"/>
            <w:shd w:val="clear" w:color="auto" w:fill="F2F2F2"/>
          </w:tcPr>
          <w:p w14:paraId="4B18C321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Elemento</w:t>
            </w:r>
          </w:p>
        </w:tc>
        <w:tc>
          <w:tcPr>
            <w:tcW w:w="6700" w:type="dxa"/>
            <w:shd w:val="clear" w:color="auto" w:fill="F2F2F2"/>
          </w:tcPr>
          <w:p w14:paraId="1002B1BE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Detalle</w:t>
            </w:r>
          </w:p>
        </w:tc>
      </w:tr>
      <w:tr w:rsidR="007C635D" w:rsidRPr="00F77AC0" w14:paraId="0D85F436" w14:textId="77777777" w:rsidTr="007823E1">
        <w:tc>
          <w:tcPr>
            <w:tcW w:w="2660" w:type="dxa"/>
          </w:tcPr>
          <w:p w14:paraId="33053992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Ambiente de pruebas</w:t>
            </w:r>
          </w:p>
        </w:tc>
        <w:tc>
          <w:tcPr>
            <w:tcW w:w="6700" w:type="dxa"/>
          </w:tcPr>
          <w:p w14:paraId="6A7E6217" w14:textId="2B7F3DAD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Se requieren tres piezas: un terminal de caja de prueba, un servidor de pruebas y el ambiente de certificación del OSE</w:t>
            </w:r>
          </w:p>
        </w:tc>
      </w:tr>
      <w:tr w:rsidR="007C635D" w:rsidRPr="00F77AC0" w14:paraId="3196607F" w14:textId="77777777" w:rsidTr="007823E1">
        <w:tc>
          <w:tcPr>
            <w:tcW w:w="2660" w:type="dxa"/>
          </w:tcPr>
          <w:p w14:paraId="66F665A6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Equipo de caja de prueba</w:t>
            </w:r>
          </w:p>
        </w:tc>
        <w:tc>
          <w:tcPr>
            <w:tcW w:w="6700" w:type="dxa"/>
          </w:tcPr>
          <w:p w14:paraId="15A68DB0" w14:textId="01FCF812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Windows 1</w:t>
            </w:r>
            <w:r w:rsidR="007823E1">
              <w:rPr>
                <w:lang w:val="es-PE"/>
              </w:rPr>
              <w:t>1</w:t>
            </w:r>
            <w:r w:rsidRPr="00F77AC0">
              <w:rPr>
                <w:lang w:val="es-PE"/>
              </w:rPr>
              <w:t xml:space="preserve">, con hardware equivalente al que usa la botica. </w:t>
            </w:r>
          </w:p>
        </w:tc>
      </w:tr>
      <w:tr w:rsidR="007C635D" w:rsidRPr="00F77AC0" w14:paraId="21118017" w14:textId="77777777" w:rsidTr="007823E1">
        <w:tc>
          <w:tcPr>
            <w:tcW w:w="2660" w:type="dxa"/>
          </w:tcPr>
          <w:p w14:paraId="7100AD85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Impresora térmica</w:t>
            </w:r>
          </w:p>
        </w:tc>
        <w:tc>
          <w:tcPr>
            <w:tcW w:w="6700" w:type="dxa"/>
          </w:tcPr>
          <w:p w14:paraId="420DA8CC" w14:textId="5F4C2179" w:rsidR="007C635D" w:rsidRPr="00F77AC0" w:rsidRDefault="007823E1">
            <w:pPr>
              <w:rPr>
                <w:lang w:val="es-PE"/>
              </w:rPr>
            </w:pPr>
            <w:r>
              <w:rPr>
                <w:lang w:val="es-PE"/>
              </w:rPr>
              <w:t>Hardware Inexistente,</w:t>
            </w:r>
            <w:r w:rsidR="00000000" w:rsidRPr="00F77AC0">
              <w:rPr>
                <w:lang w:val="es-PE"/>
              </w:rPr>
              <w:t xml:space="preserve"> Es el punto de mayor riesgo técnico del proyecto y la primera prueba a ejecutar</w:t>
            </w:r>
          </w:p>
        </w:tc>
      </w:tr>
      <w:tr w:rsidR="007C635D" w:rsidRPr="00F77AC0" w14:paraId="29AE1832" w14:textId="77777777" w:rsidTr="007823E1">
        <w:tc>
          <w:tcPr>
            <w:tcW w:w="2660" w:type="dxa"/>
          </w:tcPr>
          <w:p w14:paraId="376BAE00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Lector de código de barras</w:t>
            </w:r>
          </w:p>
        </w:tc>
        <w:tc>
          <w:tcPr>
            <w:tcW w:w="6700" w:type="dxa"/>
          </w:tcPr>
          <w:p w14:paraId="38FEFFF4" w14:textId="32AD669C" w:rsidR="007C635D" w:rsidRPr="00F77AC0" w:rsidRDefault="007823E1">
            <w:pPr>
              <w:rPr>
                <w:lang w:val="es-PE"/>
              </w:rPr>
            </w:pPr>
            <w:r>
              <w:rPr>
                <w:lang w:val="es-PE"/>
              </w:rPr>
              <w:t>Hardware Inexistente</w:t>
            </w:r>
            <w:r w:rsidR="00000000" w:rsidRPr="00F77AC0">
              <w:rPr>
                <w:lang w:val="es-PE"/>
              </w:rPr>
              <w:t>. Los lectores USB suelen presentarse como teclado y no requieren nada especial</w:t>
            </w:r>
          </w:p>
        </w:tc>
      </w:tr>
      <w:tr w:rsidR="007C635D" w:rsidRPr="00F77AC0" w14:paraId="591D63FF" w14:textId="77777777" w:rsidTr="007823E1">
        <w:tc>
          <w:tcPr>
            <w:tcW w:w="2660" w:type="dxa"/>
          </w:tcPr>
          <w:p w14:paraId="16E306DD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lastRenderedPageBreak/>
              <w:t>Dispositivo móvil</w:t>
            </w:r>
          </w:p>
        </w:tc>
        <w:tc>
          <w:tcPr>
            <w:tcW w:w="6700" w:type="dxa"/>
          </w:tcPr>
          <w:p w14:paraId="1E8B17D1" w14:textId="086E57B9" w:rsidR="007C635D" w:rsidRPr="00F77AC0" w:rsidRDefault="007823E1">
            <w:pPr>
              <w:rPr>
                <w:lang w:val="es-PE"/>
              </w:rPr>
            </w:pPr>
            <w:r>
              <w:rPr>
                <w:lang w:val="es-PE"/>
              </w:rPr>
              <w:t>Propio de empresa</w:t>
            </w:r>
          </w:p>
        </w:tc>
      </w:tr>
      <w:tr w:rsidR="007C635D" w:rsidRPr="00F77AC0" w14:paraId="6E449F58" w14:textId="77777777" w:rsidTr="007823E1">
        <w:tc>
          <w:tcPr>
            <w:tcW w:w="2660" w:type="dxa"/>
          </w:tcPr>
          <w:p w14:paraId="57921AE2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Navegador</w:t>
            </w:r>
          </w:p>
        </w:tc>
        <w:tc>
          <w:tcPr>
            <w:tcW w:w="6700" w:type="dxa"/>
          </w:tcPr>
          <w:p w14:paraId="1B1E2380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Un navegador de escritorio actualizado, el mismo durante todo el trabajo</w:t>
            </w:r>
          </w:p>
        </w:tc>
      </w:tr>
      <w:tr w:rsidR="007C635D" w:rsidRPr="00F77AC0" w14:paraId="7B6F0996" w14:textId="77777777" w:rsidTr="007823E1">
        <w:tc>
          <w:tcPr>
            <w:tcW w:w="2660" w:type="dxa"/>
          </w:tcPr>
          <w:p w14:paraId="59A1D580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Ambiente del emisor electrónico</w:t>
            </w:r>
          </w:p>
        </w:tc>
        <w:tc>
          <w:tcPr>
            <w:tcW w:w="6700" w:type="dxa"/>
          </w:tcPr>
          <w:p w14:paraId="308863F2" w14:textId="6DE338AD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 xml:space="preserve">Proveedor </w:t>
            </w:r>
            <w:r w:rsidR="007823E1">
              <w:rPr>
                <w:lang w:val="es-PE"/>
              </w:rPr>
              <w:t xml:space="preserve">SUNAT </w:t>
            </w:r>
            <w:r w:rsidRPr="00F77AC0">
              <w:rPr>
                <w:lang w:val="es-PE"/>
              </w:rPr>
              <w:t xml:space="preserve">y credenciales </w:t>
            </w:r>
            <w:r w:rsidR="007823E1">
              <w:rPr>
                <w:lang w:val="es-PE"/>
              </w:rPr>
              <w:t>de la empresa</w:t>
            </w:r>
          </w:p>
        </w:tc>
      </w:tr>
      <w:tr w:rsidR="007C635D" w:rsidRPr="00F77AC0" w14:paraId="433A9D1A" w14:textId="77777777" w:rsidTr="007823E1">
        <w:tc>
          <w:tcPr>
            <w:tcW w:w="2660" w:type="dxa"/>
          </w:tcPr>
          <w:p w14:paraId="6DCFB50D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Control de versiones</w:t>
            </w:r>
          </w:p>
        </w:tc>
        <w:tc>
          <w:tcPr>
            <w:tcW w:w="6700" w:type="dxa"/>
          </w:tcPr>
          <w:p w14:paraId="5461B3C6" w14:textId="75FAE4DD" w:rsidR="007C635D" w:rsidRPr="00F77AC0" w:rsidRDefault="007823E1">
            <w:pPr>
              <w:rPr>
                <w:lang w:val="es-PE"/>
              </w:rPr>
            </w:pPr>
            <w:r>
              <w:rPr>
                <w:lang w:val="es-PE"/>
              </w:rPr>
              <w:t>Inexistente</w:t>
            </w:r>
          </w:p>
        </w:tc>
      </w:tr>
      <w:tr w:rsidR="007C635D" w:rsidRPr="00F77AC0" w14:paraId="75A72FA6" w14:textId="77777777" w:rsidTr="007823E1">
        <w:tc>
          <w:tcPr>
            <w:tcW w:w="2660" w:type="dxa"/>
          </w:tcPr>
          <w:p w14:paraId="3AA9D70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Gestión de tareas</w:t>
            </w:r>
          </w:p>
        </w:tc>
        <w:tc>
          <w:tcPr>
            <w:tcW w:w="6700" w:type="dxa"/>
          </w:tcPr>
          <w:p w14:paraId="20ABB0B7" w14:textId="728BE2CE" w:rsidR="007C635D" w:rsidRPr="00F77AC0" w:rsidRDefault="007823E1">
            <w:pPr>
              <w:rPr>
                <w:lang w:val="es-PE"/>
              </w:rPr>
            </w:pPr>
            <w:r>
              <w:rPr>
                <w:lang w:val="es-PE"/>
              </w:rPr>
              <w:t>Inexistente</w:t>
            </w:r>
          </w:p>
        </w:tc>
      </w:tr>
      <w:tr w:rsidR="007C635D" w:rsidRPr="00F77AC0" w14:paraId="3CF25907" w14:textId="77777777" w:rsidTr="007823E1">
        <w:tc>
          <w:tcPr>
            <w:tcW w:w="2660" w:type="dxa"/>
          </w:tcPr>
          <w:p w14:paraId="29DBE4F9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Gestión de casos y defectos</w:t>
            </w:r>
          </w:p>
        </w:tc>
        <w:tc>
          <w:tcPr>
            <w:tcW w:w="6700" w:type="dxa"/>
          </w:tcPr>
          <w:p w14:paraId="73EBED0F" w14:textId="516D7EE1" w:rsidR="007C635D" w:rsidRPr="00F77AC0" w:rsidRDefault="007823E1">
            <w:pPr>
              <w:rPr>
                <w:lang w:val="es-PE"/>
              </w:rPr>
            </w:pPr>
            <w:r>
              <w:rPr>
                <w:lang w:val="es-PE"/>
              </w:rPr>
              <w:t>Inexistente</w:t>
            </w:r>
          </w:p>
        </w:tc>
      </w:tr>
      <w:tr w:rsidR="007C635D" w:rsidRPr="00F77AC0" w14:paraId="524DFFE0" w14:textId="77777777" w:rsidTr="007823E1">
        <w:tc>
          <w:tcPr>
            <w:tcW w:w="2660" w:type="dxa"/>
          </w:tcPr>
          <w:p w14:paraId="384E2FB2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Marco de pruebas automatizadas</w:t>
            </w:r>
          </w:p>
        </w:tc>
        <w:tc>
          <w:tcPr>
            <w:tcW w:w="6700" w:type="dxa"/>
          </w:tcPr>
          <w:p w14:paraId="2A888473" w14:textId="71100AAE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 xml:space="preserve">Depende de la decisión del </w:t>
            </w:r>
            <w:r w:rsidR="007823E1">
              <w:rPr>
                <w:lang w:val="es-PE"/>
              </w:rPr>
              <w:t>desarrollador</w:t>
            </w:r>
          </w:p>
        </w:tc>
      </w:tr>
      <w:tr w:rsidR="007C635D" w:rsidRPr="00F77AC0" w14:paraId="11B02154" w14:textId="77777777" w:rsidTr="007823E1">
        <w:tc>
          <w:tcPr>
            <w:tcW w:w="2660" w:type="dxa"/>
          </w:tcPr>
          <w:p w14:paraId="155E14E3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Evidencias</w:t>
            </w:r>
          </w:p>
        </w:tc>
        <w:tc>
          <w:tcPr>
            <w:tcW w:w="6700" w:type="dxa"/>
          </w:tcPr>
          <w:p w14:paraId="5553FA24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Capturas y grabaciones guardadas en la carpeta de evidencias del repositorio</w:t>
            </w:r>
          </w:p>
        </w:tc>
      </w:tr>
    </w:tbl>
    <w:p w14:paraId="2CFB5CB9" w14:textId="77777777" w:rsidR="007C635D" w:rsidRPr="00F77AC0" w:rsidRDefault="00000000">
      <w:pPr>
        <w:rPr>
          <w:lang w:val="es-PE"/>
        </w:rPr>
      </w:pPr>
      <w:r w:rsidRPr="00F77AC0">
        <w:rPr>
          <w:lang w:val="es-PE"/>
        </w:rPr>
        <w:t>Datos de prueba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969"/>
        <w:gridCol w:w="3615"/>
        <w:gridCol w:w="3776"/>
      </w:tblGrid>
      <w:tr w:rsidR="007C635D" w:rsidRPr="00F77AC0" w14:paraId="23FD6F13" w14:textId="77777777">
        <w:trPr>
          <w:tblHeader/>
        </w:trPr>
        <w:tc>
          <w:tcPr>
            <w:tcW w:w="1969" w:type="dxa"/>
            <w:shd w:val="clear" w:color="auto" w:fill="F2F2F2"/>
          </w:tcPr>
          <w:p w14:paraId="4220EA71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Origen</w:t>
            </w:r>
          </w:p>
        </w:tc>
        <w:tc>
          <w:tcPr>
            <w:tcW w:w="3615" w:type="dxa"/>
            <w:shd w:val="clear" w:color="auto" w:fill="F2F2F2"/>
          </w:tcPr>
          <w:p w14:paraId="03CEC49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Dato</w:t>
            </w:r>
          </w:p>
        </w:tc>
        <w:tc>
          <w:tcPr>
            <w:tcW w:w="3776" w:type="dxa"/>
            <w:shd w:val="clear" w:color="auto" w:fill="F2F2F2"/>
          </w:tcPr>
          <w:p w14:paraId="2E58E95D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Uso</w:t>
            </w:r>
          </w:p>
        </w:tc>
      </w:tr>
      <w:tr w:rsidR="007C635D" w:rsidRPr="00F77AC0" w14:paraId="45830BB0" w14:textId="77777777">
        <w:tc>
          <w:tcPr>
            <w:tcW w:w="1969" w:type="dxa"/>
          </w:tcPr>
          <w:p w14:paraId="4C9B0105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Copia de los DBF de producción</w:t>
            </w:r>
          </w:p>
        </w:tc>
        <w:tc>
          <w:tcPr>
            <w:tcW w:w="3615" w:type="dxa"/>
          </w:tcPr>
          <w:p w14:paraId="718303D7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58,332 ventas, 187,155 líneas, 1,736 productos</w:t>
            </w:r>
          </w:p>
        </w:tc>
        <w:tc>
          <w:tcPr>
            <w:tcW w:w="3776" w:type="dxa"/>
          </w:tcPr>
          <w:p w14:paraId="4A3745F1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Pruebas de migración y datos realistas para los reportes</w:t>
            </w:r>
          </w:p>
        </w:tc>
      </w:tr>
      <w:tr w:rsidR="007C635D" w:rsidRPr="00F77AC0" w14:paraId="5AD36893" w14:textId="77777777">
        <w:tc>
          <w:tcPr>
            <w:tcW w:w="1969" w:type="dxa"/>
          </w:tcPr>
          <w:p w14:paraId="4F64304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Filas defectuosas ya identificadas</w:t>
            </w:r>
          </w:p>
        </w:tc>
        <w:tc>
          <w:tcPr>
            <w:tcW w:w="3615" w:type="dxa"/>
          </w:tcPr>
          <w:p w14:paraId="519E2A94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48 filas sobre 58,332, entre ellas 25 ventas sin ninguna línea de detalle</w:t>
            </w:r>
          </w:p>
        </w:tc>
        <w:tc>
          <w:tcPr>
            <w:tcW w:w="3776" w:type="dxa"/>
          </w:tcPr>
          <w:p w14:paraId="3BD44E7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Casos límite de la migración: se migran marcadas, no se descartan</w:t>
            </w:r>
          </w:p>
        </w:tc>
      </w:tr>
      <w:tr w:rsidR="007C635D" w:rsidRPr="00F77AC0" w14:paraId="6B45CA4A" w14:textId="77777777">
        <w:tc>
          <w:tcPr>
            <w:tcW w:w="1969" w:type="dxa"/>
          </w:tcPr>
          <w:p w14:paraId="7B5FA976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Productos con precio de venta menor que el costo</w:t>
            </w:r>
          </w:p>
        </w:tc>
        <w:tc>
          <w:tcPr>
            <w:tcW w:w="3615" w:type="dxa"/>
          </w:tcPr>
          <w:p w14:paraId="1FF520C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341 productos, que producen 18,880 líneas con ganancia negativa</w:t>
            </w:r>
          </w:p>
        </w:tc>
        <w:tc>
          <w:tcPr>
            <w:tcW w:w="3776" w:type="dxa"/>
          </w:tcPr>
          <w:p w14:paraId="19F8724E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Reportes de rentabilidad: verificar que el sistema lo señale en lugar de ocultarlo</w:t>
            </w:r>
          </w:p>
        </w:tc>
      </w:tr>
      <w:tr w:rsidR="007C635D" w:rsidRPr="00F77AC0" w14:paraId="22E1C502" w14:textId="77777777">
        <w:tc>
          <w:tcPr>
            <w:tcW w:w="1969" w:type="dxa"/>
          </w:tcPr>
          <w:p w14:paraId="6F6E5C4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Comprobantes con el importe en letras mal escrito</w:t>
            </w:r>
          </w:p>
        </w:tc>
        <w:tc>
          <w:tcPr>
            <w:tcW w:w="3615" w:type="dxa"/>
          </w:tcPr>
          <w:p w14:paraId="77D84466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146 comprobantes</w:t>
            </w:r>
          </w:p>
        </w:tc>
        <w:tc>
          <w:tcPr>
            <w:tcW w:w="3776" w:type="dxa"/>
          </w:tcPr>
          <w:p w14:paraId="3EC4E714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Verificación del importe en letras del dominio, con los casos de 200, 300, 400, 600, 700 y 800</w:t>
            </w:r>
          </w:p>
        </w:tc>
      </w:tr>
      <w:tr w:rsidR="007C635D" w:rsidRPr="00F77AC0" w14:paraId="58F65E2B" w14:textId="77777777">
        <w:tc>
          <w:tcPr>
            <w:tcW w:w="1969" w:type="dxa"/>
          </w:tcPr>
          <w:p w14:paraId="4A4F8FEE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Catálogo de prueba</w:t>
            </w:r>
          </w:p>
        </w:tc>
        <w:tc>
          <w:tcPr>
            <w:tcW w:w="3615" w:type="dxa"/>
          </w:tcPr>
          <w:p w14:paraId="69516BC2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Productos con y sin código de barras, con lote y vencimiento, medicamento y no medicamento</w:t>
            </w:r>
          </w:p>
        </w:tc>
        <w:tc>
          <w:tcPr>
            <w:tcW w:w="3776" w:type="dxa"/>
          </w:tcPr>
          <w:p w14:paraId="739FEA8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Venta en caja y móvil</w:t>
            </w:r>
          </w:p>
        </w:tc>
      </w:tr>
      <w:tr w:rsidR="007C635D" w:rsidRPr="00F77AC0" w14:paraId="758DB6EB" w14:textId="77777777">
        <w:tc>
          <w:tcPr>
            <w:tcW w:w="1969" w:type="dxa"/>
          </w:tcPr>
          <w:p w14:paraId="7E8778F3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Cuentas de prueba</w:t>
            </w:r>
          </w:p>
        </w:tc>
        <w:tc>
          <w:tcPr>
            <w:tcW w:w="3615" w:type="dxa"/>
          </w:tcPr>
          <w:p w14:paraId="2E38009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Una por rol: cajero, almacén, administrador</w:t>
            </w:r>
          </w:p>
        </w:tc>
        <w:tc>
          <w:tcPr>
            <w:tcW w:w="3776" w:type="dxa"/>
          </w:tcPr>
          <w:p w14:paraId="357C1DBD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Autenticación y permisos</w:t>
            </w:r>
          </w:p>
        </w:tc>
      </w:tr>
    </w:tbl>
    <w:p w14:paraId="58AF5EB7" w14:textId="77777777" w:rsidR="007C635D" w:rsidRPr="00F77AC0" w:rsidRDefault="00000000">
      <w:pPr>
        <w:rPr>
          <w:lang w:val="es-PE"/>
        </w:rPr>
      </w:pPr>
      <w:r w:rsidRPr="00F77AC0">
        <w:rPr>
          <w:lang w:val="es-PE"/>
        </w:rPr>
        <w:t>Dos reglas sobre los datos, ninguna negociable:</w:t>
      </w:r>
    </w:p>
    <w:p w14:paraId="5AD16A5F" w14:textId="77777777" w:rsidR="007C635D" w:rsidRPr="00F77AC0" w:rsidRDefault="00000000">
      <w:pPr>
        <w:pStyle w:val="Prrafodelista"/>
        <w:numPr>
          <w:ilvl w:val="0"/>
          <w:numId w:val="2"/>
        </w:numPr>
        <w:rPr>
          <w:lang w:val="es-PE"/>
        </w:rPr>
      </w:pPr>
      <w:r w:rsidRPr="00F77AC0">
        <w:rPr>
          <w:b/>
          <w:lang w:val="es-PE"/>
        </w:rPr>
        <w:t>Toda prueba se ejecuta sobre una copia.</w:t>
      </w:r>
      <w:r w:rsidRPr="00F77AC0">
        <w:rPr>
          <w:lang w:val="es-PE"/>
        </w:rPr>
        <w:t xml:space="preserve"> La carpeta de datos de producción del sistema actual no se usa como entorno de pruebas en ningún caso.</w:t>
      </w:r>
    </w:p>
    <w:p w14:paraId="2EEA9AD3" w14:textId="77777777" w:rsidR="007C635D" w:rsidRPr="00F77AC0" w:rsidRDefault="00000000">
      <w:pPr>
        <w:pStyle w:val="Prrafodelista"/>
        <w:numPr>
          <w:ilvl w:val="0"/>
          <w:numId w:val="2"/>
        </w:numPr>
        <w:rPr>
          <w:lang w:val="es-PE"/>
        </w:rPr>
      </w:pPr>
      <w:r w:rsidRPr="00F77AC0">
        <w:rPr>
          <w:b/>
          <w:lang w:val="es-PE"/>
        </w:rPr>
        <w:lastRenderedPageBreak/>
        <w:t>Las contraseñas no se migran y no se escriben en este documento.</w:t>
      </w:r>
      <w:r w:rsidRPr="00F77AC0">
        <w:rPr>
          <w:lang w:val="es-PE"/>
        </w:rPr>
        <w:t xml:space="preserve"> El sistema actual guarda contraseñas que se satisfacen con un prefijo de un carácter, y una credencial maestra en claro dentro del ejecutable; esas credenciales se tratan como comprometidas. El sistema nuevo arranca con contraseñas nuevas.</w:t>
      </w:r>
    </w:p>
    <w:p w14:paraId="79426219" w14:textId="77777777" w:rsidR="007C635D" w:rsidRPr="00F77AC0" w:rsidRDefault="00000000">
      <w:pPr>
        <w:pStyle w:val="Ttulo2"/>
        <w:rPr>
          <w:lang w:val="es-PE"/>
        </w:rPr>
      </w:pPr>
      <w:r w:rsidRPr="00F77AC0">
        <w:rPr>
          <w:lang w:val="es-PE"/>
        </w:rPr>
        <w:t>6. Criterios de entrada y de salida</w:t>
      </w:r>
    </w:p>
    <w:p w14:paraId="02BA43EF" w14:textId="77777777" w:rsidR="007C635D" w:rsidRPr="00F77AC0" w:rsidRDefault="00000000">
      <w:pPr>
        <w:rPr>
          <w:lang w:val="es-PE"/>
        </w:rPr>
      </w:pPr>
      <w:r w:rsidRPr="00F77AC0">
        <w:rPr>
          <w:lang w:val="es-PE"/>
        </w:rPr>
        <w:t>Los criterios dicen cuándo se puede empezar a probar y cuándo se puede dar por terminado el trabajo; sin ellos, "terminamos" es una opinión.</w:t>
      </w:r>
    </w:p>
    <w:p w14:paraId="3ECCDC33" w14:textId="77777777" w:rsidR="007C635D" w:rsidRPr="00F77AC0" w:rsidRDefault="00000000">
      <w:pPr>
        <w:rPr>
          <w:lang w:val="es-PE"/>
        </w:rPr>
      </w:pPr>
      <w:r w:rsidRPr="00F77AC0">
        <w:rPr>
          <w:lang w:val="es-PE"/>
        </w:rPr>
        <w:t>Criterios de entrada (para empezar a ejecutar casos)</w:t>
      </w:r>
    </w:p>
    <w:p w14:paraId="54286918" w14:textId="77777777" w:rsidR="007C635D" w:rsidRPr="00F77AC0" w:rsidRDefault="00000000">
      <w:pPr>
        <w:pStyle w:val="Prrafodelista"/>
        <w:numPr>
          <w:ilvl w:val="0"/>
          <w:numId w:val="3"/>
        </w:numPr>
        <w:rPr>
          <w:lang w:val="es-PE"/>
        </w:rPr>
      </w:pPr>
      <w:r w:rsidRPr="00F77AC0">
        <w:rPr>
          <w:lang w:val="es-PE"/>
        </w:rPr>
        <w:t>Este documento de alcance está emitido y revisado.</w:t>
      </w:r>
    </w:p>
    <w:p w14:paraId="2D54A306" w14:textId="77777777" w:rsidR="007C635D" w:rsidRPr="00F77AC0" w:rsidRDefault="00000000">
      <w:pPr>
        <w:pStyle w:val="Prrafodelista"/>
        <w:numPr>
          <w:ilvl w:val="0"/>
          <w:numId w:val="3"/>
        </w:numPr>
        <w:rPr>
          <w:lang w:val="es-PE"/>
        </w:rPr>
      </w:pPr>
      <w:r w:rsidRPr="00F77AC0">
        <w:rPr>
          <w:b/>
          <w:lang w:val="es-PE"/>
        </w:rPr>
        <w:t>El respaldo externo de los datos de producción está hecho y verificado.</w:t>
      </w:r>
      <w:r w:rsidRPr="00F77AC0">
        <w:rPr>
          <w:lang w:val="es-PE"/>
        </w:rPr>
        <w:t xml:space="preserve"> Es la precondición de todo: once años de ventas sin respaldo desde 2013.</w:t>
      </w:r>
    </w:p>
    <w:p w14:paraId="27EA686D" w14:textId="77777777" w:rsidR="007C635D" w:rsidRPr="00F77AC0" w:rsidRDefault="00000000">
      <w:pPr>
        <w:pStyle w:val="Prrafodelista"/>
        <w:numPr>
          <w:ilvl w:val="0"/>
          <w:numId w:val="3"/>
        </w:numPr>
        <w:rPr>
          <w:lang w:val="es-PE"/>
        </w:rPr>
      </w:pPr>
      <w:r w:rsidRPr="00F77AC0">
        <w:rPr>
          <w:lang w:val="es-PE"/>
        </w:rPr>
        <w:t>La prueba de impresión del ticket pasó, de modo que la tecnología de escritorio está fijada y no se van a rediseñar los casos de M03.</w:t>
      </w:r>
    </w:p>
    <w:p w14:paraId="66B4D86A" w14:textId="77777777" w:rsidR="007C635D" w:rsidRPr="00F77AC0" w:rsidRDefault="00000000">
      <w:pPr>
        <w:pStyle w:val="Prrafodelista"/>
        <w:numPr>
          <w:ilvl w:val="0"/>
          <w:numId w:val="3"/>
        </w:numPr>
        <w:rPr>
          <w:lang w:val="es-PE"/>
        </w:rPr>
      </w:pPr>
      <w:r w:rsidRPr="00F77AC0">
        <w:rPr>
          <w:lang w:val="es-PE"/>
        </w:rPr>
        <w:t>Existe un ambiente de pruebas, un repositorio y una integración continua que ejecuta las pruebas automatizadas.</w:t>
      </w:r>
    </w:p>
    <w:p w14:paraId="42DF4AE7" w14:textId="77777777" w:rsidR="007C635D" w:rsidRPr="00F77AC0" w:rsidRDefault="00000000">
      <w:pPr>
        <w:pStyle w:val="Prrafodelista"/>
        <w:numPr>
          <w:ilvl w:val="0"/>
          <w:numId w:val="3"/>
        </w:numPr>
        <w:rPr>
          <w:lang w:val="es-PE"/>
        </w:rPr>
      </w:pPr>
      <w:r w:rsidRPr="00F77AC0">
        <w:rPr>
          <w:lang w:val="es-PE"/>
        </w:rPr>
        <w:t>Existe la lista de requisitos contra la cual trazar los casos. En este proyecto es el documento de requisitos de la migración, por no existir otra especificación.</w:t>
      </w:r>
    </w:p>
    <w:p w14:paraId="0B494515" w14:textId="77777777" w:rsidR="007C635D" w:rsidRPr="00F77AC0" w:rsidRDefault="00000000">
      <w:pPr>
        <w:rPr>
          <w:lang w:val="es-PE"/>
        </w:rPr>
      </w:pPr>
      <w:r w:rsidRPr="00F77AC0">
        <w:rPr>
          <w:lang w:val="es-PE"/>
        </w:rPr>
        <w:t>Criterios de salida (para cerrar el trabajo de pruebas)</w:t>
      </w:r>
    </w:p>
    <w:p w14:paraId="14EBDCD8" w14:textId="77777777" w:rsidR="007C635D" w:rsidRPr="00F77AC0" w:rsidRDefault="00000000">
      <w:pPr>
        <w:pStyle w:val="Prrafodelista"/>
        <w:numPr>
          <w:ilvl w:val="0"/>
          <w:numId w:val="4"/>
        </w:numPr>
        <w:rPr>
          <w:lang w:val="es-PE"/>
        </w:rPr>
      </w:pPr>
      <w:r w:rsidRPr="00F77AC0">
        <w:rPr>
          <w:lang w:val="es-PE"/>
        </w:rPr>
        <w:t>El 100 % de los módulos de prioridad alta tiene casos de prueba diseñados y ejecutados.</w:t>
      </w:r>
    </w:p>
    <w:p w14:paraId="3784165F" w14:textId="77777777" w:rsidR="007C635D" w:rsidRPr="00F77AC0" w:rsidRDefault="00000000">
      <w:pPr>
        <w:pStyle w:val="Prrafodelista"/>
        <w:numPr>
          <w:ilvl w:val="0"/>
          <w:numId w:val="4"/>
        </w:numPr>
        <w:rPr>
          <w:lang w:val="es-PE"/>
        </w:rPr>
      </w:pPr>
      <w:r w:rsidRPr="00F77AC0">
        <w:rPr>
          <w:lang w:val="es-PE"/>
        </w:rPr>
        <w:t>Cada requisito del documento de requisitos está vinculado a al menos un caso en la matriz de trazabilidad.</w:t>
      </w:r>
    </w:p>
    <w:p w14:paraId="615B146D" w14:textId="74BF911C" w:rsidR="007C635D" w:rsidRPr="00F77AC0" w:rsidRDefault="00000000">
      <w:pPr>
        <w:pStyle w:val="Prrafodelista"/>
        <w:numPr>
          <w:ilvl w:val="0"/>
          <w:numId w:val="4"/>
        </w:numPr>
        <w:rPr>
          <w:lang w:val="es-PE"/>
        </w:rPr>
      </w:pPr>
      <w:r w:rsidRPr="00F77AC0">
        <w:rPr>
          <w:lang w:val="es-PE"/>
        </w:rPr>
        <w:t xml:space="preserve">El paquete de dominio y el motor de sincronización tienen pruebas automatizadas en verde. El umbral mínimo de cobertura </w:t>
      </w:r>
      <w:r w:rsidR="007823E1">
        <w:rPr>
          <w:lang w:val="es-PE"/>
        </w:rPr>
        <w:t>es de un 95%</w:t>
      </w:r>
      <w:r w:rsidRPr="00F77AC0">
        <w:rPr>
          <w:lang w:val="es-PE"/>
        </w:rPr>
        <w:t>.</w:t>
      </w:r>
    </w:p>
    <w:p w14:paraId="7E2B723C" w14:textId="77777777" w:rsidR="007C635D" w:rsidRPr="00F77AC0" w:rsidRDefault="00000000">
      <w:pPr>
        <w:pStyle w:val="Prrafodelista"/>
        <w:numPr>
          <w:ilvl w:val="0"/>
          <w:numId w:val="4"/>
        </w:numPr>
        <w:rPr>
          <w:lang w:val="es-PE"/>
        </w:rPr>
      </w:pPr>
      <w:r w:rsidRPr="00F77AC0">
        <w:rPr>
          <w:lang w:val="es-PE"/>
        </w:rPr>
        <w:t>Los diez casos límite de sincronización están cubiertos y pasan, incluido el más peligroso: una base local restaurada de una copia antigua, que debe quedar bloqueada y no reemitir números ya usados.</w:t>
      </w:r>
    </w:p>
    <w:p w14:paraId="63CA636D" w14:textId="77777777" w:rsidR="007C635D" w:rsidRPr="00F77AC0" w:rsidRDefault="00000000">
      <w:pPr>
        <w:pStyle w:val="Prrafodelista"/>
        <w:numPr>
          <w:ilvl w:val="0"/>
          <w:numId w:val="4"/>
        </w:numPr>
        <w:rPr>
          <w:lang w:val="es-PE"/>
        </w:rPr>
      </w:pPr>
      <w:r w:rsidRPr="00F77AC0">
        <w:rPr>
          <w:lang w:val="es-PE"/>
        </w:rPr>
        <w:t>Los dieciséis hallazgos del sistema actual tienen un caso de regresión que demuestra que no se reproducen.</w:t>
      </w:r>
    </w:p>
    <w:p w14:paraId="665541B5" w14:textId="77777777" w:rsidR="007C635D" w:rsidRPr="00F77AC0" w:rsidRDefault="00000000">
      <w:pPr>
        <w:pStyle w:val="Prrafodelista"/>
        <w:numPr>
          <w:ilvl w:val="0"/>
          <w:numId w:val="4"/>
        </w:numPr>
        <w:rPr>
          <w:lang w:val="es-PE"/>
        </w:rPr>
      </w:pPr>
      <w:r w:rsidRPr="00F77AC0">
        <w:rPr>
          <w:lang w:val="es-PE"/>
        </w:rPr>
        <w:t>Las comprobaciones de la migración pasan de forma automatizada, incluida la distribución de ventas año por año.</w:t>
      </w:r>
    </w:p>
    <w:p w14:paraId="6FC6B948" w14:textId="77777777" w:rsidR="007C635D" w:rsidRPr="00F77AC0" w:rsidRDefault="00000000">
      <w:pPr>
        <w:pStyle w:val="Prrafodelista"/>
        <w:numPr>
          <w:ilvl w:val="0"/>
          <w:numId w:val="4"/>
        </w:numPr>
        <w:rPr>
          <w:lang w:val="es-PE"/>
        </w:rPr>
      </w:pPr>
      <w:r w:rsidRPr="00F77AC0">
        <w:rPr>
          <w:b/>
          <w:lang w:val="es-PE"/>
        </w:rPr>
        <w:t>Un ticket real se imprimió</w:t>
      </w:r>
      <w:r w:rsidRPr="00F77AC0">
        <w:rPr>
          <w:lang w:val="es-PE"/>
        </w:rPr>
        <w:t xml:space="preserve"> en la impresora que usará la botica, y una boleta de prueba fue </w:t>
      </w:r>
      <w:r w:rsidRPr="00F77AC0">
        <w:rPr>
          <w:b/>
          <w:lang w:val="es-PE"/>
        </w:rPr>
        <w:t>aceptada</w:t>
      </w:r>
      <w:r w:rsidRPr="00F77AC0">
        <w:rPr>
          <w:lang w:val="es-PE"/>
        </w:rPr>
        <w:t xml:space="preserve"> en el ambiente del emisor electrónico.</w:t>
      </w:r>
    </w:p>
    <w:p w14:paraId="35BEFB04" w14:textId="77777777" w:rsidR="007C635D" w:rsidRPr="00F77AC0" w:rsidRDefault="00000000">
      <w:pPr>
        <w:pStyle w:val="Prrafodelista"/>
        <w:numPr>
          <w:ilvl w:val="0"/>
          <w:numId w:val="4"/>
        </w:numPr>
        <w:rPr>
          <w:lang w:val="es-PE"/>
        </w:rPr>
      </w:pPr>
      <w:r w:rsidRPr="00F77AC0">
        <w:rPr>
          <w:b/>
          <w:lang w:val="es-PE"/>
        </w:rPr>
        <w:t>Una restauración de respaldo se ejecutó y se verificó.</w:t>
      </w:r>
      <w:r w:rsidRPr="00F77AC0">
        <w:rPr>
          <w:lang w:val="es-PE"/>
        </w:rPr>
        <w:t xml:space="preserve"> Un respaldo que no se ha restaurado no es un respaldo.</w:t>
      </w:r>
    </w:p>
    <w:p w14:paraId="7AB085AB" w14:textId="77777777" w:rsidR="007C635D" w:rsidRPr="00F77AC0" w:rsidRDefault="00000000">
      <w:pPr>
        <w:pStyle w:val="Prrafodelista"/>
        <w:numPr>
          <w:ilvl w:val="0"/>
          <w:numId w:val="4"/>
        </w:numPr>
        <w:rPr>
          <w:lang w:val="es-PE"/>
        </w:rPr>
      </w:pPr>
      <w:r w:rsidRPr="00F77AC0">
        <w:rPr>
          <w:lang w:val="es-PE"/>
        </w:rPr>
        <w:t>Durante la operación en paralelo, los totales diarios del sistema nuevo coinciden con los del sistema actual.</w:t>
      </w:r>
    </w:p>
    <w:p w14:paraId="6104DA52" w14:textId="77777777" w:rsidR="007C635D" w:rsidRPr="00F77AC0" w:rsidRDefault="00000000">
      <w:pPr>
        <w:pStyle w:val="Prrafodelista"/>
        <w:numPr>
          <w:ilvl w:val="0"/>
          <w:numId w:val="4"/>
        </w:numPr>
        <w:rPr>
          <w:lang w:val="es-PE"/>
        </w:rPr>
      </w:pPr>
      <w:r w:rsidRPr="00F77AC0">
        <w:rPr>
          <w:lang w:val="es-PE"/>
        </w:rPr>
        <w:t>No quedan defectos de severidad crítica abiertos, y los conocidos no corregidos están documentados con su justificación.</w:t>
      </w:r>
    </w:p>
    <w:p w14:paraId="12385688" w14:textId="77777777" w:rsidR="007C635D" w:rsidRPr="00F77AC0" w:rsidRDefault="00000000">
      <w:pPr>
        <w:pStyle w:val="Ttulo2"/>
        <w:rPr>
          <w:lang w:val="es-PE"/>
        </w:rPr>
      </w:pPr>
      <w:r w:rsidRPr="00F77AC0">
        <w:rPr>
          <w:lang w:val="es-PE"/>
        </w:rPr>
        <w:lastRenderedPageBreak/>
        <w:t>7. Riesgos y supuestos</w:t>
      </w:r>
    </w:p>
    <w:p w14:paraId="165C519C" w14:textId="77777777" w:rsidR="007C635D" w:rsidRPr="00F77AC0" w:rsidRDefault="00000000">
      <w:pPr>
        <w:rPr>
          <w:lang w:val="es-PE"/>
        </w:rPr>
      </w:pPr>
      <w:r w:rsidRPr="00F77AC0">
        <w:rPr>
          <w:lang w:val="es-PE"/>
        </w:rPr>
        <w:t>Riesgos del trabajo de pruebas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850"/>
        <w:gridCol w:w="2521"/>
        <w:gridCol w:w="850"/>
        <w:gridCol w:w="850"/>
        <w:gridCol w:w="4289"/>
      </w:tblGrid>
      <w:tr w:rsidR="007C635D" w:rsidRPr="00F77AC0" w14:paraId="477E6795" w14:textId="77777777">
        <w:trPr>
          <w:tblHeader/>
        </w:trPr>
        <w:tc>
          <w:tcPr>
            <w:tcW w:w="850" w:type="dxa"/>
            <w:shd w:val="clear" w:color="auto" w:fill="F2F2F2"/>
          </w:tcPr>
          <w:p w14:paraId="6EB39BF8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Código</w:t>
            </w:r>
          </w:p>
        </w:tc>
        <w:tc>
          <w:tcPr>
            <w:tcW w:w="2521" w:type="dxa"/>
            <w:shd w:val="clear" w:color="auto" w:fill="F2F2F2"/>
          </w:tcPr>
          <w:p w14:paraId="7B73722D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Riesgo</w:t>
            </w:r>
          </w:p>
        </w:tc>
        <w:tc>
          <w:tcPr>
            <w:tcW w:w="850" w:type="dxa"/>
            <w:shd w:val="clear" w:color="auto" w:fill="F2F2F2"/>
          </w:tcPr>
          <w:p w14:paraId="16F01692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Probabilidad</w:t>
            </w:r>
          </w:p>
        </w:tc>
        <w:tc>
          <w:tcPr>
            <w:tcW w:w="850" w:type="dxa"/>
            <w:shd w:val="clear" w:color="auto" w:fill="F2F2F2"/>
          </w:tcPr>
          <w:p w14:paraId="139E9A03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Impacto</w:t>
            </w:r>
          </w:p>
        </w:tc>
        <w:tc>
          <w:tcPr>
            <w:tcW w:w="4289" w:type="dxa"/>
            <w:shd w:val="clear" w:color="auto" w:fill="F2F2F2"/>
          </w:tcPr>
          <w:p w14:paraId="468716B1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Mitigación</w:t>
            </w:r>
          </w:p>
        </w:tc>
      </w:tr>
      <w:tr w:rsidR="007C635D" w:rsidRPr="00F77AC0" w14:paraId="5D1EE101" w14:textId="77777777">
        <w:tc>
          <w:tcPr>
            <w:tcW w:w="850" w:type="dxa"/>
          </w:tcPr>
          <w:p w14:paraId="57588C74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R01</w:t>
            </w:r>
          </w:p>
        </w:tc>
        <w:tc>
          <w:tcPr>
            <w:tcW w:w="2521" w:type="dxa"/>
          </w:tcPr>
          <w:p w14:paraId="7B11295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No hay nada que ejecutar al inicio: el sistema está en diseño</w:t>
            </w:r>
          </w:p>
        </w:tc>
        <w:tc>
          <w:tcPr>
            <w:tcW w:w="850" w:type="dxa"/>
          </w:tcPr>
          <w:p w14:paraId="5C6CABD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Alta</w:t>
            </w:r>
          </w:p>
        </w:tc>
        <w:tc>
          <w:tcPr>
            <w:tcW w:w="850" w:type="dxa"/>
          </w:tcPr>
          <w:p w14:paraId="5009A6B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Alto</w:t>
            </w:r>
          </w:p>
        </w:tc>
        <w:tc>
          <w:tcPr>
            <w:tcW w:w="4289" w:type="dxa"/>
          </w:tcPr>
          <w:p w14:paraId="1D4E3A4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Empezar por lo que sí se puede probar sin aplicación: el dominio, el importador de datos y el protocolo de sincronización, todos ellos automatizables</w:t>
            </w:r>
          </w:p>
        </w:tc>
      </w:tr>
      <w:tr w:rsidR="007C635D" w:rsidRPr="00F77AC0" w14:paraId="71B3E52D" w14:textId="77777777">
        <w:tc>
          <w:tcPr>
            <w:tcW w:w="850" w:type="dxa"/>
          </w:tcPr>
          <w:p w14:paraId="04AABF14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R02</w:t>
            </w:r>
          </w:p>
        </w:tc>
        <w:tc>
          <w:tcPr>
            <w:tcW w:w="2521" w:type="dxa"/>
          </w:tcPr>
          <w:p w14:paraId="25712255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La impresora y el lector definitivos no están disponibles para probar</w:t>
            </w:r>
          </w:p>
        </w:tc>
        <w:tc>
          <w:tcPr>
            <w:tcW w:w="850" w:type="dxa"/>
          </w:tcPr>
          <w:p w14:paraId="003ED5F9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Media</w:t>
            </w:r>
          </w:p>
        </w:tc>
        <w:tc>
          <w:tcPr>
            <w:tcW w:w="850" w:type="dxa"/>
          </w:tcPr>
          <w:p w14:paraId="05A362B0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Alto</w:t>
            </w:r>
          </w:p>
        </w:tc>
        <w:tc>
          <w:tcPr>
            <w:tcW w:w="4289" w:type="dxa"/>
          </w:tcPr>
          <w:p w14:paraId="680DBA60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Cerrar su elección en la primera fase. La impresión del ticket es el requisito con más fricción de todo el proyecto y decide la tecnología de escritorio</w:t>
            </w:r>
          </w:p>
        </w:tc>
      </w:tr>
      <w:tr w:rsidR="007C635D" w:rsidRPr="00F77AC0" w14:paraId="32F4C711" w14:textId="77777777">
        <w:tc>
          <w:tcPr>
            <w:tcW w:w="850" w:type="dxa"/>
          </w:tcPr>
          <w:p w14:paraId="1D6BE36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R03</w:t>
            </w:r>
          </w:p>
        </w:tc>
        <w:tc>
          <w:tcPr>
            <w:tcW w:w="2521" w:type="dxa"/>
          </w:tcPr>
          <w:p w14:paraId="4F001AE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El ambiente de pruebas del emisor electrónico no está contratado a tiempo</w:t>
            </w:r>
          </w:p>
        </w:tc>
        <w:tc>
          <w:tcPr>
            <w:tcW w:w="850" w:type="dxa"/>
          </w:tcPr>
          <w:p w14:paraId="5215992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Media</w:t>
            </w:r>
          </w:p>
        </w:tc>
        <w:tc>
          <w:tcPr>
            <w:tcW w:w="850" w:type="dxa"/>
          </w:tcPr>
          <w:p w14:paraId="21A1BA66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Alto</w:t>
            </w:r>
          </w:p>
        </w:tc>
        <w:tc>
          <w:tcPr>
            <w:tcW w:w="4289" w:type="dxa"/>
          </w:tcPr>
          <w:p w14:paraId="5478A23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Arrancar la contratación en la primera fase: tiene plazo de trámite propio y bloquea toda la integración tributaria</w:t>
            </w:r>
          </w:p>
        </w:tc>
      </w:tr>
      <w:tr w:rsidR="007C635D" w:rsidRPr="00F77AC0" w14:paraId="2836CD8B" w14:textId="77777777">
        <w:tc>
          <w:tcPr>
            <w:tcW w:w="850" w:type="dxa"/>
          </w:tcPr>
          <w:p w14:paraId="7385A6E6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R04</w:t>
            </w:r>
          </w:p>
        </w:tc>
        <w:tc>
          <w:tcPr>
            <w:tcW w:w="2521" w:type="dxa"/>
          </w:tcPr>
          <w:p w14:paraId="6960A995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Una decisión pendiente cambia la arquitectura y con ella el alcance</w:t>
            </w:r>
          </w:p>
        </w:tc>
        <w:tc>
          <w:tcPr>
            <w:tcW w:w="850" w:type="dxa"/>
          </w:tcPr>
          <w:p w14:paraId="3C56A5D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Media</w:t>
            </w:r>
          </w:p>
        </w:tc>
        <w:tc>
          <w:tcPr>
            <w:tcW w:w="850" w:type="dxa"/>
          </w:tcPr>
          <w:p w14:paraId="6325652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Alto</w:t>
            </w:r>
          </w:p>
        </w:tc>
        <w:tc>
          <w:tcPr>
            <w:tcW w:w="4289" w:type="dxa"/>
          </w:tcPr>
          <w:p w14:paraId="2CA7460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No diseñar casos dependientes del stack ni del número de locales hasta cerrarlas. Si cambian, se reemite este documento</w:t>
            </w:r>
          </w:p>
        </w:tc>
      </w:tr>
      <w:tr w:rsidR="007C635D" w:rsidRPr="00F77AC0" w14:paraId="08F30978" w14:textId="77777777">
        <w:tc>
          <w:tcPr>
            <w:tcW w:w="850" w:type="dxa"/>
          </w:tcPr>
          <w:p w14:paraId="59781427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R05</w:t>
            </w:r>
          </w:p>
        </w:tc>
        <w:tc>
          <w:tcPr>
            <w:tcW w:w="2521" w:type="dxa"/>
          </w:tcPr>
          <w:p w14:paraId="6EAA0105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El stock negativo entre dos cajas desconectadas se reporta como defecto</w:t>
            </w:r>
          </w:p>
        </w:tc>
        <w:tc>
          <w:tcPr>
            <w:tcW w:w="850" w:type="dxa"/>
          </w:tcPr>
          <w:p w14:paraId="0AF60964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Alta</w:t>
            </w:r>
          </w:p>
        </w:tc>
        <w:tc>
          <w:tcPr>
            <w:tcW w:w="850" w:type="dxa"/>
          </w:tcPr>
          <w:p w14:paraId="1BD2FC73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Bajo</w:t>
            </w:r>
          </w:p>
        </w:tc>
        <w:tc>
          <w:tcPr>
            <w:tcW w:w="4289" w:type="dxa"/>
          </w:tcPr>
          <w:p w14:paraId="082B8752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b/>
                <w:lang w:val="es-PE"/>
              </w:rPr>
              <w:t>Es comportamiento declarado, no defecto.</w:t>
            </w:r>
            <w:r w:rsidRPr="00F77AC0">
              <w:rPr>
                <w:lang w:val="es-PE"/>
              </w:rPr>
              <w:t xml:space="preserve"> Operar sin red y garantizar el stock son objetivos incompatibles; está documentado como límite del diseño y el sistema debe señalarlo, no evitarlo</w:t>
            </w:r>
          </w:p>
        </w:tc>
      </w:tr>
      <w:tr w:rsidR="007C635D" w:rsidRPr="00F77AC0" w14:paraId="32326990" w14:textId="77777777">
        <w:tc>
          <w:tcPr>
            <w:tcW w:w="850" w:type="dxa"/>
          </w:tcPr>
          <w:p w14:paraId="6EBEE84E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R06</w:t>
            </w:r>
          </w:p>
        </w:tc>
        <w:tc>
          <w:tcPr>
            <w:tcW w:w="2521" w:type="dxa"/>
          </w:tcPr>
          <w:p w14:paraId="2CE2DC84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Los casos límite de sincronización no se reproducen a mano de forma fiable</w:t>
            </w:r>
          </w:p>
        </w:tc>
        <w:tc>
          <w:tcPr>
            <w:tcW w:w="850" w:type="dxa"/>
          </w:tcPr>
          <w:p w14:paraId="16328840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Alta</w:t>
            </w:r>
          </w:p>
        </w:tc>
        <w:tc>
          <w:tcPr>
            <w:tcW w:w="850" w:type="dxa"/>
          </w:tcPr>
          <w:p w14:paraId="2BA1BFFD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Alto</w:t>
            </w:r>
          </w:p>
        </w:tc>
        <w:tc>
          <w:tcPr>
            <w:tcW w:w="4289" w:type="dxa"/>
          </w:tcPr>
          <w:p w14:paraId="774F2459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Automatizarlos. El conjunto de diez casos documentado es la especificación de pruebas del motor, no una lista de ideas</w:t>
            </w:r>
          </w:p>
        </w:tc>
      </w:tr>
      <w:tr w:rsidR="007C635D" w:rsidRPr="00F77AC0" w14:paraId="5F3A836E" w14:textId="77777777">
        <w:tc>
          <w:tcPr>
            <w:tcW w:w="850" w:type="dxa"/>
          </w:tcPr>
          <w:p w14:paraId="53087D46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R07</w:t>
            </w:r>
          </w:p>
        </w:tc>
        <w:tc>
          <w:tcPr>
            <w:tcW w:w="2521" w:type="dxa"/>
          </w:tcPr>
          <w:p w14:paraId="07BAB69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La rentabilidad anterior a la migración se reporta como errónea</w:t>
            </w:r>
          </w:p>
        </w:tc>
        <w:tc>
          <w:tcPr>
            <w:tcW w:w="850" w:type="dxa"/>
          </w:tcPr>
          <w:p w14:paraId="20FC196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Alta</w:t>
            </w:r>
          </w:p>
        </w:tc>
        <w:tc>
          <w:tcPr>
            <w:tcW w:w="850" w:type="dxa"/>
          </w:tcPr>
          <w:p w14:paraId="02681828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Medio</w:t>
            </w:r>
          </w:p>
        </w:tc>
        <w:tc>
          <w:tcPr>
            <w:tcW w:w="4289" w:type="dxa"/>
          </w:tcPr>
          <w:p w14:paraId="6E737AC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El costo histórico de cada línea es irrecuperable del sistema actual. Se verifica que el sistema lo marque como dato heredado y aproximado, no que lo calcule exacto</w:t>
            </w:r>
          </w:p>
        </w:tc>
      </w:tr>
      <w:tr w:rsidR="007C635D" w:rsidRPr="00F77AC0" w14:paraId="22DE4B88" w14:textId="77777777">
        <w:tc>
          <w:tcPr>
            <w:tcW w:w="850" w:type="dxa"/>
          </w:tcPr>
          <w:p w14:paraId="62D10107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R08</w:t>
            </w:r>
          </w:p>
        </w:tc>
        <w:tc>
          <w:tcPr>
            <w:tcW w:w="2521" w:type="dxa"/>
          </w:tcPr>
          <w:p w14:paraId="0721633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El catálogo sin reclasificar y los precios dudosos ensucian los reportes</w:t>
            </w:r>
          </w:p>
        </w:tc>
        <w:tc>
          <w:tcPr>
            <w:tcW w:w="850" w:type="dxa"/>
          </w:tcPr>
          <w:p w14:paraId="26E88150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Alta</w:t>
            </w:r>
          </w:p>
        </w:tc>
        <w:tc>
          <w:tcPr>
            <w:tcW w:w="850" w:type="dxa"/>
          </w:tcPr>
          <w:p w14:paraId="40B59A5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Medio</w:t>
            </w:r>
          </w:p>
        </w:tc>
        <w:tc>
          <w:tcPr>
            <w:tcW w:w="4289" w:type="dxa"/>
          </w:tcPr>
          <w:p w14:paraId="11EF42B1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Probar los reportes de rentabilidad con datos ya revisados por el negocio, o declarar la entrada como sucia en el propio reporte</w:t>
            </w:r>
          </w:p>
        </w:tc>
      </w:tr>
      <w:tr w:rsidR="007C635D" w:rsidRPr="00F77AC0" w14:paraId="00ACB7A5" w14:textId="77777777">
        <w:tc>
          <w:tcPr>
            <w:tcW w:w="850" w:type="dxa"/>
          </w:tcPr>
          <w:p w14:paraId="450461F8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R09</w:t>
            </w:r>
          </w:p>
        </w:tc>
        <w:tc>
          <w:tcPr>
            <w:tcW w:w="2521" w:type="dxa"/>
          </w:tcPr>
          <w:p w14:paraId="542F3E76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 xml:space="preserve">No alcanza el tiempo para cubrir todos los </w:t>
            </w:r>
            <w:r w:rsidRPr="00F77AC0">
              <w:rPr>
                <w:lang w:val="es-PE"/>
              </w:rPr>
              <w:lastRenderedPageBreak/>
              <w:t>módulos</w:t>
            </w:r>
          </w:p>
        </w:tc>
        <w:tc>
          <w:tcPr>
            <w:tcW w:w="850" w:type="dxa"/>
          </w:tcPr>
          <w:p w14:paraId="337C06C4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lastRenderedPageBreak/>
              <w:t>Media</w:t>
            </w:r>
          </w:p>
        </w:tc>
        <w:tc>
          <w:tcPr>
            <w:tcW w:w="850" w:type="dxa"/>
          </w:tcPr>
          <w:p w14:paraId="381C5523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Alto</w:t>
            </w:r>
          </w:p>
        </w:tc>
        <w:tc>
          <w:tcPr>
            <w:tcW w:w="4289" w:type="dxa"/>
          </w:tcPr>
          <w:p w14:paraId="31FAE194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 xml:space="preserve">Cubrir primero los de prioridad alta y </w:t>
            </w:r>
            <w:r w:rsidRPr="00F77AC0">
              <w:rPr>
                <w:b/>
                <w:lang w:val="es-PE"/>
              </w:rPr>
              <w:t>declarar expresamente lo no cubierto</w:t>
            </w:r>
            <w:r w:rsidRPr="00F77AC0">
              <w:rPr>
                <w:lang w:val="es-PE"/>
              </w:rPr>
              <w:t xml:space="preserve">, </w:t>
            </w:r>
            <w:r w:rsidRPr="00F77AC0">
              <w:rPr>
                <w:lang w:val="es-PE"/>
              </w:rPr>
              <w:lastRenderedPageBreak/>
              <w:t>módulo por módulo</w:t>
            </w:r>
          </w:p>
        </w:tc>
      </w:tr>
      <w:tr w:rsidR="007C635D" w:rsidRPr="00F77AC0" w14:paraId="13D98FE4" w14:textId="77777777">
        <w:tc>
          <w:tcPr>
            <w:tcW w:w="850" w:type="dxa"/>
          </w:tcPr>
          <w:p w14:paraId="7D0DF65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lastRenderedPageBreak/>
              <w:t>R10</w:t>
            </w:r>
          </w:p>
        </w:tc>
        <w:tc>
          <w:tcPr>
            <w:tcW w:w="2521" w:type="dxa"/>
          </w:tcPr>
          <w:p w14:paraId="1BB0CA7E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Los casos quedan sin vincular a un requisito</w:t>
            </w:r>
          </w:p>
        </w:tc>
        <w:tc>
          <w:tcPr>
            <w:tcW w:w="850" w:type="dxa"/>
          </w:tcPr>
          <w:p w14:paraId="68550316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Media</w:t>
            </w:r>
          </w:p>
        </w:tc>
        <w:tc>
          <w:tcPr>
            <w:tcW w:w="850" w:type="dxa"/>
          </w:tcPr>
          <w:p w14:paraId="20644F7E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Alto</w:t>
            </w:r>
          </w:p>
        </w:tc>
        <w:tc>
          <w:tcPr>
            <w:tcW w:w="4289" w:type="dxa"/>
          </w:tcPr>
          <w:p w14:paraId="434A48D9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Construir la matriz de trazabilidad mientras se diseñan los casos, no al final</w:t>
            </w:r>
          </w:p>
        </w:tc>
      </w:tr>
      <w:tr w:rsidR="007C635D" w:rsidRPr="00F77AC0" w14:paraId="03D1420B" w14:textId="77777777">
        <w:tc>
          <w:tcPr>
            <w:tcW w:w="850" w:type="dxa"/>
          </w:tcPr>
          <w:p w14:paraId="1C71D640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R11</w:t>
            </w:r>
          </w:p>
        </w:tc>
        <w:tc>
          <w:tcPr>
            <w:tcW w:w="2521" w:type="dxa"/>
          </w:tcPr>
          <w:p w14:paraId="56352679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Alguien ejecuta una prueba sobre los datos de producción</w:t>
            </w:r>
          </w:p>
        </w:tc>
        <w:tc>
          <w:tcPr>
            <w:tcW w:w="850" w:type="dxa"/>
          </w:tcPr>
          <w:p w14:paraId="5011C5E6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Baja</w:t>
            </w:r>
          </w:p>
        </w:tc>
        <w:tc>
          <w:tcPr>
            <w:tcW w:w="850" w:type="dxa"/>
          </w:tcPr>
          <w:p w14:paraId="54E1EF81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Muy alto</w:t>
            </w:r>
          </w:p>
        </w:tc>
        <w:tc>
          <w:tcPr>
            <w:tcW w:w="4289" w:type="dxa"/>
          </w:tcPr>
          <w:p w14:paraId="7AAE17B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Prohibido por la regla de la sección 5. El respaldo externo verificado es precondición de entrada precisamente por esto</w:t>
            </w:r>
          </w:p>
        </w:tc>
      </w:tr>
      <w:tr w:rsidR="007C635D" w:rsidRPr="00F77AC0" w14:paraId="7EBD748F" w14:textId="77777777">
        <w:tc>
          <w:tcPr>
            <w:tcW w:w="850" w:type="dxa"/>
          </w:tcPr>
          <w:p w14:paraId="0DDF630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R12</w:t>
            </w:r>
          </w:p>
        </w:tc>
        <w:tc>
          <w:tcPr>
            <w:tcW w:w="2521" w:type="dxa"/>
          </w:tcPr>
          <w:p w14:paraId="4DE7FFB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Se prueba contra el documento de requisitos y no contra lo que el negocio espera</w:t>
            </w:r>
          </w:p>
        </w:tc>
        <w:tc>
          <w:tcPr>
            <w:tcW w:w="850" w:type="dxa"/>
          </w:tcPr>
          <w:p w14:paraId="584A7522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Media</w:t>
            </w:r>
          </w:p>
        </w:tc>
        <w:tc>
          <w:tcPr>
            <w:tcW w:w="850" w:type="dxa"/>
          </w:tcPr>
          <w:p w14:paraId="3B7C8F24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Medio</w:t>
            </w:r>
          </w:p>
        </w:tc>
        <w:tc>
          <w:tcPr>
            <w:tcW w:w="4289" w:type="dxa"/>
          </w:tcPr>
          <w:p w14:paraId="348C203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Las pruebas de aceptación las recorre el personal que opera la caja hoy, no quien escribió los requisitos</w:t>
            </w:r>
          </w:p>
        </w:tc>
      </w:tr>
    </w:tbl>
    <w:p w14:paraId="452D9F30" w14:textId="77777777" w:rsidR="007C635D" w:rsidRPr="00F77AC0" w:rsidRDefault="00000000">
      <w:pPr>
        <w:rPr>
          <w:lang w:val="es-PE"/>
        </w:rPr>
      </w:pPr>
      <w:r w:rsidRPr="00F77AC0">
        <w:rPr>
          <w:lang w:val="es-PE"/>
        </w:rPr>
        <w:t>Supuestos</w:t>
      </w:r>
    </w:p>
    <w:p w14:paraId="0240DD6B" w14:textId="77777777" w:rsidR="007C635D" w:rsidRPr="00F77AC0" w:rsidRDefault="00000000">
      <w:pPr>
        <w:pStyle w:val="Prrafodelista"/>
        <w:numPr>
          <w:ilvl w:val="0"/>
          <w:numId w:val="5"/>
        </w:numPr>
        <w:rPr>
          <w:lang w:val="es-PE"/>
        </w:rPr>
      </w:pPr>
      <w:r w:rsidRPr="00F77AC0">
        <w:rPr>
          <w:b/>
          <w:lang w:val="es-PE"/>
        </w:rPr>
        <w:t>El sistema bajo prueba aún no existe.</w:t>
      </w:r>
      <w:r w:rsidRPr="00F77AC0">
        <w:rPr>
          <w:lang w:val="es-PE"/>
        </w:rPr>
        <w:t xml:space="preserve"> Este documento define el alcance de calidad de un sistema en diseño; no es un plan de ejecución inmediata sobre una aplicación en línea.</w:t>
      </w:r>
    </w:p>
    <w:p w14:paraId="0D7AF158" w14:textId="77777777" w:rsidR="007C635D" w:rsidRPr="00F77AC0" w:rsidRDefault="00000000">
      <w:pPr>
        <w:pStyle w:val="Prrafodelista"/>
        <w:numPr>
          <w:ilvl w:val="0"/>
          <w:numId w:val="5"/>
        </w:numPr>
        <w:rPr>
          <w:lang w:val="es-PE"/>
        </w:rPr>
      </w:pPr>
      <w:r w:rsidRPr="00F77AC0">
        <w:rPr>
          <w:lang w:val="es-PE"/>
        </w:rPr>
        <w:t>Los cuatro supuestos del proyecto siguen sin confirmar: un solo local con una o dos cajas, el histórico completo se conserva, el sistema actual sigue operando durante la migración, y el negocio no es solo farmacia. Si el primero es falso, cambia la arquitectura y este alcance.</w:t>
      </w:r>
    </w:p>
    <w:p w14:paraId="40897B89" w14:textId="77777777" w:rsidR="007C635D" w:rsidRPr="00F77AC0" w:rsidRDefault="00000000">
      <w:pPr>
        <w:pStyle w:val="Prrafodelista"/>
        <w:numPr>
          <w:ilvl w:val="0"/>
          <w:numId w:val="5"/>
        </w:numPr>
        <w:rPr>
          <w:lang w:val="es-PE"/>
        </w:rPr>
      </w:pPr>
      <w:r w:rsidRPr="00F77AC0">
        <w:rPr>
          <w:lang w:val="es-PE"/>
        </w:rPr>
        <w:t>La tecnología de la sección 2 es una recomendación pendiente de decisión, no un hecho.</w:t>
      </w:r>
    </w:p>
    <w:p w14:paraId="75551AF2" w14:textId="77777777" w:rsidR="007C635D" w:rsidRPr="00F77AC0" w:rsidRDefault="00000000">
      <w:pPr>
        <w:pStyle w:val="Prrafodelista"/>
        <w:numPr>
          <w:ilvl w:val="0"/>
          <w:numId w:val="5"/>
        </w:numPr>
        <w:rPr>
          <w:lang w:val="es-PE"/>
        </w:rPr>
      </w:pPr>
      <w:r w:rsidRPr="00F77AC0">
        <w:rPr>
          <w:lang w:val="es-PE"/>
        </w:rPr>
        <w:t>El histórico migrado es de solo lectura: no se prueban operaciones de escritura sobre datos anteriores al corte.</w:t>
      </w:r>
    </w:p>
    <w:p w14:paraId="5CF7B07F" w14:textId="77777777" w:rsidR="007C635D" w:rsidRPr="00F77AC0" w:rsidRDefault="00000000">
      <w:pPr>
        <w:pStyle w:val="Prrafodelista"/>
        <w:numPr>
          <w:ilvl w:val="0"/>
          <w:numId w:val="5"/>
        </w:numPr>
        <w:rPr>
          <w:lang w:val="es-PE"/>
        </w:rPr>
      </w:pPr>
      <w:r w:rsidRPr="00F77AC0">
        <w:rPr>
          <w:lang w:val="es-PE"/>
        </w:rPr>
        <w:t>Una sola persona cubre el rol de QA, y es responsable de todos sus artefactos.</w:t>
      </w:r>
    </w:p>
    <w:p w14:paraId="253AD846" w14:textId="77777777" w:rsidR="007C635D" w:rsidRPr="00F77AC0" w:rsidRDefault="00000000">
      <w:pPr>
        <w:pStyle w:val="Ttulo2"/>
        <w:rPr>
          <w:lang w:val="es-PE"/>
        </w:rPr>
      </w:pPr>
      <w:r w:rsidRPr="00F77AC0">
        <w:rPr>
          <w:lang w:val="es-PE"/>
        </w:rPr>
        <w:t>8. Roles y responsabilidades</w:t>
      </w:r>
    </w:p>
    <w:p w14:paraId="5D87AAA1" w14:textId="77777777" w:rsidR="007C635D" w:rsidRPr="00F77AC0" w:rsidRDefault="00000000">
      <w:pPr>
        <w:rPr>
          <w:lang w:val="es-PE"/>
        </w:rPr>
      </w:pPr>
      <w:r w:rsidRPr="00F77AC0">
        <w:rPr>
          <w:lang w:val="es-PE"/>
        </w:rPr>
        <w:t>En este proyecto una misma persona puede cubrir varios roles; el documento los nombra para que se sepa quién decide qué.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283"/>
        <w:gridCol w:w="1837"/>
        <w:gridCol w:w="6240"/>
      </w:tblGrid>
      <w:tr w:rsidR="007C635D" w:rsidRPr="00F77AC0" w14:paraId="7A7DE596" w14:textId="77777777">
        <w:trPr>
          <w:tblHeader/>
        </w:trPr>
        <w:tc>
          <w:tcPr>
            <w:tcW w:w="1283" w:type="dxa"/>
            <w:shd w:val="clear" w:color="auto" w:fill="F2F2F2"/>
          </w:tcPr>
          <w:p w14:paraId="38A9BAF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Rol</w:t>
            </w:r>
          </w:p>
        </w:tc>
        <w:tc>
          <w:tcPr>
            <w:tcW w:w="1837" w:type="dxa"/>
            <w:shd w:val="clear" w:color="auto" w:fill="F2F2F2"/>
          </w:tcPr>
          <w:p w14:paraId="6276F683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Responsable</w:t>
            </w:r>
          </w:p>
        </w:tc>
        <w:tc>
          <w:tcPr>
            <w:tcW w:w="6240" w:type="dxa"/>
            <w:shd w:val="clear" w:color="auto" w:fill="F2F2F2"/>
          </w:tcPr>
          <w:p w14:paraId="08DBFCC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Responsabilidades</w:t>
            </w:r>
          </w:p>
        </w:tc>
      </w:tr>
      <w:tr w:rsidR="007C635D" w:rsidRPr="00F77AC0" w14:paraId="2626CD93" w14:textId="77777777">
        <w:tc>
          <w:tcPr>
            <w:tcW w:w="1283" w:type="dxa"/>
          </w:tcPr>
          <w:p w14:paraId="4ADDB6A2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QA (autor)</w:t>
            </w:r>
          </w:p>
        </w:tc>
        <w:tc>
          <w:tcPr>
            <w:tcW w:w="1837" w:type="dxa"/>
          </w:tcPr>
          <w:p w14:paraId="36B44A88" w14:textId="28644A89" w:rsidR="007C635D" w:rsidRPr="00F77AC0" w:rsidRDefault="000B7F41">
            <w:pPr>
              <w:rPr>
                <w:lang w:val="es-PE"/>
              </w:rPr>
            </w:pPr>
            <w:r>
              <w:rPr>
                <w:lang w:val="es-PE"/>
              </w:rPr>
              <w:t>Vladimir De La Cruz</w:t>
            </w:r>
          </w:p>
        </w:tc>
        <w:tc>
          <w:tcPr>
            <w:tcW w:w="6240" w:type="dxa"/>
          </w:tcPr>
          <w:p w14:paraId="3D9C098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Redactar este documento, diseñar y ejecutar casos, reportar defectos, mantener la matriz de trazabilidad y el repositorio de evidencias</w:t>
            </w:r>
          </w:p>
        </w:tc>
      </w:tr>
      <w:tr w:rsidR="007C635D" w:rsidRPr="00F77AC0" w14:paraId="0B208FF0" w14:textId="77777777">
        <w:tc>
          <w:tcPr>
            <w:tcW w:w="1283" w:type="dxa"/>
          </w:tcPr>
          <w:p w14:paraId="39A93D18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Desarrollo</w:t>
            </w:r>
          </w:p>
        </w:tc>
        <w:tc>
          <w:tcPr>
            <w:tcW w:w="1837" w:type="dxa"/>
          </w:tcPr>
          <w:p w14:paraId="2C99A081" w14:textId="73A6043D" w:rsidR="007C635D" w:rsidRPr="00F77AC0" w:rsidRDefault="000B7F41">
            <w:pPr>
              <w:rPr>
                <w:lang w:val="es-PE"/>
              </w:rPr>
            </w:pPr>
            <w:r>
              <w:rPr>
                <w:lang w:val="es-PE"/>
              </w:rPr>
              <w:t>Imtery</w:t>
            </w:r>
          </w:p>
        </w:tc>
        <w:tc>
          <w:tcPr>
            <w:tcW w:w="6240" w:type="dxa"/>
          </w:tcPr>
          <w:p w14:paraId="1CAF4617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Pruebas unitarias del dominio y del motor de sincronización, corrección de defectos, y la prueba técnica de impresión de la primera fase</w:t>
            </w:r>
          </w:p>
        </w:tc>
      </w:tr>
      <w:tr w:rsidR="007C635D" w:rsidRPr="00F77AC0" w14:paraId="55DED346" w14:textId="77777777">
        <w:tc>
          <w:tcPr>
            <w:tcW w:w="1283" w:type="dxa"/>
          </w:tcPr>
          <w:p w14:paraId="7B3EAAC6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Dueño del negocio</w:t>
            </w:r>
          </w:p>
        </w:tc>
        <w:tc>
          <w:tcPr>
            <w:tcW w:w="1837" w:type="dxa"/>
          </w:tcPr>
          <w:p w14:paraId="2E2A5DCD" w14:textId="61A58592" w:rsidR="007C635D" w:rsidRPr="00F77AC0" w:rsidRDefault="000B7F41">
            <w:pPr>
              <w:rPr>
                <w:lang w:val="es-PE"/>
              </w:rPr>
            </w:pPr>
            <w:r>
              <w:rPr>
                <w:lang w:val="es-PE"/>
              </w:rPr>
              <w:t>MiFarma</w:t>
            </w:r>
          </w:p>
        </w:tc>
        <w:tc>
          <w:tcPr>
            <w:tcW w:w="6240" w:type="dxa"/>
          </w:tcPr>
          <w:p w14:paraId="2A5D3C4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Cerrar las decisiones pendientes, validar las pruebas de aceptación, revisar los 341 precios dudosos y definir el árbol de categorías del catálogo</w:t>
            </w:r>
          </w:p>
        </w:tc>
      </w:tr>
      <w:tr w:rsidR="007C635D" w:rsidRPr="00F77AC0" w14:paraId="6FD80ACC" w14:textId="77777777">
        <w:tc>
          <w:tcPr>
            <w:tcW w:w="1283" w:type="dxa"/>
          </w:tcPr>
          <w:p w14:paraId="605C0FF3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 xml:space="preserve">Personal de </w:t>
            </w:r>
            <w:r w:rsidRPr="00F77AC0">
              <w:rPr>
                <w:lang w:val="es-PE"/>
              </w:rPr>
              <w:lastRenderedPageBreak/>
              <w:t>caja</w:t>
            </w:r>
          </w:p>
        </w:tc>
        <w:tc>
          <w:tcPr>
            <w:tcW w:w="1837" w:type="dxa"/>
          </w:tcPr>
          <w:p w14:paraId="46DCD038" w14:textId="4B86BC68" w:rsidR="007C635D" w:rsidRPr="00F77AC0" w:rsidRDefault="000B7F41">
            <w:pPr>
              <w:rPr>
                <w:lang w:val="es-PE"/>
              </w:rPr>
            </w:pPr>
            <w:r>
              <w:rPr>
                <w:lang w:val="es-PE"/>
              </w:rPr>
              <w:lastRenderedPageBreak/>
              <w:t>MiFarma</w:t>
            </w:r>
            <w:r>
              <w:rPr>
                <w:lang w:val="es-PE"/>
              </w:rPr>
              <w:t xml:space="preserve"> </w:t>
            </w:r>
            <w:r>
              <w:rPr>
                <w:lang w:val="es-PE"/>
              </w:rPr>
              <w:lastRenderedPageBreak/>
              <w:t>(Personal en turno)</w:t>
            </w:r>
          </w:p>
        </w:tc>
        <w:tc>
          <w:tcPr>
            <w:tcW w:w="6240" w:type="dxa"/>
          </w:tcPr>
          <w:p w14:paraId="202CC040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lastRenderedPageBreak/>
              <w:t xml:space="preserve">Recorrer las pruebas de aceptación de un turno completo y señalar </w:t>
            </w:r>
            <w:r w:rsidRPr="00F77AC0">
              <w:rPr>
                <w:lang w:val="es-PE"/>
              </w:rPr>
              <w:lastRenderedPageBreak/>
              <w:t>la fricción del cambio</w:t>
            </w:r>
          </w:p>
        </w:tc>
      </w:tr>
      <w:tr w:rsidR="007C635D" w:rsidRPr="00F77AC0" w14:paraId="752D27CE" w14:textId="77777777">
        <w:tc>
          <w:tcPr>
            <w:tcW w:w="1283" w:type="dxa"/>
          </w:tcPr>
          <w:p w14:paraId="4E23331D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lastRenderedPageBreak/>
              <w:t>Líder de QA (revisor)</w:t>
            </w:r>
          </w:p>
        </w:tc>
        <w:tc>
          <w:tcPr>
            <w:tcW w:w="1837" w:type="dxa"/>
          </w:tcPr>
          <w:p w14:paraId="376CB4E1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Instructor del curso (entregable académico)</w:t>
            </w:r>
          </w:p>
        </w:tc>
        <w:tc>
          <w:tcPr>
            <w:tcW w:w="6240" w:type="dxa"/>
          </w:tcPr>
          <w:p w14:paraId="6063F14E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Revisar el alcance, validar criterios y dar retroalimentación</w:t>
            </w:r>
          </w:p>
        </w:tc>
      </w:tr>
      <w:tr w:rsidR="007C635D" w:rsidRPr="00F77AC0" w14:paraId="62121980" w14:textId="77777777">
        <w:tc>
          <w:tcPr>
            <w:tcW w:w="1283" w:type="dxa"/>
          </w:tcPr>
          <w:p w14:paraId="605D0E4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Emisor electrónico (PSE u OSE)</w:t>
            </w:r>
          </w:p>
        </w:tc>
        <w:tc>
          <w:tcPr>
            <w:tcW w:w="1837" w:type="dxa"/>
          </w:tcPr>
          <w:p w14:paraId="6CFACBEE" w14:textId="3046802A" w:rsidR="007C635D" w:rsidRPr="00F77AC0" w:rsidRDefault="000B7F41">
            <w:pPr>
              <w:rPr>
                <w:lang w:val="es-PE"/>
              </w:rPr>
            </w:pPr>
            <w:r>
              <w:rPr>
                <w:lang w:val="es-PE"/>
              </w:rPr>
              <w:t>SUNAT</w:t>
            </w:r>
          </w:p>
        </w:tc>
        <w:tc>
          <w:tcPr>
            <w:tcW w:w="6240" w:type="dxa"/>
          </w:tcPr>
          <w:p w14:paraId="6C6E647E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Ambiente de certificación, conformidad del documento electrónico y acuse de recepción</w:t>
            </w:r>
          </w:p>
        </w:tc>
      </w:tr>
    </w:tbl>
    <w:p w14:paraId="6B693AB5" w14:textId="77777777" w:rsidR="007C635D" w:rsidRPr="00F77AC0" w:rsidRDefault="00000000">
      <w:pPr>
        <w:rPr>
          <w:lang w:val="es-PE"/>
        </w:rPr>
      </w:pPr>
      <w:r w:rsidRPr="00F77AC0">
        <w:rPr>
          <w:lang w:val="es-PE"/>
        </w:rPr>
        <w:t xml:space="preserve">Dos responsabilidades de esta tabla </w:t>
      </w:r>
      <w:r w:rsidRPr="00F77AC0">
        <w:rPr>
          <w:b/>
          <w:lang w:val="es-PE"/>
        </w:rPr>
        <w:t>no las ejecuta el desarrollo y bloquean fases enteras</w:t>
      </w:r>
      <w:r w:rsidRPr="00F77AC0">
        <w:rPr>
          <w:lang w:val="es-PE"/>
        </w:rPr>
        <w:t>: revisar los precios y clasificar el catálogo. Es el riesgo de planificación más frecuente en este tipo de proyecto, y por eso aparecen con responsable propio.</w:t>
      </w:r>
    </w:p>
    <w:p w14:paraId="3EFE3195" w14:textId="77777777" w:rsidR="007C635D" w:rsidRPr="00F77AC0" w:rsidRDefault="00000000">
      <w:pPr>
        <w:pStyle w:val="Ttulo2"/>
        <w:rPr>
          <w:lang w:val="es-PE"/>
        </w:rPr>
      </w:pPr>
      <w:r w:rsidRPr="00F77AC0">
        <w:rPr>
          <w:lang w:val="es-PE"/>
        </w:rPr>
        <w:t>9. Entregables y cronograma</w:t>
      </w:r>
    </w:p>
    <w:p w14:paraId="38C0F679" w14:textId="77777777" w:rsidR="007C635D" w:rsidRPr="00F77AC0" w:rsidRDefault="00000000">
      <w:pPr>
        <w:rPr>
          <w:lang w:val="es-PE"/>
        </w:rPr>
      </w:pPr>
      <w:r w:rsidRPr="00F77AC0">
        <w:rPr>
          <w:lang w:val="es-PE"/>
        </w:rPr>
        <w:t>Dos cronogramas distintos, con propósitos distintos. El primero es el entregable académico del Módulo 1 del curso, con fechas. El segundo es el alcance de calidad del proyecto real, por fases y sin fechas.</w:t>
      </w:r>
    </w:p>
    <w:p w14:paraId="5DBC5586" w14:textId="77777777" w:rsidR="007C635D" w:rsidRPr="00F77AC0" w:rsidRDefault="00000000">
      <w:pPr>
        <w:rPr>
          <w:lang w:val="es-PE"/>
        </w:rPr>
      </w:pPr>
      <w:r w:rsidRPr="00F77AC0">
        <w:rPr>
          <w:lang w:val="es-PE"/>
        </w:rPr>
        <w:t>Entregables del Módulo 1 del curso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850"/>
        <w:gridCol w:w="1213"/>
        <w:gridCol w:w="4409"/>
        <w:gridCol w:w="2888"/>
      </w:tblGrid>
      <w:tr w:rsidR="007C635D" w:rsidRPr="00F77AC0" w14:paraId="2C900133" w14:textId="77777777">
        <w:trPr>
          <w:tblHeader/>
        </w:trPr>
        <w:tc>
          <w:tcPr>
            <w:tcW w:w="850" w:type="dxa"/>
            <w:shd w:val="clear" w:color="auto" w:fill="F2F2F2"/>
          </w:tcPr>
          <w:p w14:paraId="1D29E028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Semana</w:t>
            </w:r>
          </w:p>
        </w:tc>
        <w:tc>
          <w:tcPr>
            <w:tcW w:w="1213" w:type="dxa"/>
            <w:shd w:val="clear" w:color="auto" w:fill="F2F2F2"/>
          </w:tcPr>
          <w:p w14:paraId="6A891647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Fechas</w:t>
            </w:r>
          </w:p>
        </w:tc>
        <w:tc>
          <w:tcPr>
            <w:tcW w:w="4409" w:type="dxa"/>
            <w:shd w:val="clear" w:color="auto" w:fill="F2F2F2"/>
          </w:tcPr>
          <w:p w14:paraId="28288107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Entregable</w:t>
            </w:r>
          </w:p>
        </w:tc>
        <w:tc>
          <w:tcPr>
            <w:tcW w:w="2888" w:type="dxa"/>
            <w:shd w:val="clear" w:color="auto" w:fill="F2F2F2"/>
          </w:tcPr>
          <w:p w14:paraId="34EABE37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Cubre de este documento</w:t>
            </w:r>
          </w:p>
        </w:tc>
      </w:tr>
      <w:tr w:rsidR="007C635D" w:rsidRPr="00F77AC0" w14:paraId="02D1F22A" w14:textId="77777777">
        <w:tc>
          <w:tcPr>
            <w:tcW w:w="850" w:type="dxa"/>
          </w:tcPr>
          <w:p w14:paraId="2B8AC45D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1</w:t>
            </w:r>
          </w:p>
        </w:tc>
        <w:tc>
          <w:tcPr>
            <w:tcW w:w="1213" w:type="dxa"/>
          </w:tcPr>
          <w:p w14:paraId="059BFE87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30-sep al 05-oct-2026</w:t>
            </w:r>
          </w:p>
        </w:tc>
        <w:tc>
          <w:tcPr>
            <w:tcW w:w="4409" w:type="dxa"/>
          </w:tcPr>
          <w:p w14:paraId="4C80333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Repositorio inicial del proyecto en Git, con README y documento de alcance de calidad</w:t>
            </w:r>
          </w:p>
        </w:tc>
        <w:tc>
          <w:tcPr>
            <w:tcW w:w="2888" w:type="dxa"/>
          </w:tcPr>
          <w:p w14:paraId="6D3AC62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Este documento y la estructura del repositorio</w:t>
            </w:r>
          </w:p>
        </w:tc>
      </w:tr>
      <w:tr w:rsidR="007C635D" w:rsidRPr="00F77AC0" w14:paraId="02900823" w14:textId="77777777">
        <w:tc>
          <w:tcPr>
            <w:tcW w:w="850" w:type="dxa"/>
          </w:tcPr>
          <w:p w14:paraId="4B43D6C0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2</w:t>
            </w:r>
          </w:p>
        </w:tc>
        <w:tc>
          <w:tcPr>
            <w:tcW w:w="1213" w:type="dxa"/>
          </w:tcPr>
          <w:p w14:paraId="04926503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07-oct al 12-oct-2026</w:t>
            </w:r>
          </w:p>
        </w:tc>
        <w:tc>
          <w:tcPr>
            <w:tcW w:w="4409" w:type="dxa"/>
          </w:tcPr>
          <w:p w14:paraId="7F39E5B9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Documento de casos de prueba manuales v1, con los flujos críticos mapeados</w:t>
            </w:r>
          </w:p>
        </w:tc>
        <w:tc>
          <w:tcPr>
            <w:tcW w:w="2888" w:type="dxa"/>
          </w:tcPr>
          <w:p w14:paraId="6B2EEEE7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Módulos de prioridad alta, empezando por M01 a M04</w:t>
            </w:r>
          </w:p>
        </w:tc>
      </w:tr>
      <w:tr w:rsidR="007C635D" w:rsidRPr="00F77AC0" w14:paraId="1CBF5C7A" w14:textId="77777777">
        <w:tc>
          <w:tcPr>
            <w:tcW w:w="850" w:type="dxa"/>
          </w:tcPr>
          <w:p w14:paraId="6A94CFB3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3</w:t>
            </w:r>
          </w:p>
        </w:tc>
        <w:tc>
          <w:tcPr>
            <w:tcW w:w="1213" w:type="dxa"/>
          </w:tcPr>
          <w:p w14:paraId="69F0ED94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14-oct al 19-oct-2026</w:t>
            </w:r>
          </w:p>
        </w:tc>
        <w:tc>
          <w:tcPr>
            <w:tcW w:w="4409" w:type="dxa"/>
          </w:tcPr>
          <w:p w14:paraId="5AD738A8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Plan de pruebas, matriz de trazabilidad y reporte de al menos 5 defectos documentados</w:t>
            </w:r>
          </w:p>
        </w:tc>
        <w:tc>
          <w:tcPr>
            <w:tcW w:w="2888" w:type="dxa"/>
          </w:tcPr>
          <w:p w14:paraId="0DA56278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Criterios de salida de la sección 6</w:t>
            </w:r>
          </w:p>
        </w:tc>
      </w:tr>
    </w:tbl>
    <w:p w14:paraId="744B87B6" w14:textId="77777777" w:rsidR="007C635D" w:rsidRPr="00F77AC0" w:rsidRDefault="00000000">
      <w:pPr>
        <w:rPr>
          <w:lang w:val="es-PE"/>
        </w:rPr>
      </w:pPr>
      <w:r w:rsidRPr="00F77AC0">
        <w:rPr>
          <w:b/>
          <w:lang w:val="es-PE"/>
        </w:rPr>
        <w:t>Sobre los 5 defectos del entregable.</w:t>
      </w:r>
      <w:r w:rsidRPr="00F77AC0">
        <w:rPr>
          <w:lang w:val="es-PE"/>
        </w:rPr>
        <w:t xml:space="preserve"> MiFarma todavía no se puede ejecutar, así que los defectos no se pueden descubrir ejecutándolo. Se documentan sobre los </w:t>
      </w:r>
      <w:r w:rsidRPr="00F77AC0">
        <w:rPr>
          <w:b/>
          <w:lang w:val="es-PE"/>
        </w:rPr>
        <w:t>dieciséis hallazgos del sistema actual</w:t>
      </w:r>
      <w:r w:rsidRPr="00F77AC0">
        <w:rPr>
          <w:lang w:val="es-PE"/>
        </w:rPr>
        <w:t>, que son defectos reales, con su código, su evidencia medida en los datos de producción y sus pasos para reproducir. Esos mismos dieciséis se convierten después en la suite de regresión del sistema nuevo, de modo que el entregable académico y el proyecto real no se desvían: es el mismo trabajo.</w:t>
      </w:r>
    </w:p>
    <w:p w14:paraId="10A257B1" w14:textId="77777777" w:rsidR="007C635D" w:rsidRPr="00F77AC0" w:rsidRDefault="00000000">
      <w:pPr>
        <w:rPr>
          <w:lang w:val="es-PE"/>
        </w:rPr>
      </w:pPr>
      <w:r w:rsidRPr="00F77AC0">
        <w:rPr>
          <w:lang w:val="es-PE"/>
        </w:rPr>
        <w:t>Alcance de calidad por fase del proyecto</w:t>
      </w:r>
    </w:p>
    <w:p w14:paraId="3F0ADD78" w14:textId="77777777" w:rsidR="007C635D" w:rsidRPr="00F77AC0" w:rsidRDefault="00000000">
      <w:pPr>
        <w:rPr>
          <w:lang w:val="es-PE"/>
        </w:rPr>
      </w:pPr>
      <w:r w:rsidRPr="00F77AC0">
        <w:rPr>
          <w:lang w:val="es-PE"/>
        </w:rPr>
        <w:t>Sin fechas, a propósito: la hoja de ruta no las lleva mientras no se sepa quién desarrolla y con qué dedicación. Una cifra sin fundamento se convierte después en un compromiso.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850"/>
        <w:gridCol w:w="1982"/>
        <w:gridCol w:w="5606"/>
        <w:gridCol w:w="922"/>
      </w:tblGrid>
      <w:tr w:rsidR="007C635D" w:rsidRPr="00F77AC0" w14:paraId="233D6662" w14:textId="77777777">
        <w:trPr>
          <w:tblHeader/>
        </w:trPr>
        <w:tc>
          <w:tcPr>
            <w:tcW w:w="850" w:type="dxa"/>
            <w:shd w:val="clear" w:color="auto" w:fill="F2F2F2"/>
          </w:tcPr>
          <w:p w14:paraId="1EDF18F7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lastRenderedPageBreak/>
              <w:t>Fase</w:t>
            </w:r>
          </w:p>
        </w:tc>
        <w:tc>
          <w:tcPr>
            <w:tcW w:w="1982" w:type="dxa"/>
            <w:shd w:val="clear" w:color="auto" w:fill="F2F2F2"/>
          </w:tcPr>
          <w:p w14:paraId="6FCD836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Qué se construye</w:t>
            </w:r>
          </w:p>
        </w:tc>
        <w:tc>
          <w:tcPr>
            <w:tcW w:w="5606" w:type="dxa"/>
            <w:shd w:val="clear" w:color="auto" w:fill="F2F2F2"/>
          </w:tcPr>
          <w:p w14:paraId="3A383302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Qué se prueba</w:t>
            </w:r>
          </w:p>
        </w:tc>
        <w:tc>
          <w:tcPr>
            <w:tcW w:w="922" w:type="dxa"/>
            <w:shd w:val="clear" w:color="auto" w:fill="F2F2F2"/>
          </w:tcPr>
          <w:p w14:paraId="1909ACF8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Módulos</w:t>
            </w:r>
          </w:p>
        </w:tc>
      </w:tr>
      <w:tr w:rsidR="007C635D" w:rsidRPr="00F77AC0" w14:paraId="5A79CA2B" w14:textId="77777777">
        <w:tc>
          <w:tcPr>
            <w:tcW w:w="850" w:type="dxa"/>
          </w:tcPr>
          <w:p w14:paraId="058D919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0</w:t>
            </w:r>
          </w:p>
        </w:tc>
        <w:tc>
          <w:tcPr>
            <w:tcW w:w="1982" w:type="dxa"/>
          </w:tcPr>
          <w:p w14:paraId="231765D0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Respaldo externo de los datos de producción</w:t>
            </w:r>
          </w:p>
        </w:tc>
        <w:tc>
          <w:tcPr>
            <w:tcW w:w="5606" w:type="dxa"/>
          </w:tcPr>
          <w:p w14:paraId="53A99E20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Que la copia se puede restaurar y abrir. Es verificación, no trámite</w:t>
            </w:r>
          </w:p>
        </w:tc>
        <w:tc>
          <w:tcPr>
            <w:tcW w:w="922" w:type="dxa"/>
          </w:tcPr>
          <w:p w14:paraId="2D2408FE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Precondición de todo</w:t>
            </w:r>
          </w:p>
        </w:tc>
      </w:tr>
      <w:tr w:rsidR="007C635D" w:rsidRPr="00F77AC0" w14:paraId="48D4D196" w14:textId="77777777">
        <w:tc>
          <w:tcPr>
            <w:tcW w:w="850" w:type="dxa"/>
          </w:tcPr>
          <w:p w14:paraId="0D4DC1E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1</w:t>
            </w:r>
          </w:p>
        </w:tc>
        <w:tc>
          <w:tcPr>
            <w:tcW w:w="1982" w:type="dxa"/>
          </w:tcPr>
          <w:p w14:paraId="7B15163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Decisiones y pruebas técnicas</w:t>
            </w:r>
          </w:p>
        </w:tc>
        <w:tc>
          <w:tcPr>
            <w:tcW w:w="5606" w:type="dxa"/>
          </w:tcPr>
          <w:p w14:paraId="7302C8A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Impresión de un ticket real, escaneo que llega a la aplicación, boleta aceptada en el ambiente del emisor electrónico</w:t>
            </w:r>
          </w:p>
        </w:tc>
        <w:tc>
          <w:tcPr>
            <w:tcW w:w="922" w:type="dxa"/>
          </w:tcPr>
          <w:p w14:paraId="4CD95669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M03, M08</w:t>
            </w:r>
          </w:p>
        </w:tc>
      </w:tr>
      <w:tr w:rsidR="007C635D" w:rsidRPr="00F77AC0" w14:paraId="1A90E84C" w14:textId="77777777">
        <w:tc>
          <w:tcPr>
            <w:tcW w:w="850" w:type="dxa"/>
          </w:tcPr>
          <w:p w14:paraId="2779405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2</w:t>
            </w:r>
          </w:p>
        </w:tc>
        <w:tc>
          <w:tcPr>
            <w:tcW w:w="1982" w:type="dxa"/>
          </w:tcPr>
          <w:p w14:paraId="71A6CD3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Dominio y migración de datos</w:t>
            </w:r>
          </w:p>
        </w:tc>
        <w:tc>
          <w:tcPr>
            <w:tcW w:w="5606" w:type="dxa"/>
          </w:tcPr>
          <w:p w14:paraId="271C3909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Pruebas unitarias del dominio y comprobaciones automatizadas de la migración, reejecutables desde cero</w:t>
            </w:r>
          </w:p>
        </w:tc>
        <w:tc>
          <w:tcPr>
            <w:tcW w:w="922" w:type="dxa"/>
          </w:tcPr>
          <w:p w14:paraId="00C4D7A1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M01, M14</w:t>
            </w:r>
          </w:p>
        </w:tc>
      </w:tr>
      <w:tr w:rsidR="007C635D" w:rsidRPr="00F77AC0" w14:paraId="5F7FF2FE" w14:textId="77777777">
        <w:tc>
          <w:tcPr>
            <w:tcW w:w="850" w:type="dxa"/>
          </w:tcPr>
          <w:p w14:paraId="442C76EA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3</w:t>
            </w:r>
          </w:p>
        </w:tc>
        <w:tc>
          <w:tcPr>
            <w:tcW w:w="1982" w:type="dxa"/>
          </w:tcPr>
          <w:p w14:paraId="78DAC309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La caja</w:t>
            </w:r>
          </w:p>
        </w:tc>
        <w:tc>
          <w:tcPr>
            <w:tcW w:w="5606" w:type="dxa"/>
          </w:tcPr>
          <w:p w14:paraId="7B79387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Casos de sistema y de aceptación de la venta: un turno completo, sin conexión, en un terminal</w:t>
            </w:r>
          </w:p>
        </w:tc>
        <w:tc>
          <w:tcPr>
            <w:tcW w:w="922" w:type="dxa"/>
          </w:tcPr>
          <w:p w14:paraId="7478F5F0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M02 a M06, M09, M10</w:t>
            </w:r>
          </w:p>
        </w:tc>
      </w:tr>
      <w:tr w:rsidR="007C635D" w:rsidRPr="00F77AC0" w14:paraId="23145FB1" w14:textId="77777777">
        <w:tc>
          <w:tcPr>
            <w:tcW w:w="850" w:type="dxa"/>
          </w:tcPr>
          <w:p w14:paraId="4A99EF63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4</w:t>
            </w:r>
          </w:p>
        </w:tc>
        <w:tc>
          <w:tcPr>
            <w:tcW w:w="1982" w:type="dxa"/>
          </w:tcPr>
          <w:p w14:paraId="0E817F23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Servidor, sincronización y SUNAT</w:t>
            </w:r>
          </w:p>
        </w:tc>
        <w:tc>
          <w:tcPr>
            <w:tcW w:w="5606" w:type="dxa"/>
          </w:tcPr>
          <w:p w14:paraId="18F710D9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Los diez casos límite de sincronización, el envío dentro de plazo con reintentos, y una restauración de respaldo efectivamente ejecutada</w:t>
            </w:r>
          </w:p>
        </w:tc>
        <w:tc>
          <w:tcPr>
            <w:tcW w:w="922" w:type="dxa"/>
          </w:tcPr>
          <w:p w14:paraId="594E11F9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M07, M08, M15</w:t>
            </w:r>
          </w:p>
        </w:tc>
      </w:tr>
      <w:tr w:rsidR="007C635D" w:rsidRPr="00F77AC0" w14:paraId="15B1DBE3" w14:textId="77777777">
        <w:tc>
          <w:tcPr>
            <w:tcW w:w="850" w:type="dxa"/>
          </w:tcPr>
          <w:p w14:paraId="5FA7C1CC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5</w:t>
            </w:r>
          </w:p>
        </w:tc>
        <w:tc>
          <w:tcPr>
            <w:tcW w:w="1982" w:type="dxa"/>
          </w:tcPr>
          <w:p w14:paraId="41C2874D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Panel web</w:t>
            </w:r>
          </w:p>
        </w:tc>
        <w:tc>
          <w:tcPr>
            <w:tcW w:w="5606" w:type="dxa"/>
          </w:tcPr>
          <w:p w14:paraId="5ECD66CB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Reportes contra cifras conocidas, rentabilidad reproducible con costo histórico, y el escalado de la vigilancia de sincronización</w:t>
            </w:r>
          </w:p>
        </w:tc>
        <w:tc>
          <w:tcPr>
            <w:tcW w:w="922" w:type="dxa"/>
          </w:tcPr>
          <w:p w14:paraId="08ED6113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M11, M12, M16</w:t>
            </w:r>
          </w:p>
        </w:tc>
      </w:tr>
      <w:tr w:rsidR="007C635D" w:rsidRPr="00F77AC0" w14:paraId="5E6F2DB2" w14:textId="77777777">
        <w:tc>
          <w:tcPr>
            <w:tcW w:w="850" w:type="dxa"/>
          </w:tcPr>
          <w:p w14:paraId="634D5FF7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6</w:t>
            </w:r>
          </w:p>
        </w:tc>
        <w:tc>
          <w:tcPr>
            <w:tcW w:w="1982" w:type="dxa"/>
          </w:tcPr>
          <w:p w14:paraId="2A677208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Móvil e inventario</w:t>
            </w:r>
          </w:p>
        </w:tc>
        <w:tc>
          <w:tcPr>
            <w:tcW w:w="5606" w:type="dxa"/>
          </w:tcPr>
          <w:p w14:paraId="5D8E5494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Escaneo con dispositivo real, captura masiva de códigos y conteo físico con registro de diferencias</w:t>
            </w:r>
          </w:p>
        </w:tc>
        <w:tc>
          <w:tcPr>
            <w:tcW w:w="922" w:type="dxa"/>
          </w:tcPr>
          <w:p w14:paraId="384F8A08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M13</w:t>
            </w:r>
          </w:p>
        </w:tc>
      </w:tr>
      <w:tr w:rsidR="007C635D" w:rsidRPr="00F77AC0" w14:paraId="3FD8D724" w14:textId="77777777">
        <w:tc>
          <w:tcPr>
            <w:tcW w:w="850" w:type="dxa"/>
          </w:tcPr>
          <w:p w14:paraId="6A38E8DE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7</w:t>
            </w:r>
          </w:p>
        </w:tc>
        <w:tc>
          <w:tcPr>
            <w:tcW w:w="1982" w:type="dxa"/>
          </w:tcPr>
          <w:p w14:paraId="244A795F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Corte</w:t>
            </w:r>
          </w:p>
        </w:tc>
        <w:tc>
          <w:tcPr>
            <w:tcW w:w="5606" w:type="dxa"/>
          </w:tcPr>
          <w:p w14:paraId="581EFA7E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Operación en paralelo: los totales diarios de los dos sistemas se comparan día por día</w:t>
            </w:r>
          </w:p>
        </w:tc>
        <w:tc>
          <w:tcPr>
            <w:tcW w:w="922" w:type="dxa"/>
          </w:tcPr>
          <w:p w14:paraId="377C8A77" w14:textId="77777777" w:rsidR="007C635D" w:rsidRPr="00F77AC0" w:rsidRDefault="00000000">
            <w:pPr>
              <w:rPr>
                <w:lang w:val="es-PE"/>
              </w:rPr>
            </w:pPr>
            <w:r w:rsidRPr="00F77AC0">
              <w:rPr>
                <w:lang w:val="es-PE"/>
              </w:rPr>
              <w:t>Aceptación final</w:t>
            </w:r>
          </w:p>
        </w:tc>
      </w:tr>
    </w:tbl>
    <w:p w14:paraId="7CC246BB" w14:textId="77777777" w:rsidR="007C635D" w:rsidRPr="00F77AC0" w:rsidRDefault="00000000">
      <w:pPr>
        <w:rPr>
          <w:lang w:val="es-PE"/>
        </w:rPr>
      </w:pPr>
      <w:r w:rsidRPr="00F77AC0">
        <w:rPr>
          <w:lang w:val="es-PE"/>
        </w:rPr>
        <w:t>El alcance se revisa al cierre de cada fase: si cambia, se emite una nueva versión de este documento y se anota en el historial de versiones.</w:t>
      </w:r>
    </w:p>
    <w:p w14:paraId="44207F27" w14:textId="77777777" w:rsidR="007C635D" w:rsidRPr="00F77AC0" w:rsidRDefault="00000000">
      <w:pPr>
        <w:pStyle w:val="Ttulo2"/>
        <w:rPr>
          <w:lang w:val="es-PE"/>
        </w:rPr>
      </w:pPr>
      <w:r w:rsidRPr="00F77AC0">
        <w:rPr>
          <w:lang w:val="es-PE"/>
        </w:rPr>
        <w:t>10. Referencias</w:t>
      </w:r>
    </w:p>
    <w:p w14:paraId="2DBAC187" w14:textId="77777777" w:rsidR="007C635D" w:rsidRPr="00F77AC0" w:rsidRDefault="00000000">
      <w:pPr>
        <w:pStyle w:val="Prrafodelista"/>
        <w:numPr>
          <w:ilvl w:val="0"/>
          <w:numId w:val="6"/>
        </w:numPr>
        <w:rPr>
          <w:lang w:val="es-PE"/>
        </w:rPr>
      </w:pPr>
      <w:r w:rsidRPr="00F77AC0">
        <w:rPr>
          <w:lang w:val="es-PE"/>
        </w:rPr>
        <w:t>Documentación de la migración, en la bóveda del proyecto: contexto y alcance del sistema actual, hallazgos críticos, calidad de datos, requisitos, arquitectura propuesta, sincronización offline, plan de migración de datos, hoja de ruta por fases y decisiones pendientes. Es la fuente de todos los requisitos y de todas las cifras de este documento.</w:t>
      </w:r>
    </w:p>
    <w:p w14:paraId="709F2105" w14:textId="77777777" w:rsidR="007C635D" w:rsidRPr="00F77AC0" w:rsidRDefault="00000000">
      <w:pPr>
        <w:pStyle w:val="Prrafodelista"/>
        <w:numPr>
          <w:ilvl w:val="0"/>
          <w:numId w:val="6"/>
        </w:numPr>
        <w:rPr>
          <w:lang w:val="es-PE"/>
        </w:rPr>
      </w:pPr>
      <w:r w:rsidRPr="00F77AC0">
        <w:rPr>
          <w:lang w:val="es-PE"/>
        </w:rPr>
        <w:t>Documento de Alcance de Calidad — Toolshop: documento modelo del curso, del que se toman las secciones y el formato.</w:t>
      </w:r>
    </w:p>
    <w:p w14:paraId="23C2B9E0" w14:textId="77777777" w:rsidR="007C635D" w:rsidRPr="00F77AC0" w:rsidRDefault="00000000">
      <w:pPr>
        <w:pStyle w:val="Prrafodelista"/>
        <w:numPr>
          <w:ilvl w:val="0"/>
          <w:numId w:val="6"/>
        </w:numPr>
        <w:rPr>
          <w:lang w:val="es-PE"/>
        </w:rPr>
      </w:pPr>
      <w:r w:rsidRPr="00F77AC0">
        <w:rPr>
          <w:lang w:val="es-PE"/>
        </w:rPr>
        <w:t>Script de análisis de datos del proyecto: produce sobre el origen las cifras con las que se verifica la migración, de modo que la comparación es directa y reproducible.</w:t>
      </w:r>
    </w:p>
    <w:p w14:paraId="00618000" w14:textId="12C0EF1E" w:rsidR="007C635D" w:rsidRPr="00F77AC0" w:rsidRDefault="00000000">
      <w:pPr>
        <w:pStyle w:val="Prrafodelista"/>
        <w:numPr>
          <w:ilvl w:val="0"/>
          <w:numId w:val="6"/>
        </w:numPr>
        <w:rPr>
          <w:lang w:val="es-PE"/>
        </w:rPr>
      </w:pPr>
      <w:r w:rsidRPr="00F77AC0">
        <w:rPr>
          <w:lang w:val="es-PE"/>
        </w:rPr>
        <w:lastRenderedPageBreak/>
        <w:t xml:space="preserve">Normativa de SUNAT sobre comprobantes de pago electrónicos: plazo de envío de la factura de 3 días calendario, y de la boleta por resumen diario hasta el séptimo día calendario siguiente. </w:t>
      </w:r>
      <w:r w:rsidRPr="00F77AC0">
        <w:rPr>
          <w:b/>
          <w:lang w:val="es-PE"/>
        </w:rPr>
        <w:t>Referencia exacta</w:t>
      </w:r>
      <w:r w:rsidRPr="00F77AC0">
        <w:rPr>
          <w:lang w:val="es-PE"/>
        </w:rPr>
        <w:t>, junto con el régimen tributario del negocio y su condición de emisor electrónico.</w:t>
      </w:r>
    </w:p>
    <w:p w14:paraId="37782743" w14:textId="77777777" w:rsidR="007C635D" w:rsidRPr="00F77AC0" w:rsidRDefault="00000000">
      <w:pPr>
        <w:pStyle w:val="Prrafodelista"/>
        <w:numPr>
          <w:ilvl w:val="0"/>
          <w:numId w:val="6"/>
        </w:numPr>
        <w:rPr>
          <w:lang w:val="es-PE"/>
        </w:rPr>
      </w:pPr>
      <w:r w:rsidRPr="00F77AC0">
        <w:rPr>
          <w:lang w:val="es-PE"/>
        </w:rPr>
        <w:t>Malla curricular del curso QA Automatizador (Tecsup Virtual): objetivos y entregables del Módulo 1.</w:t>
      </w:r>
    </w:p>
    <w:sectPr w:rsidR="007C635D" w:rsidRPr="00F77AC0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93F2C"/>
    <w:multiLevelType w:val="hybridMultilevel"/>
    <w:tmpl w:val="602E62AE"/>
    <w:lvl w:ilvl="0" w:tplc="0AA23B62">
      <w:start w:val="1"/>
      <w:numFmt w:val="bullet"/>
      <w:lvlText w:val="•"/>
      <w:lvlJc w:val="left"/>
      <w:pPr>
        <w:ind w:left="720" w:hanging="360"/>
      </w:pPr>
    </w:lvl>
    <w:lvl w:ilvl="1" w:tplc="7474E2B8">
      <w:start w:val="1"/>
      <w:numFmt w:val="bullet"/>
      <w:lvlText w:val="o"/>
      <w:lvlJc w:val="left"/>
      <w:pPr>
        <w:ind w:left="1440" w:hanging="360"/>
      </w:pPr>
    </w:lvl>
    <w:lvl w:ilvl="2" w:tplc="507051BE">
      <w:start w:val="1"/>
      <w:numFmt w:val="bullet"/>
      <w:lvlText w:val="▪"/>
      <w:lvlJc w:val="left"/>
      <w:pPr>
        <w:ind w:left="2160" w:hanging="360"/>
      </w:pPr>
    </w:lvl>
    <w:lvl w:ilvl="3" w:tplc="74E85E80">
      <w:start w:val="1"/>
      <w:numFmt w:val="bullet"/>
      <w:lvlText w:val="•"/>
      <w:lvlJc w:val="left"/>
      <w:pPr>
        <w:ind w:left="2880" w:hanging="360"/>
      </w:pPr>
    </w:lvl>
    <w:lvl w:ilvl="4" w:tplc="B774686A">
      <w:start w:val="1"/>
      <w:numFmt w:val="bullet"/>
      <w:lvlText w:val="o"/>
      <w:lvlJc w:val="left"/>
      <w:pPr>
        <w:ind w:left="3600" w:hanging="360"/>
      </w:pPr>
    </w:lvl>
    <w:lvl w:ilvl="5" w:tplc="3782C7B8">
      <w:start w:val="1"/>
      <w:numFmt w:val="bullet"/>
      <w:lvlText w:val="▪"/>
      <w:lvlJc w:val="left"/>
      <w:pPr>
        <w:ind w:left="4320" w:hanging="360"/>
      </w:pPr>
    </w:lvl>
    <w:lvl w:ilvl="6" w:tplc="5720EA5A">
      <w:start w:val="1"/>
      <w:numFmt w:val="bullet"/>
      <w:lvlText w:val="•"/>
      <w:lvlJc w:val="left"/>
      <w:pPr>
        <w:ind w:left="5040" w:hanging="360"/>
      </w:pPr>
    </w:lvl>
    <w:lvl w:ilvl="7" w:tplc="47283F60">
      <w:start w:val="1"/>
      <w:numFmt w:val="bullet"/>
      <w:lvlText w:val="o"/>
      <w:lvlJc w:val="left"/>
      <w:pPr>
        <w:ind w:left="5760" w:hanging="360"/>
      </w:pPr>
    </w:lvl>
    <w:lvl w:ilvl="8" w:tplc="C952CFD8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1BB94AFB"/>
    <w:multiLevelType w:val="hybridMultilevel"/>
    <w:tmpl w:val="9AC4FAC2"/>
    <w:lvl w:ilvl="0" w:tplc="A730777E">
      <w:start w:val="1"/>
      <w:numFmt w:val="decimal"/>
      <w:lvlText w:val="%1."/>
      <w:lvlJc w:val="left"/>
      <w:pPr>
        <w:ind w:left="720" w:hanging="360"/>
      </w:pPr>
    </w:lvl>
    <w:lvl w:ilvl="1" w:tplc="83143CE8">
      <w:start w:val="1"/>
      <w:numFmt w:val="lowerLetter"/>
      <w:lvlText w:val="%2."/>
      <w:lvlJc w:val="left"/>
      <w:pPr>
        <w:ind w:left="1440" w:hanging="360"/>
      </w:pPr>
    </w:lvl>
    <w:lvl w:ilvl="2" w:tplc="F1BA2330">
      <w:start w:val="1"/>
      <w:numFmt w:val="lowerRoman"/>
      <w:lvlText w:val="%3."/>
      <w:lvlJc w:val="left"/>
      <w:pPr>
        <w:ind w:left="2160" w:hanging="360"/>
      </w:pPr>
    </w:lvl>
    <w:lvl w:ilvl="3" w:tplc="46CC763A">
      <w:start w:val="1"/>
      <w:numFmt w:val="decimal"/>
      <w:lvlText w:val="%4."/>
      <w:lvlJc w:val="left"/>
      <w:pPr>
        <w:ind w:left="2880" w:hanging="360"/>
      </w:pPr>
    </w:lvl>
    <w:lvl w:ilvl="4" w:tplc="2E303614">
      <w:start w:val="1"/>
      <w:numFmt w:val="lowerLetter"/>
      <w:lvlText w:val="%5."/>
      <w:lvlJc w:val="left"/>
      <w:pPr>
        <w:ind w:left="3600" w:hanging="360"/>
      </w:pPr>
    </w:lvl>
    <w:lvl w:ilvl="5" w:tplc="E5243E3A">
      <w:start w:val="1"/>
      <w:numFmt w:val="lowerRoman"/>
      <w:lvlText w:val="%6."/>
      <w:lvlJc w:val="left"/>
      <w:pPr>
        <w:ind w:left="4320" w:hanging="360"/>
      </w:pPr>
    </w:lvl>
    <w:lvl w:ilvl="6" w:tplc="C60069E8">
      <w:start w:val="1"/>
      <w:numFmt w:val="decimal"/>
      <w:lvlText w:val="%7."/>
      <w:lvlJc w:val="left"/>
      <w:pPr>
        <w:ind w:left="5040" w:hanging="360"/>
      </w:pPr>
    </w:lvl>
    <w:lvl w:ilvl="7" w:tplc="6A3C188A">
      <w:start w:val="1"/>
      <w:numFmt w:val="lowerLetter"/>
      <w:lvlText w:val="%8."/>
      <w:lvlJc w:val="left"/>
      <w:pPr>
        <w:ind w:left="5760" w:hanging="360"/>
      </w:pPr>
    </w:lvl>
    <w:lvl w:ilvl="8" w:tplc="DFF2F3BE">
      <w:start w:val="1"/>
      <w:numFmt w:val="lowerRoman"/>
      <w:lvlText w:val="%9."/>
      <w:lvlJc w:val="left"/>
      <w:pPr>
        <w:ind w:left="6480" w:hanging="360"/>
      </w:pPr>
    </w:lvl>
  </w:abstractNum>
  <w:num w:numId="1" w16cid:durableId="256596808">
    <w:abstractNumId w:val="0"/>
  </w:num>
  <w:num w:numId="2" w16cid:durableId="817260386">
    <w:abstractNumId w:val="0"/>
  </w:num>
  <w:num w:numId="3" w16cid:durableId="1027372940">
    <w:abstractNumId w:val="0"/>
  </w:num>
  <w:num w:numId="4" w16cid:durableId="1709720580">
    <w:abstractNumId w:val="0"/>
  </w:num>
  <w:num w:numId="5" w16cid:durableId="2131167412">
    <w:abstractNumId w:val="0"/>
  </w:num>
  <w:num w:numId="6" w16cid:durableId="16317453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C635D"/>
    <w:rsid w:val="000B7F41"/>
    <w:rsid w:val="006F148F"/>
    <w:rsid w:val="007823E1"/>
    <w:rsid w:val="007C635D"/>
    <w:rsid w:val="00854209"/>
    <w:rsid w:val="009735D7"/>
    <w:rsid w:val="00AD501B"/>
    <w:rsid w:val="00F77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1305CD4"/>
  <w15:docId w15:val="{FC8697D6-F63D-4DFB-B0DB-57EB12721F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148F"/>
    <w:pPr>
      <w:jc w:val="both"/>
    </w:pPr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13</Pages>
  <Words>3983</Words>
  <Characters>20477</Characters>
  <Application>Microsoft Office Word</Application>
  <DocSecurity>0</DocSecurity>
  <Lines>890</Lines>
  <Paragraphs>531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Alcance de Calidad — MiFarma</vt:lpstr>
    </vt:vector>
  </TitlesOfParts>
  <Company/>
  <LinksUpToDate>false</LinksUpToDate>
  <CharactersWithSpaces>23929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Alcance de Calidad — MiFarma</dc:title>
  <cp:lastModifiedBy>Cristhian Vladimir De La Cruz Tinoco</cp:lastModifiedBy>
  <cp:revision>4</cp:revision>
  <dcterms:created xsi:type="dcterms:W3CDTF">2026-10-08T01:29:00Z</dcterms:created>
  <dcterms:modified xsi:type="dcterms:W3CDTF">2026-10-08T01:55:00Z</dcterms:modified>
</cp:coreProperties>
</file>