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r>
        <w:t xml:space="preserve">Documento de Alcance de Calidad — MiFarma</w:t>
      </w:r>
    </w:p>
    <w:p>
      <w:pPr/>
      <w:r>
        <w:t xml:space="preserve">21-oct-2026 — Autor: Vladimir De La Cruz</w:t>
      </w:r>
    </w:p>
    <w:p>
      <w:pPr/>
      <w:r>
        <w:t xml:space="preserve">Este documento define qué se prueba en MiFarma, con qué criterio y con qué límites. Sigue las secciones y el formato del documento modelo del curso, aplicadas a un proyecto propio: la migración del sistema de punto de venta de la botica.</w:t>
      </w:r>
    </w:p>
    <w:p>
      <w:pPr>
        <w:pStyle w:val="Heading2"/>
      </w:pPr>
      <w:r>
        <w:t xml:space="preserve">Control del documento</w:t>
      </w:r>
    </w:p>
    <w:tbl>
      <w:tblPr>
        <w:tblStyle w:val="TableGrid"/>
        <w:tblW w:w="0" w:type="auto"/>
        <w:tblLayout w:type="fixed"/>
        <w:tblLook w:val="04A0" w:firstRow="1" w:lastRow="0" w:firstColumn="0" w:lastColumn="0" w:noHBand="0" w:noVBand="1"/>
      </w:tblPr>
      <w:tblGrid>
        <w:gridCol w:w="1997"/>
        <w:gridCol w:w="7363"/>
      </w:tblGrid>
      <w:tr>
        <w:trPr>
          <w:tblHeader/>
        </w:trPr>
        <w:tc>
          <w:tcPr>
            <w:tcW w:w="1997" w:type="dxa"/>
            <w:shd w:val="clear" w:color="auto" w:fill="F2F2F2"/>
          </w:tcPr>
          <w:p>
            <w:pPr/>
            <w:r>
              <w:t xml:space="preserve">Campo</w:t>
            </w:r>
          </w:p>
        </w:tc>
        <w:tc>
          <w:tcPr>
            <w:tcW w:w="7363" w:type="dxa"/>
            <w:shd w:val="clear" w:color="auto" w:fill="F2F2F2"/>
          </w:tcPr>
          <w:p>
            <w:pPr/>
            <w:r>
              <w:t xml:space="preserve">Detalle</w:t>
            </w:r>
          </w:p>
        </w:tc>
      </w:tr>
      <w:tr>
        <w:tc>
          <w:tcPr>
            <w:tcW w:w="1997" w:type="dxa"/>
          </w:tcPr>
          <w:p>
            <w:pPr/>
            <w:r>
              <w:t xml:space="preserve">Código</w:t>
            </w:r>
          </w:p>
        </w:tc>
        <w:tc>
          <w:tcPr>
            <w:tcW w:w="7363" w:type="dxa"/>
          </w:tcPr>
          <w:p>
            <w:pPr/>
            <w:r>
              <w:t xml:space="preserve">QA-ALC-001</w:t>
            </w:r>
          </w:p>
        </w:tc>
      </w:tr>
      <w:tr>
        <w:tc>
          <w:tcPr>
            <w:tcW w:w="1997" w:type="dxa"/>
          </w:tcPr>
          <w:p>
            <w:pPr/>
            <w:r>
              <w:t xml:space="preserve">Proyecto</w:t>
            </w:r>
          </w:p>
        </w:tc>
        <w:tc>
          <w:tcPr>
            <w:tcW w:w="7363" w:type="dxa"/>
          </w:tcPr>
          <w:p>
            <w:pPr/>
            <w:r>
              <w:t xml:space="preserve">MiFarma — migración del sistema de punto de venta de botica</w:t>
            </w:r>
          </w:p>
        </w:tc>
      </w:tr>
      <w:tr>
        <w:tc>
          <w:tcPr>
            <w:tcW w:w="1997" w:type="dxa"/>
          </w:tcPr>
          <w:p>
            <w:pPr/>
            <w:r>
              <w:t xml:space="preserve">Versión</w:t>
            </w:r>
          </w:p>
        </w:tc>
        <w:tc>
          <w:tcPr>
            <w:tcW w:w="7363" w:type="dxa"/>
          </w:tcPr>
          <w:p>
            <w:pPr/>
            <w:r>
              <w:t xml:space="preserve">1.6</w:t>
            </w:r>
          </w:p>
        </w:tc>
      </w:tr>
      <w:tr>
        <w:tc>
          <w:tcPr>
            <w:tcW w:w="1997" w:type="dxa"/>
          </w:tcPr>
          <w:p>
            <w:pPr/>
            <w:r>
              <w:t xml:space="preserve">Fecha de emisión</w:t>
            </w:r>
          </w:p>
        </w:tc>
        <w:tc>
          <w:tcPr>
            <w:tcW w:w="7363" w:type="dxa"/>
          </w:tcPr>
          <w:p>
            <w:pPr/>
            <w:r>
              <w:t xml:space="preserve">21-oct-2026</w:t>
            </w:r>
          </w:p>
        </w:tc>
      </w:tr>
      <w:tr>
        <w:tc>
          <w:tcPr>
            <w:tcW w:w="1997" w:type="dxa"/>
          </w:tcPr>
          <w:p>
            <w:pPr/>
            <w:r>
              <w:t xml:space="preserve">Autor</w:t>
            </w:r>
          </w:p>
        </w:tc>
        <w:tc>
          <w:tcPr>
            <w:tcW w:w="7363" w:type="dxa"/>
          </w:tcPr>
          <w:p>
            <w:pPr/>
            <w:r>
              <w:t xml:space="preserve">Vladimir De La Cruz</w:t>
            </w:r>
          </w:p>
        </w:tc>
      </w:tr>
      <w:tr>
        <w:tc>
          <w:tcPr>
            <w:tcW w:w="1997" w:type="dxa"/>
          </w:tcPr>
          <w:p>
            <w:pPr/>
            <w:r>
              <w:t xml:space="preserve">Revisor</w:t>
            </w:r>
          </w:p>
        </w:tc>
        <w:tc>
          <w:tcPr>
            <w:tcW w:w="7363" w:type="dxa"/>
          </w:tcPr>
          <w:p>
            <w:pPr/>
            <w:r>
              <w:t xml:space="preserve">Instructor del curso (entregable académico)</w:t>
            </w:r>
          </w:p>
        </w:tc>
      </w:tr>
      <w:tr>
        <w:tc>
          <w:tcPr>
            <w:tcW w:w="1997" w:type="dxa"/>
          </w:tcPr>
          <w:p>
            <w:pPr/>
            <w:r>
              <w:t xml:space="preserve">Estado</w:t>
            </w:r>
          </w:p>
        </w:tc>
        <w:tc>
          <w:tcPr>
            <w:tcW w:w="7363" w:type="dxa"/>
          </w:tcPr>
          <w:p>
            <w:pPr/>
            <w:r>
              <w:t xml:space="preserve">Emitido para revisión</w:t>
            </w:r>
          </w:p>
        </w:tc>
      </w:tr>
      <w:tr>
        <w:tc>
          <w:tcPr>
            <w:tcW w:w="1997" w:type="dxa"/>
          </w:tcPr>
          <w:p>
            <w:pPr/>
            <w:r>
              <w:t xml:space="preserve">Clasificación</w:t>
            </w:r>
          </w:p>
        </w:tc>
        <w:tc>
          <w:tcPr>
            <w:tcW w:w="7363" w:type="dxa"/>
          </w:tcPr>
          <w:p>
            <w:pPr/>
            <w:r>
              <w:t xml:space="preserve">Uso académico y de proyecto</w:t>
            </w:r>
          </w:p>
        </w:tc>
      </w:tr>
    </w:tbl>
    <w:p>
      <w:pPr/>
      <w:r>
        <w:t xml:space="preserve">Historial de versiones</w:t>
      </w:r>
    </w:p>
    <w:tbl>
      <w:tblPr>
        <w:tblStyle w:val="TableGrid"/>
        <w:tblW w:w="0" w:type="auto"/>
        <w:tblLayout w:type="fixed"/>
        <w:tblLook w:val="04A0" w:firstRow="1" w:lastRow="0" w:firstColumn="0" w:lastColumn="0" w:noHBand="0" w:noVBand="1"/>
      </w:tblPr>
      <w:tblGrid>
        <w:gridCol w:w="850"/>
        <w:gridCol w:w="850"/>
        <w:gridCol w:w="850"/>
        <w:gridCol w:w="6810"/>
      </w:tblGrid>
      <w:tr>
        <w:trPr>
          <w:tblHeader/>
        </w:trPr>
        <w:tc>
          <w:tcPr>
            <w:tcW w:w="850" w:type="dxa"/>
            <w:shd w:val="clear" w:color="auto" w:fill="F2F2F2"/>
          </w:tcPr>
          <w:p>
            <w:pPr/>
            <w:r>
              <w:t xml:space="preserve">Versión</w:t>
            </w:r>
          </w:p>
        </w:tc>
        <w:tc>
          <w:tcPr>
            <w:tcW w:w="850" w:type="dxa"/>
            <w:shd w:val="clear" w:color="auto" w:fill="F2F2F2"/>
          </w:tcPr>
          <w:p>
            <w:pPr/>
            <w:r>
              <w:t xml:space="preserve">Fecha</w:t>
            </w:r>
          </w:p>
        </w:tc>
        <w:tc>
          <w:tcPr>
            <w:tcW w:w="850" w:type="dxa"/>
            <w:shd w:val="clear" w:color="auto" w:fill="F2F2F2"/>
          </w:tcPr>
          <w:p>
            <w:pPr/>
            <w:r>
              <w:t xml:space="preserve">Autor</w:t>
            </w:r>
          </w:p>
        </w:tc>
        <w:tc>
          <w:tcPr>
            <w:tcW w:w="6810" w:type="dxa"/>
            <w:shd w:val="clear" w:color="auto" w:fill="F2F2F2"/>
          </w:tcPr>
          <w:p>
            <w:pPr/>
            <w:r>
              <w:t xml:space="preserve">Descripción del cambio</w:t>
            </w:r>
          </w:p>
        </w:tc>
      </w:tr>
      <w:tr>
        <w:tc>
          <w:tcPr>
            <w:tcW w:w="850" w:type="dxa"/>
          </w:tcPr>
          <w:p>
            <w:pPr/>
            <w:r>
              <w:t xml:space="preserve">0.1</w:t>
            </w:r>
          </w:p>
        </w:tc>
        <w:tc>
          <w:tcPr>
            <w:tcW w:w="850" w:type="dxa"/>
          </w:tcPr>
          <w:p>
            <w:pPr/>
            <w:r>
              <w:t xml:space="preserve">07-oct-2026</w:t>
            </w:r>
          </w:p>
        </w:tc>
        <w:tc>
          <w:tcPr>
            <w:tcW w:w="850" w:type="dxa"/>
          </w:tcPr>
          <w:p>
            <w:pPr/>
            <w:r>
              <w:t xml:space="preserve">Vladimir De La Cruz</w:t>
            </w:r>
          </w:p>
        </w:tc>
        <w:tc>
          <w:tcPr>
            <w:tcW w:w="6810" w:type="dxa"/>
          </w:tcPr>
          <w:p>
            <w:pPr/>
            <w:r>
              <w:t xml:space="preserve">Borrador inicial del alcance</w:t>
            </w:r>
          </w:p>
        </w:tc>
      </w:tr>
      <w:tr>
        <w:tc>
          <w:tcPr>
            <w:tcW w:w="850" w:type="dxa"/>
          </w:tcPr>
          <w:p>
            <w:pPr/>
            <w:r>
              <w:t xml:space="preserve">1.0</w:t>
            </w:r>
          </w:p>
        </w:tc>
        <w:tc>
          <w:tcPr>
            <w:tcW w:w="850" w:type="dxa"/>
          </w:tcPr>
          <w:p>
            <w:pPr/>
            <w:r>
              <w:t xml:space="preserve">07-oct-2026</w:t>
            </w:r>
          </w:p>
        </w:tc>
        <w:tc>
          <w:tcPr>
            <w:tcW w:w="850" w:type="dxa"/>
          </w:tcPr>
          <w:p>
            <w:pPr/>
            <w:r>
              <w:t xml:space="preserve">Vladimir De La Cruz</w:t>
            </w:r>
          </w:p>
        </w:tc>
        <w:tc>
          <w:tcPr>
            <w:tcW w:w="6810" w:type="dxa"/>
          </w:tcPr>
          <w:p>
            <w:pPr/>
            <w:r>
              <w:t xml:space="preserve">Versión emitida para revisión</w:t>
            </w:r>
          </w:p>
        </w:tc>
      </w:tr>
      <w:tr>
        <w:tc>
          <w:tcPr>
            <w:tcW w:w="850" w:type="dxa"/>
          </w:tcPr>
          <w:p>
            <w:pPr/>
            <w:r>
              <w:t xml:space="preserve">1.1</w:t>
            </w:r>
          </w:p>
        </w:tc>
        <w:tc>
          <w:tcPr>
            <w:tcW w:w="850" w:type="dxa"/>
          </w:tcPr>
          <w:p>
            <w:pPr/>
            <w:r>
              <w:t xml:space="preserve">07-oct-2026</w:t>
            </w:r>
          </w:p>
        </w:tc>
        <w:tc>
          <w:tcPr>
            <w:tcW w:w="850" w:type="dxa"/>
          </w:tcPr>
          <w:p>
            <w:pPr/>
            <w:r>
              <w:t xml:space="preserve">Vladimir De La Cruz</w:t>
            </w:r>
          </w:p>
        </w:tc>
        <w:tc>
          <w:tcPr>
            <w:tcW w:w="6810" w:type="dxa"/>
          </w:tcPr>
          <w:p>
            <w:pPr/>
            <w:r>
              <w:t xml:space="preserve">Facturación electrónica por canal propio, sin OSE ni PSE. Régimen tributario y arquitectura confirmados. Módulo M17 y riesgos R13 a R16 añadidos</w:t>
            </w:r>
          </w:p>
        </w:tc>
      </w:tr>
      <w:tr>
        <w:tc>
          <w:tcPr>
            <w:tcW w:w="850" w:type="dxa"/>
          </w:tcPr>
          <w:p>
            <w:pPr/>
            <w:r>
              <w:t xml:space="preserve">1.2</w:t>
            </w:r>
          </w:p>
        </w:tc>
        <w:tc>
          <w:tcPr>
            <w:tcW w:w="850" w:type="dxa"/>
          </w:tcPr>
          <w:p>
            <w:pPr/>
            <w:r>
              <w:t xml:space="preserve">08-oct-2026</w:t>
            </w:r>
          </w:p>
        </w:tc>
        <w:tc>
          <w:tcPr>
            <w:tcW w:w="850" w:type="dxa"/>
          </w:tcPr>
          <w:p>
            <w:pPr/>
            <w:r>
              <w:t xml:space="preserve">Vladimir De La Cruz</w:t>
            </w:r>
          </w:p>
        </w:tc>
        <w:tc>
          <w:tcPr>
            <w:tcW w:w="6810" w:type="dxa"/>
          </w:tcPr>
          <w:p>
            <w:pPr/>
            <w:r>
              <w:rPr>
                <w:b/>
              </w:rPr>
              <w:t xml:space="preserve">El histórico de ventas no se migra:</w:t>
            </w:r>
            <w:r>
              <w:t xml:space="preserve"> el libro de ventas arranca en cero. Se migran catálogo y stock, marcados como datos heredados sin verificar. Módulo M18 añadido, riesgo R07 retirado, riesgos R17 a R19 añadidos. Equipo, volumen, stack, responsables y umbral de cobertura confirmados</w:t>
            </w:r>
          </w:p>
        </w:tc>
      </w:tr>
      <w:tr>
        <w:tc>
          <w:tcPr>
            <w:tcW w:w="850" w:type="dxa"/>
          </w:tcPr>
          <w:p>
            <w:pPr/>
            <w:r>
              <w:t xml:space="preserve">1.6</w:t>
            </w:r>
          </w:p>
        </w:tc>
        <w:tc>
          <w:tcPr>
            <w:tcW w:w="850" w:type="dxa"/>
          </w:tcPr>
          <w:p>
            <w:pPr/>
            <w:r>
              <w:t xml:space="preserve">21-oct-2026</w:t>
            </w:r>
          </w:p>
        </w:tc>
        <w:tc>
          <w:tcPr>
            <w:tcW w:w="850" w:type="dxa"/>
          </w:tcPr>
          <w:p>
            <w:pPr/>
            <w:r>
              <w:t xml:space="preserve">Vladimir De La Cruz</w:t>
            </w:r>
          </w:p>
        </w:tc>
        <w:tc>
          <w:tcPr>
            <w:tcW w:w="6810" w:type="dxa"/>
          </w:tcPr>
          <w:p>
            <w:pPr/>
            <w:r>
              <w:rPr>
                <w:b/>
              </w:rPr>
              <w:t xml:space="preserve">Marco de pruebas de C# decidido: xUnit</w:t>
            </w:r>
            <w:r>
              <w:t xml:space="preserve">, sin librería de aserciones extra, al generarse la solución .NET de la caja. Sigue por definir el de Dart. Se añade la prueba de arquitectura que comprueba la regla de dependencia</w:t>
            </w:r>
          </w:p>
        </w:tc>
      </w:tr>
      <w:tr>
        <w:tc>
          <w:tcPr>
            <w:tcW w:w="850" w:type="dxa"/>
          </w:tcPr>
          <w:p>
            <w:pPr/>
            <w:r>
              <w:t xml:space="preserve">1.5</w:t>
            </w:r>
          </w:p>
        </w:tc>
        <w:tc>
          <w:tcPr>
            <w:tcW w:w="850" w:type="dxa"/>
          </w:tcPr>
          <w:p>
            <w:pPr/>
            <w:r>
              <w:t xml:space="preserve">21-oct-2026</w:t>
            </w:r>
          </w:p>
        </w:tc>
        <w:tc>
          <w:tcPr>
            <w:tcW w:w="850" w:type="dxa"/>
          </w:tcPr>
          <w:p>
            <w:pPr/>
            <w:r>
              <w:t xml:space="preserve">Vladimir De La Cruz</w:t>
            </w:r>
          </w:p>
        </w:tc>
        <w:tc>
          <w:tcPr>
            <w:tcW w:w="6810" w:type="dxa"/>
          </w:tcPr>
          <w:p>
            <w:pPr/>
            <w:r>
              <w:rPr>
                <w:b/>
              </w:rPr>
              <w:t xml:space="preserve">El sistema bajo prueba deja de ser el de una botica y pasa a ser un producto multicliente</w:t>
            </w:r>
            <w:r>
              <w:t xml:space="preserve"> operado por el desarrollo, que paga el VPS. MiFarma es el primer cliente. Base de datos </w:t>
            </w:r>
            <w:r>
              <w:rPr>
                <w:b/>
              </w:rPr>
              <w:t xml:space="preserve">híbrida</w:t>
            </w:r>
            <w:r>
              <w:t xml:space="preserve">: compartida por defecto, propia para el cliente que pida algo particular, que queda congelado en lo compartido. El </w:t>
            </w:r>
            <w:r>
              <w:rPr>
                <w:b/>
              </w:rPr>
              <w:t xml:space="preserve">Facturador vuelve a las cajas del cliente</w:t>
            </w:r>
            <w:r>
              <w:t xml:space="preserve">: R13 vuelve a estar vivo y R23 se retira. Módulos </w:t>
            </w:r>
            <w:r>
              <w:rPr>
                <w:b/>
              </w:rPr>
              <w:t xml:space="preserve">M22</w:t>
            </w:r>
            <w:r>
              <w:t xml:space="preserve"> (aislamiento entre clientes) y </w:t>
            </w:r>
            <w:r>
              <w:rPr>
                <w:b/>
              </w:rPr>
              <w:t xml:space="preserve">M23</w:t>
            </w:r>
            <w:r>
              <w:t xml:space="preserve"> (separación de un cliente) añadidos; riesgos </w:t>
            </w:r>
            <w:r>
              <w:rPr>
                <w:b/>
              </w:rPr>
              <w:t xml:space="preserve">R24 a R26</w:t>
            </w:r>
          </w:p>
        </w:tc>
      </w:tr>
      <w:tr>
        <w:tc>
          <w:tcPr>
            <w:tcW w:w="850" w:type="dxa"/>
          </w:tcPr>
          <w:p>
            <w:pPr/>
            <w:r>
              <w:t xml:space="preserve">1.4</w:t>
            </w:r>
          </w:p>
        </w:tc>
        <w:tc>
          <w:tcPr>
            <w:tcW w:w="850" w:type="dxa"/>
          </w:tcPr>
          <w:p>
            <w:pPr/>
            <w:r>
              <w:t xml:space="preserve">20-oct-2026</w:t>
            </w:r>
          </w:p>
        </w:tc>
        <w:tc>
          <w:tcPr>
            <w:tcW w:w="850" w:type="dxa"/>
          </w:tcPr>
          <w:p>
            <w:pPr/>
            <w:r>
              <w:t xml:space="preserve">Vladimir De La Cruz</w:t>
            </w:r>
          </w:p>
        </w:tc>
        <w:tc>
          <w:tcPr>
            <w:tcW w:w="6810" w:type="dxa"/>
          </w:tcPr>
          <w:p>
            <w:pPr/>
            <w:r>
              <w:rPr>
                <w:b/>
              </w:rPr>
              <w:t xml:space="preserve">No habrá convivencia con el sistema actual:</w:t>
            </w:r>
            <w:r>
              <w:t xml:space="preserve"> se retira el criterio de salida que comparaba las ventas del día entre los dos sistemas, porque el corte es seco. La aceptación se apoya en las pruebas de aceptación y el conteo físico. </w:t>
            </w:r>
            <w:r>
              <w:rPr>
                <w:b/>
              </w:rPr>
              <w:t xml:space="preserve">Un solo Facturador, en el VPS</w:t>
            </w:r>
            <w:r>
              <w:t xml:space="preserve">: R22 se cierra y R13 cambia de naturaleza. La </w:t>
            </w:r>
            <w:r>
              <w:rPr>
                <w:b/>
              </w:rPr>
              <w:t xml:space="preserve">conciliación de pagos digitales queda descartada con fundamento</w:t>
            </w:r>
            <w:r>
              <w:t xml:space="preserve">, no pendiente. Riesgo R23 añadido</w:t>
            </w:r>
          </w:p>
        </w:tc>
      </w:tr>
      <w:tr>
        <w:tc>
          <w:tcPr>
            <w:tcW w:w="850" w:type="dxa"/>
          </w:tcPr>
          <w:p>
            <w:pPr/>
            <w:r>
              <w:t xml:space="preserve">1.3</w:t>
            </w:r>
          </w:p>
        </w:tc>
        <w:tc>
          <w:tcPr>
            <w:tcW w:w="850" w:type="dxa"/>
          </w:tcPr>
          <w:p>
            <w:pPr/>
            <w:r>
              <w:t xml:space="preserve">18-oct-2026</w:t>
            </w:r>
          </w:p>
        </w:tc>
        <w:tc>
          <w:tcPr>
            <w:tcW w:w="850" w:type="dxa"/>
          </w:tcPr>
          <w:p>
            <w:pPr/>
            <w:r>
              <w:t xml:space="preserve">Vladimir De La Cruz</w:t>
            </w:r>
          </w:p>
        </w:tc>
        <w:tc>
          <w:tcPr>
            <w:tcW w:w="6810" w:type="dxa"/>
          </w:tcPr>
          <w:p>
            <w:pPr/>
            <w:r>
              <w:rPr>
                <w:b/>
              </w:rPr>
              <w:t xml:space="preserve">Las quince decisiones del proyecto quedaron cerradas</w:t>
            </w:r>
            <w:r>
              <w:t xml:space="preserve">, y esta reemisión es la que el riesgo R04 exigía. La caja pasa a </w:t>
            </w:r>
            <w:r>
              <w:rPr>
                <w:b/>
              </w:rPr>
              <w:t xml:space="preserve">C# con WPF</w:t>
            </w:r>
            <w:r>
              <w:t xml:space="preserve">: las reglas viven en </w:t>
            </w:r>
            <w:r>
              <w:rPr>
                <w:b/>
              </w:rPr>
              <w:t xml:space="preserve">dos lenguajes y no en tres</w:t>
            </w:r>
            <w:r>
              <w:t xml:space="preserve">, y R17 se reformula. </w:t>
            </w:r>
            <w:r>
              <w:rPr>
                <w:b/>
              </w:rPr>
              <w:t xml:space="preserve">Dos sedes y un almacén central</w:t>
            </w:r>
            <w:r>
              <w:t xml:space="preserve">: la consolidación entre locales entra en alcance (M20). </w:t>
            </w:r>
            <w:r>
              <w:rPr>
                <w:b/>
              </w:rPr>
              <w:t xml:space="preserve">Siete categorías</w:t>
            </w:r>
            <w:r>
              <w:t xml:space="preserve"> con clasificación automática por IA (M21). El </w:t>
            </w:r>
            <w:r>
              <w:rPr>
                <w:b/>
              </w:rPr>
              <w:t xml:space="preserve">precio por mayor</w:t>
            </w:r>
            <w:r>
              <w:t xml:space="preserve"> entra en alcance. Impresora y lector con modelo definido (R02). Canal de emisión confirmado: Facturador SUNAT sin OSE ni PSE. Riesgos R20 y R21 añadidos</w:t>
            </w:r>
          </w:p>
        </w:tc>
      </w:tr>
    </w:tbl>
    <w:p>
      <w:pPr>
        <w:pStyle w:val="Heading2"/>
      </w:pPr>
      <w:r>
        <w:t xml:space="preserve">1. Propósito y objetivo de calidad</w:t>
      </w:r>
    </w:p>
    <w:p>
      <w:pPr/>
      <w:r>
        <w:t xml:space="preserve">Este documento delimita qué se va a probar en MiFarma, qué queda fuera y con qué criterios se considera terminado el trabajo de pruebas. Sirve de base para el plan de pruebas, la matriz de trazabilidad y los reportes de defectos del proyecto.</w:t>
      </w:r>
    </w:p>
    <w:p>
      <w:pPr/>
      <w:r>
        <w:rPr>
          <w:b/>
        </w:rPr>
        <w:t xml:space="preserve">Objetivo de calidad:</w:t>
      </w:r>
      <w:r>
        <w:t xml:space="preserve"> verificar que un cajero pueda cobrar una venta y entregar al cliente un comprobante impreso </w:t>
      </w:r>
      <w:r>
        <w:rPr>
          <w:b/>
        </w:rPr>
        <w:t xml:space="preserve">sin conexión a internet</w:t>
      </w:r>
      <w:r>
        <w:t xml:space="preserve">; que esa venta llegue al servidor y a SUNAT </w:t>
      </w:r>
      <w:r>
        <w:rPr>
          <w:b/>
        </w:rPr>
        <w:t xml:space="preserve">íntegra, una sola vez y dentro del plazo legal</w:t>
      </w:r>
      <w:r>
        <w:t xml:space="preserve">; y que el stock y la rentabilidad que el sistema reporta sean </w:t>
      </w:r>
      <w:r>
        <w:rPr>
          <w:b/>
        </w:rPr>
        <w:t xml:space="preserve">explicables a partir de los movimientos que los produjeron</w:t>
      </w:r>
      <w:r>
        <w:t xml:space="preserve">.</w:t>
      </w:r>
    </w:p>
    <w:p>
      <w:pPr/>
      <w:r>
        <w:t xml:space="preserve">El objetivo se redacta desde el punto de vista del usuario, no desde el código. Las tres cláusulas no son decorativas: cada una nombra algo que el sistema actual </w:t>
      </w:r>
      <w:r>
        <w:rPr>
          <w:b/>
        </w:rPr>
        <w:t xml:space="preserve">no</w:t>
      </w:r>
      <w:r>
        <w:t xml:space="preserve"> hace. Hoy no se imprime ningún comprobante, no se transmite nada a SUNAT y el stock se descuadra sin que nadie pueda saber por qué.</w:t>
      </w:r>
    </w:p>
    <w:p>
      <w:pPr/>
      <w:r>
        <w:rPr>
          <w:b/>
        </w:rPr>
        <w:t xml:space="preserve">El libro de ventas arranca en cero.</w:t>
      </w:r>
      <w:r>
        <w:t xml:space="preserve"> El histórico de ventas del sistema actual </w:t>
      </w:r>
      <w:r>
        <w:rPr>
          <w:b/>
        </w:rPr>
        <w:t xml:space="preserve">no se migra</w:t>
      </w:r>
      <w:r>
        <w:t xml:space="preserve">, por decisión del negocio: esos datos no son confiables. El propio diagnóstico lo respalda — 25 ventas sin ninguna línea de detalle, un comprobante que sobra, 48 filas defectuosas, 24 de 27 reportes contando ventas anuladas y un costo histórico que ya no se puede recuperar.</w:t>
      </w:r>
    </w:p>
    <w:p>
      <w:pPr/>
      <w:r>
        <w:t xml:space="preserve">Eso cambia el segundo objetivo de calidad. No es que la historia cuadre, porque no hay historia que cuadrar: es que </w:t>
      </w:r>
      <w:r>
        <w:rPr>
          <w:b/>
        </w:rPr>
        <w:t xml:space="preserve">el catálogo y el inventario lleguen completos y rastreables</w:t>
      </w:r>
      <w:r>
        <w:t xml:space="preserve">, y que todo dato heredado se pueda distinguir de un dato verificado. Un número que viene del sistema viejo tiene que decir que viene de allí.</w:t>
      </w:r>
    </w:p>
    <w:p>
      <w:pPr>
        <w:pStyle w:val="Heading2"/>
      </w:pPr>
      <w:r>
        <w:t xml:space="preserve">2. Sistema bajo prueba</w:t>
      </w:r>
    </w:p>
    <w:p>
      <w:pPr/>
      <w:r>
        <w:t xml:space="preserve">MiFarma es el sistema que </w:t>
      </w:r>
      <w:r>
        <w:rPr>
          <w:b/>
        </w:rPr>
        <w:t xml:space="preserve">reemplaza</w:t>
      </w:r>
      <w:r>
        <w:t xml:space="preserve"> a BOT. FARMAVIDA, el punto de venta en Visual FoxPro 9 que la botica opera desde 2015. El sistema actual no se va a reparar.</w:t>
      </w:r>
    </w:p>
    <w:p>
      <w:pPr/>
      <w:r>
        <w:t xml:space="preserve">El sistema bajo prueba </w:t>
      </w:r>
      <w:r>
        <w:rPr>
          <w:b/>
        </w:rPr>
        <w:t xml:space="preserve">todavía no existe</w:t>
      </w:r>
      <w:r>
        <w:t xml:space="preserve">. Este documento define el alcance de calidad de un sistema en diseño, de modo que varios datos del entorno se declaran por confirmar en lugar de inventarse.</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Aspecto</w:t>
            </w:r>
          </w:p>
        </w:tc>
        <w:tc>
          <w:tcPr>
            <w:tcW w:w="8510" w:type="dxa"/>
            <w:shd w:val="clear" w:color="auto" w:fill="F2F2F2"/>
          </w:tcPr>
          <w:p>
            <w:pPr/>
            <w:r>
              <w:t xml:space="preserve">Detalle</w:t>
            </w:r>
          </w:p>
        </w:tc>
      </w:tr>
      <w:tr>
        <w:tc>
          <w:tcPr>
            <w:tcW w:w="850" w:type="dxa"/>
          </w:tcPr>
          <w:p>
            <w:pPr/>
            <w:r>
              <w:t xml:space="preserve">Nombre del proyecto</w:t>
            </w:r>
          </w:p>
        </w:tc>
        <w:tc>
          <w:tcPr>
            <w:tcW w:w="8510" w:type="dxa"/>
          </w:tcPr>
          <w:p>
            <w:pPr/>
            <w:r>
              <w:t xml:space="preserve">MiFarma</w:t>
            </w:r>
          </w:p>
        </w:tc>
      </w:tr>
      <w:tr>
        <w:tc>
          <w:tcPr>
            <w:tcW w:w="850" w:type="dxa"/>
          </w:tcPr>
          <w:p>
            <w:pPr/>
            <w:r>
              <w:t xml:space="preserve">Naturaleza</w:t>
            </w:r>
          </w:p>
        </w:tc>
        <w:tc>
          <w:tcPr>
            <w:tcW w:w="8510" w:type="dxa"/>
          </w:tcPr>
          <w:p>
            <w:pPr/>
            <w:r>
              <w:rPr>
                <w:b/>
              </w:rPr>
              <w:t xml:space="preserve">Producto multicliente.</w:t>
            </w:r>
            <w:r>
              <w:t xml:space="preserve"> Una sola base de código, un servidor que opera el desarrollo, y varias boticas como clientes. </w:t>
            </w:r>
            <w:r>
              <w:rPr>
                <w:b/>
              </w:rPr>
              <w:t xml:space="preserve">MiFarma es el primer cliente</w:t>
            </w:r>
            <w:r>
              <w:t xml:space="preserve">, y es el que aporta los datos y los requisitos de esta versión</w:t>
            </w:r>
          </w:p>
        </w:tc>
      </w:tr>
      <w:tr>
        <w:tc>
          <w:tcPr>
            <w:tcW w:w="850" w:type="dxa"/>
          </w:tcPr>
          <w:p>
            <w:pPr/>
            <w:r>
              <w:t xml:space="preserve">Estado</w:t>
            </w:r>
          </w:p>
        </w:tc>
        <w:tc>
          <w:tcPr>
            <w:tcW w:w="8510" w:type="dxa"/>
          </w:tcPr>
          <w:p>
            <w:pPr/>
            <w:r>
              <w:t xml:space="preserve">En diseño. Sin código de producción escrito</w:t>
            </w:r>
          </w:p>
        </w:tc>
      </w:tr>
      <w:tr>
        <w:tc>
          <w:tcPr>
            <w:tcW w:w="850" w:type="dxa"/>
          </w:tcPr>
          <w:p>
            <w:pPr/>
            <w:r>
              <w:t xml:space="preserve">Sistema que reemplaza</w:t>
            </w:r>
          </w:p>
        </w:tc>
        <w:tc>
          <w:tcPr>
            <w:tcW w:w="8510" w:type="dxa"/>
          </w:tcPr>
          <w:p>
            <w:pPr/>
            <w:r>
              <w:t xml:space="preserve">BOT. FARMAVIDA — Visual FoxPro 9, ejecutable compilado el 25-jun-2017, datos en 13 tablas DBF locales</w:t>
            </w:r>
          </w:p>
        </w:tc>
      </w:tr>
      <w:tr>
        <w:tc>
          <w:tcPr>
            <w:tcW w:w="850" w:type="dxa"/>
          </w:tcPr>
          <w:p>
            <w:pPr/>
            <w:r>
              <w:t xml:space="preserve">Clientes previstos</w:t>
            </w:r>
          </w:p>
        </w:tc>
        <w:tc>
          <w:tcPr>
            <w:tcW w:w="8510" w:type="dxa"/>
          </w:tcPr>
          <w:p>
            <w:pPr/>
            <w:r>
              <w:t xml:space="preserve">Escritorio (caja, opera sin internet), web (monitoreo de ventas y gestión de accesos), móvil (escaneo de código de barras e inventario)</w:t>
            </w:r>
          </w:p>
        </w:tc>
      </w:tr>
      <w:tr>
        <w:tc>
          <w:tcPr>
            <w:tcW w:w="850" w:type="dxa"/>
          </w:tcPr>
          <w:p>
            <w:pPr/>
            <w:r>
              <w:t xml:space="preserve">URL de la aplicación</w:t>
            </w:r>
          </w:p>
        </w:tc>
        <w:tc>
          <w:tcPr>
            <w:tcW w:w="8510" w:type="dxa"/>
          </w:tcPr>
          <w:p>
            <w:pPr/>
            <w:r>
              <w:t xml:space="preserve">No existe todavía</w:t>
            </w:r>
          </w:p>
        </w:tc>
      </w:tr>
      <w:tr>
        <w:tc>
          <w:tcPr>
            <w:tcW w:w="850" w:type="dxa"/>
          </w:tcPr>
          <w:p>
            <w:pPr/>
            <w:r>
              <w:t xml:space="preserve">Versión bajo prueba</w:t>
            </w:r>
          </w:p>
        </w:tc>
        <w:tc>
          <w:tcPr>
            <w:tcW w:w="8510" w:type="dxa"/>
          </w:tcPr>
          <w:p>
            <w:pPr/>
            <w:r>
              <w:t xml:space="preserve">No existe todavía</w:t>
            </w:r>
          </w:p>
        </w:tc>
      </w:tr>
      <w:tr>
        <w:tc>
          <w:tcPr>
            <w:tcW w:w="850" w:type="dxa"/>
          </w:tcPr>
          <w:p>
            <w:pPr/>
            <w:r>
              <w:t xml:space="preserve">Tecnología</w:t>
            </w:r>
          </w:p>
        </w:tc>
        <w:tc>
          <w:tcPr>
            <w:tcW w:w="8510" w:type="dxa"/>
          </w:tcPr>
          <w:p>
            <w:pPr/>
            <w:r>
              <w:rPr>
                <w:b/>
              </w:rPr>
              <w:t xml:space="preserve">Caja:</w:t>
            </w:r>
            <w:r>
              <w:t xml:space="preserve"> C# con </w:t>
            </w:r>
            <w:r>
              <w:rPr>
                <w:b/>
              </w:rPr>
              <w:t xml:space="preserve">WPF</w:t>
            </w:r>
            <w:r>
              <w:t xml:space="preserve"> y SQLite. </w:t>
            </w:r>
            <w:r>
              <w:rPr>
                <w:b/>
              </w:rPr>
              <w:t xml:space="preserve">Servidor:</w:t>
            </w:r>
            <w:r>
              <w:t xml:space="preserve"> C# con PostgreSQL como base central. </w:t>
            </w:r>
            <w:r>
              <w:rPr>
                <w:b/>
              </w:rPr>
              <w:t xml:space="preserve">Web:</w:t>
            </w:r>
            <w:r>
              <w:t xml:space="preserve"> Angular. </w:t>
            </w:r>
            <w:r>
              <w:rPr>
                <w:b/>
              </w:rPr>
              <w:t xml:space="preserve">Móvil:</w:t>
            </w:r>
            <w:r>
              <w:t xml:space="preserve"> Flutter. La caja y el servidor </w:t>
            </w:r>
            <w:r>
              <w:rPr>
                <w:b/>
              </w:rPr>
              <w:t xml:space="preserve">comparten el proyecto de dominio en C#</w:t>
            </w:r>
            <w:r>
              <w:t xml:space="preserve">; el único cliente que lo reimplementa es el móvil en Dart. Las reglas viven así en </w:t>
            </w:r>
            <w:r>
              <w:rPr>
                <w:b/>
              </w:rPr>
              <w:t xml:space="preserve">dos lenguajes</w:t>
            </w:r>
            <w:r>
              <w:t xml:space="preserve">, con la consecuencia que recoge el riesgo R17</w:t>
            </w:r>
          </w:p>
        </w:tc>
      </w:tr>
      <w:tr>
        <w:tc>
          <w:tcPr>
            <w:tcW w:w="850" w:type="dxa"/>
          </w:tcPr>
          <w:p>
            <w:pPr/>
            <w:r>
              <w:t xml:space="preserve">Repositorio del proyecto</w:t>
            </w:r>
          </w:p>
        </w:tc>
        <w:tc>
          <w:tcPr>
            <w:tcW w:w="8510" w:type="dxa"/>
          </w:tcPr>
          <w:p>
            <w:pPr/>
            <w:r>
              <w:t xml:space="preserve">No existe todavía</w:t>
            </w:r>
          </w:p>
        </w:tc>
      </w:tr>
      <w:tr>
        <w:tc>
          <w:tcPr>
            <w:tcW w:w="850" w:type="dxa"/>
          </w:tcPr>
          <w:p>
            <w:pPr/>
            <w:r>
              <w:t xml:space="preserve">Documentación de la API</w:t>
            </w:r>
          </w:p>
        </w:tc>
        <w:tc>
          <w:tcPr>
            <w:tcW w:w="8510" w:type="dxa"/>
          </w:tcPr>
          <w:p>
            <w:pPr/>
            <w:r>
              <w:t xml:space="preserve">No existe todavía</w:t>
            </w:r>
          </w:p>
        </w:tc>
      </w:tr>
      <w:tr>
        <w:tc>
          <w:tcPr>
            <w:tcW w:w="850" w:type="dxa"/>
          </w:tcPr>
          <w:p>
            <w:pPr/>
            <w:r>
              <w:t xml:space="preserve">Arquitectura</w:t>
            </w:r>
          </w:p>
        </w:tc>
        <w:tc>
          <w:tcPr>
            <w:tcW w:w="8510" w:type="dxa"/>
          </w:tcPr>
          <w:p>
            <w:pPr/>
            <w:r>
              <w:rPr>
                <w:b/>
              </w:rPr>
              <w:t xml:space="preserve">Escritorio autosuficiente.</w:t>
            </w:r>
            <w:r>
              <w:t xml:space="preserve"> </w:t>
            </w:r>
            <w:r>
              <w:rPr>
                <w:b/>
              </w:rPr>
              <w:t xml:space="preserve">2 sedes de venta y un almacén central</w:t>
            </w:r>
            <w:r>
              <w:t xml:space="preserve"> de compra y distribución: cada caja es fuente de verdad de lo que emite y el servidor consolida las dos sedes</w:t>
            </w:r>
          </w:p>
        </w:tc>
      </w:tr>
      <w:tr>
        <w:tc>
          <w:tcPr>
            <w:tcW w:w="850" w:type="dxa"/>
          </w:tcPr>
          <w:p>
            <w:pPr/>
            <w:r>
              <w:t xml:space="preserve">Servidor central</w:t>
            </w:r>
          </w:p>
        </w:tc>
        <w:tc>
          <w:tcPr>
            <w:tcW w:w="8510" w:type="dxa"/>
          </w:tcPr>
          <w:p>
            <w:pPr/>
            <w:r>
              <w:rPr>
                <w:b/>
              </w:rPr>
              <w:t xml:space="preserve">VPS, pagado y operado por el desarrollo.</w:t>
            </w:r>
            <w:r>
              <w:t xml:space="preserve"> Aloja el API de ingesta, la base compartida y el panel. </w:t>
            </w:r>
            <w:r>
              <w:rPr>
                <w:b/>
              </w:rPr>
              <w:t xml:space="preserve">No aloja el Facturador ni ningún certificado de cliente</w:t>
            </w:r>
          </w:p>
        </w:tc>
      </w:tr>
      <w:tr>
        <w:tc>
          <w:tcPr>
            <w:tcW w:w="850" w:type="dxa"/>
          </w:tcPr>
          <w:p>
            <w:pPr/>
            <w:r>
              <w:t xml:space="preserve">Modelo de datos por cliente</w:t>
            </w:r>
          </w:p>
        </w:tc>
        <w:tc>
          <w:tcPr>
            <w:tcW w:w="8510" w:type="dxa"/>
          </w:tcPr>
          <w:p>
            <w:pPr/>
            <w:r>
              <w:rPr>
                <w:b/>
              </w:rPr>
              <w:t xml:space="preserve">Híbrido.</w:t>
            </w:r>
            <w:r>
              <w:t xml:space="preserve"> Una base compartida con lo común de la botica. Si un cliente pide algo particular que no sirve a los demás, se le crea </w:t>
            </w:r>
            <w:r>
              <w:rPr>
                <w:b/>
              </w:rPr>
              <w:t xml:space="preserve">base propia</w:t>
            </w:r>
            <w:r>
              <w:t xml:space="preserve">, se migra su información y </w:t>
            </w:r>
            <w:r>
              <w:rPr>
                <w:b/>
              </w:rPr>
              <w:t xml:space="preserve">sale de la compartida</w:t>
            </w:r>
            <w:r>
              <w:t xml:space="preserve">, quedando </w:t>
            </w:r>
            <w:r>
              <w:rPr>
                <w:b/>
              </w:rPr>
              <w:t xml:space="preserve">congelado</w:t>
            </w:r>
            <w:r>
              <w:t xml:space="preserve"> en lo compartido de ese momento</w:t>
            </w:r>
          </w:p>
        </w:tc>
      </w:tr>
      <w:tr>
        <w:tc>
          <w:tcPr>
            <w:tcW w:w="850" w:type="dxa"/>
          </w:tcPr>
          <w:p>
            <w:pPr/>
            <w:r>
              <w:t xml:space="preserve">Topología de emisión</w:t>
            </w:r>
          </w:p>
        </w:tc>
        <w:tc>
          <w:tcPr>
            <w:tcW w:w="8510" w:type="dxa"/>
          </w:tcPr>
          <w:p>
            <w:pPr/>
            <w:r>
              <w:rPr>
                <w:b/>
              </w:rPr>
              <w:t xml:space="preserve">Una instalación del Facturador por sede, en la caja 1, en el local del cliente.</w:t>
            </w:r>
            <w:r>
              <w:t xml:space="preserve"> Cada cliente emite con su propio RUC, su Clave SOL y su certificado, que </w:t>
            </w:r>
            <w:r>
              <w:rPr>
                <w:b/>
              </w:rPr>
              <w:t xml:space="preserve">no salen de su local</w:t>
            </w:r>
            <w:r>
              <w:t xml:space="preserve">. La exportación del comprobante la hace la caja</w:t>
            </w:r>
          </w:p>
        </w:tc>
      </w:tr>
      <w:tr>
        <w:tc>
          <w:tcPr>
            <w:tcW w:w="850" w:type="dxa"/>
          </w:tcPr>
          <w:p>
            <w:pPr/>
            <w:r>
              <w:t xml:space="preserve">Periféricos de caja</w:t>
            </w:r>
          </w:p>
        </w:tc>
        <w:tc>
          <w:tcPr>
            <w:tcW w:w="8510" w:type="dxa"/>
          </w:tcPr>
          <w:p>
            <w:pPr/>
            <w:r>
              <w:t xml:space="preserve">Impresora térmica </w:t>
            </w:r>
            <w:r>
              <w:rPr>
                <w:b/>
              </w:rPr>
              <w:t xml:space="preserve">3nSTAR RPT004 USB+ETHERNET</w:t>
            </w:r>
            <w:r>
              <w:t xml:space="preserve"> y lector </w:t>
            </w:r>
            <w:r>
              <w:rPr>
                <w:b/>
              </w:rPr>
              <w:t xml:space="preserve">3nStar SC310</w:t>
            </w:r>
          </w:p>
        </w:tc>
      </w:tr>
      <w:tr>
        <w:tc>
          <w:tcPr>
            <w:tcW w:w="850" w:type="dxa"/>
          </w:tcPr>
          <w:p>
            <w:pPr/>
            <w:r>
              <w:t xml:space="preserve">Facturación electrónica</w:t>
            </w:r>
          </w:p>
        </w:tc>
        <w:tc>
          <w:tcPr>
            <w:tcW w:w="8510" w:type="dxa"/>
          </w:tcPr>
          <w:p>
            <w:pPr/>
            <w:r>
              <w:rPr>
                <w:b/>
              </w:rPr>
              <w:t xml:space="preserve">SEE – Del Contribuyente, sin OSE ni PSE.</w:t>
            </w:r>
            <w:r>
              <w:t xml:space="preserve"> La emisión y la transmisión se delegan al </w:t>
            </w:r>
            <w:r>
              <w:rPr>
                <w:b/>
              </w:rPr>
              <w:t xml:space="preserve">SEE‑Facturador SUNAT</w:t>
            </w:r>
            <w:r>
              <w:t xml:space="preserve">, la aplicación gratuita de SUNAT, con integración por archivos</w:t>
            </w:r>
          </w:p>
        </w:tc>
      </w:tr>
      <w:tr>
        <w:tc>
          <w:tcPr>
            <w:tcW w:w="850" w:type="dxa"/>
          </w:tcPr>
          <w:p>
            <w:pPr/>
            <w:r>
              <w:t xml:space="preserve">Régimen tributario</w:t>
            </w:r>
          </w:p>
        </w:tc>
        <w:tc>
          <w:tcPr>
            <w:tcW w:w="8510" w:type="dxa"/>
          </w:tcPr>
          <w:p>
            <w:pPr/>
            <w:r>
              <w:rPr>
                <w:b/>
              </w:rPr>
              <w:t xml:space="preserve">RMT (MYPE Tributario).</w:t>
            </w:r>
            <w:r>
              <w:t xml:space="preserve"> Puede emitir factura y boleta, por lo que el requisito de ambos tipos de comprobante se mantiene</w:t>
            </w:r>
          </w:p>
        </w:tc>
      </w:tr>
      <w:tr>
        <w:tc>
          <w:tcPr>
            <w:tcW w:w="850" w:type="dxa"/>
          </w:tcPr>
          <w:p>
            <w:pPr/>
            <w:r>
              <w:t xml:space="preserve">Certificado digital</w:t>
            </w:r>
          </w:p>
        </w:tc>
        <w:tc>
          <w:tcPr>
            <w:tcW w:w="8510" w:type="dxa"/>
          </w:tcPr>
          <w:p>
            <w:pPr/>
            <w:r>
              <w:rPr>
                <w:b/>
              </w:rPr>
              <w:t xml:space="preserve">Aún no tramitado.</w:t>
            </w:r>
            <w:r>
              <w:t xml:space="preserve"> El negocio no lo tiene porque hoy emite por el Portal SOL, que no lo exige. Se tramita por SOL y el negocio confirma que puede adquirirlo sin obstáculo. Sin él, el Facturador no firma</w:t>
            </w:r>
          </w:p>
        </w:tc>
      </w:tr>
      <w:tr>
        <w:tc>
          <w:tcPr>
            <w:tcW w:w="850" w:type="dxa"/>
          </w:tcPr>
          <w:p>
            <w:pPr/>
            <w:r>
              <w:t xml:space="preserve">Roles de usuario</w:t>
            </w:r>
          </w:p>
        </w:tc>
        <w:tc>
          <w:tcPr>
            <w:tcW w:w="8510" w:type="dxa"/>
          </w:tcPr>
          <w:p>
            <w:pPr/>
            <w:r>
              <w:rPr>
                <w:b/>
              </w:rPr>
              <w:t xml:space="preserve">Confirmados:</w:t>
            </w:r>
            <w:r>
              <w:t xml:space="preserve"> cajero, almacén y administrador. Cada usuario pertenece a una sede. </w:t>
            </w:r>
            <w:r>
              <w:rPr>
                <w:b/>
              </w:rPr>
              <w:t xml:space="preserve">Los reportes de gestión solo existen en la web y solo los ve el administrador</w:t>
            </w:r>
            <w:r>
              <w:t xml:space="preserve">; la caja únicamente consulta las boletas de su propia sede</w:t>
            </w:r>
          </w:p>
        </w:tc>
      </w:tr>
      <w:tr>
        <w:tc>
          <w:tcPr>
            <w:tcW w:w="850" w:type="dxa"/>
          </w:tcPr>
          <w:p>
            <w:pPr/>
            <w:r>
              <w:t xml:space="preserve">Volumen de operación</w:t>
            </w:r>
          </w:p>
        </w:tc>
        <w:tc>
          <w:tcPr>
            <w:tcW w:w="8510" w:type="dxa"/>
          </w:tcPr>
          <w:p>
            <w:pPr/>
            <w:r>
              <w:rPr>
                <w:b/>
              </w:rPr>
              <w:t xml:space="preserve">50 boletas diarias</w:t>
            </w:r>
            <w:r>
              <w:t xml:space="preserve"> declarado por el negocio. </w:t>
            </w:r>
            <w:r>
              <w:rPr>
                <w:b/>
              </w:rPr>
              <w:t xml:space="preserve">2 cajas</w:t>
            </w:r>
            <w:r>
              <w:t xml:space="preserve"> en la sede principal</w:t>
            </w:r>
          </w:p>
        </w:tc>
      </w:tr>
      <w:tr>
        <w:tc>
          <w:tcPr>
            <w:tcW w:w="850" w:type="dxa"/>
          </w:tcPr>
          <w:p>
            <w:pPr/>
            <w:r>
              <w:t xml:space="preserve">Volumen medido</w:t>
            </w:r>
          </w:p>
        </w:tc>
        <w:tc>
          <w:tcPr>
            <w:tcW w:w="8510" w:type="dxa"/>
          </w:tcPr>
          <w:p>
            <w:pPr/>
            <w:r>
              <w:t xml:space="preserve">~25 boletas diarias en los datos de producción. Se conserva la distinción: 50 es lo declarado, 25 es lo medido</w:t>
            </w:r>
          </w:p>
        </w:tc>
      </w:tr>
      <w:tr>
        <w:tc>
          <w:tcPr>
            <w:tcW w:w="850" w:type="dxa"/>
          </w:tcPr>
          <w:p>
            <w:pPr/>
            <w:r>
              <w:rPr>
                <w:b/>
              </w:rPr>
              <w:t xml:space="preserve">Datos que se migran</w:t>
            </w:r>
          </w:p>
        </w:tc>
        <w:tc>
          <w:tcPr>
            <w:tcW w:w="8510" w:type="dxa"/>
          </w:tcPr>
          <w:p>
            <w:pPr/>
            <w:r>
              <w:rPr>
                <w:b/>
              </w:rPr>
              <w:t xml:space="preserve">Catálogo de 1,736 productos y su stock</w:t>
            </w:r>
            <w:r>
              <w:t xml:space="preserve">, con depuración de duplicados. Stock y vencimientos entran marcados como </w:t>
            </w:r>
            <w:r>
              <w:rPr>
                <w:b/>
              </w:rPr>
              <w:t xml:space="preserve">datos heredados sin verificar</w:t>
            </w:r>
          </w:p>
        </w:tc>
      </w:tr>
      <w:tr>
        <w:tc>
          <w:tcPr>
            <w:tcW w:w="850" w:type="dxa"/>
          </w:tcPr>
          <w:p>
            <w:pPr/>
            <w:r>
              <w:rPr>
                <w:b/>
              </w:rPr>
              <w:t xml:space="preserve">Datos que no se migran</w:t>
            </w:r>
          </w:p>
        </w:tc>
        <w:tc>
          <w:tcPr>
            <w:tcW w:w="8510" w:type="dxa"/>
          </w:tcPr>
          <w:p>
            <w:pPr/>
            <w:r>
              <w:rPr>
                <w:b/>
              </w:rPr>
              <w:t xml:space="preserve">Las 58,332 ventas y sus 187,155 líneas de detalle.</w:t>
            </w:r>
            <w:r>
              <w:t xml:space="preserve"> No son confiables; el libro de ventas arranca en cero</w:t>
            </w:r>
          </w:p>
        </w:tc>
      </w:tr>
    </w:tbl>
    <w:p>
      <w:pPr/>
      <w:r>
        <w:t xml:space="preserve">Las cifras de este documento se midieron sobre los datos reales, no se estimaron, con una excepción declarada: el volumen de operación de 50 boletas diarias lo aporta el negocio y no coincide con las ~25 que arrojan los datos. Se dejan las dos, porque la diferencia importa para dimensionar y nadie debería tener que adivinar cuál es cuál.</w:t>
      </w:r>
    </w:p>
    <w:p>
      <w:pPr/>
      <w:r>
        <w:rPr>
          <w:b/>
        </w:rPr>
        <w:t xml:space="preserve">Sobre el canal de emisión electrónica.</w:t>
      </w:r>
      <w:r>
        <w:t xml:space="preserve"> El negocio emite por el canal propio y gratuito de SUNAT, sin intermediarios. Para factura, boleta, notas y resumen diario ese canal es un servicio </w:t>
      </w:r>
      <w:r>
        <w:rPr>
          <w:b/>
        </w:rPr>
        <w:t xml:space="preserve">SOAP</w:t>
      </w:r>
      <w:r>
        <w:t xml:space="preserve">, no una interfaz REST; el REST oficial de SUNAT existe, pero corresponde a la guía de remisión electrónica, que está fuera del alcance de este proyecto. En lugar de construir el emisor completo, MiFarma </w:t>
      </w:r>
      <w:r>
        <w:rPr>
          <w:b/>
        </w:rPr>
        <w:t xml:space="preserve">escribe el comprobante en la carpeta de entrada del Facturador SUNAT y lee su respuesta</w:t>
      </w:r>
      <w:r>
        <w:t xml:space="preserve">: la generación del XML, la firma digital y el diálogo con SUNAT los hace esa aplicación. Esto tiene dos consecuencias que recorren todo el documento: el alcance de pruebas se concentra en </w:t>
      </w:r>
      <w:r>
        <w:rPr>
          <w:b/>
        </w:rPr>
        <w:t xml:space="preserve">el contrato de archivos</w:t>
      </w:r>
      <w:r>
        <w:t xml:space="preserve">, y aparece una </w:t>
      </w:r>
      <w:r>
        <w:rPr>
          <w:b/>
        </w:rPr>
        <w:t xml:space="preserve">segunda base de datos</w:t>
      </w:r>
      <w:r>
        <w:t xml:space="preserve"> que el proyecto no controla.</w:t>
      </w:r>
    </w:p>
    <w:p>
      <w:pPr>
        <w:pStyle w:val="Heading2"/>
      </w:pPr>
      <w:r>
        <w:t xml:space="preserve">3. Alcance de las pruebas</w:t>
      </w:r>
    </w:p>
    <w:p>
      <w:pPr/>
      <w:r>
        <w:t xml:space="preserve">Se priorizan los módulos por el daño que causaría un fallo al negocio: si la caja no imprime, el cliente se va sin comprobante y el negocio incumple; si un reporte del panel se equivoca, el dueño toma una decisión con una cifra mala, que es grave pero no detiene la venta.</w:t>
      </w:r>
    </w:p>
    <w:p>
      <w:pPr/>
      <w:r>
        <w:t xml:space="preserve">Dentro del alcance</w:t>
      </w:r>
    </w:p>
    <w:tbl>
      <w:tblPr>
        <w:tblStyle w:val="TableGrid"/>
        <w:tblW w:w="0" w:type="auto"/>
        <w:tblLayout w:type="fixed"/>
        <w:tblLook w:val="04A0" w:firstRow="1" w:lastRow="0" w:firstColumn="0" w:lastColumn="0" w:noHBand="0" w:noVBand="1"/>
      </w:tblPr>
      <w:tblGrid>
        <w:gridCol w:w="850"/>
        <w:gridCol w:w="850"/>
        <w:gridCol w:w="3944"/>
        <w:gridCol w:w="850"/>
        <w:gridCol w:w="2866"/>
      </w:tblGrid>
      <w:tr>
        <w:trPr>
          <w:tblHeader/>
        </w:trPr>
        <w:tc>
          <w:tcPr>
            <w:tcW w:w="850" w:type="dxa"/>
            <w:shd w:val="clear" w:color="auto" w:fill="F2F2F2"/>
          </w:tcPr>
          <w:p>
            <w:pPr/>
            <w:r>
              <w:t xml:space="preserve">Código</w:t>
            </w:r>
          </w:p>
        </w:tc>
        <w:tc>
          <w:tcPr>
            <w:tcW w:w="850" w:type="dxa"/>
            <w:shd w:val="clear" w:color="auto" w:fill="F2F2F2"/>
          </w:tcPr>
          <w:p>
            <w:pPr/>
            <w:r>
              <w:t xml:space="preserve">Módulo</w:t>
            </w:r>
          </w:p>
        </w:tc>
        <w:tc>
          <w:tcPr>
            <w:tcW w:w="3944" w:type="dxa"/>
            <w:shd w:val="clear" w:color="auto" w:fill="F2F2F2"/>
          </w:tcPr>
          <w:p>
            <w:pPr/>
            <w:r>
              <w:t xml:space="preserve">Qué se verifica</w:t>
            </w:r>
          </w:p>
        </w:tc>
        <w:tc>
          <w:tcPr>
            <w:tcW w:w="850" w:type="dxa"/>
            <w:shd w:val="clear" w:color="auto" w:fill="F2F2F2"/>
          </w:tcPr>
          <w:p>
            <w:pPr/>
            <w:r>
              <w:t xml:space="preserve">Prioridad</w:t>
            </w:r>
          </w:p>
        </w:tc>
        <w:tc>
          <w:tcPr>
            <w:tcW w:w="2866" w:type="dxa"/>
            <w:shd w:val="clear" w:color="auto" w:fill="F2F2F2"/>
          </w:tcPr>
          <w:p>
            <w:pPr/>
            <w:r>
              <w:t xml:space="preserve">Riesgo si falla</w:t>
            </w:r>
          </w:p>
        </w:tc>
      </w:tr>
      <w:tr>
        <w:tc>
          <w:tcPr>
            <w:tcW w:w="850" w:type="dxa"/>
          </w:tcPr>
          <w:p>
            <w:pPr/>
            <w:r>
              <w:t xml:space="preserve">M01</w:t>
            </w:r>
          </w:p>
        </w:tc>
        <w:tc>
          <w:tcPr>
            <w:tcW w:w="850" w:type="dxa"/>
          </w:tcPr>
          <w:p>
            <w:pPr/>
            <w:r>
              <w:t xml:space="preserve">Dominio compartido</w:t>
            </w:r>
          </w:p>
        </w:tc>
        <w:tc>
          <w:tcPr>
            <w:tcW w:w="3944" w:type="dxa"/>
          </w:tcPr>
          <w:p>
            <w:pPr/>
            <w:r>
              <w:t xml:space="preserve">Cálculo de totales e IGV con vigencia, validación de precios, numeración por serie, importe en letras, derivación del stock</w:t>
            </w:r>
          </w:p>
        </w:tc>
        <w:tc>
          <w:tcPr>
            <w:tcW w:w="850" w:type="dxa"/>
          </w:tcPr>
          <w:p>
            <w:pPr/>
            <w:r>
              <w:t xml:space="preserve">Alta</w:t>
            </w:r>
          </w:p>
        </w:tc>
        <w:tc>
          <w:tcPr>
            <w:tcW w:w="2866" w:type="dxa"/>
          </w:tcPr>
          <w:p>
            <w:pPr/>
            <w:r>
              <w:t xml:space="preserve">Toda cifra del sistema nace aquí. La caja y el servidor comparten este código, así que un error se propaga a los dos a la vez — y eso es preferible a que difieran</w:t>
            </w:r>
          </w:p>
        </w:tc>
      </w:tr>
      <w:tr>
        <w:tc>
          <w:tcPr>
            <w:tcW w:w="850" w:type="dxa"/>
          </w:tcPr>
          <w:p>
            <w:pPr/>
            <w:r>
              <w:t xml:space="preserve">M02</w:t>
            </w:r>
          </w:p>
        </w:tc>
        <w:tc>
          <w:tcPr>
            <w:tcW w:w="850" w:type="dxa"/>
          </w:tcPr>
          <w:p>
            <w:pPr/>
            <w:r>
              <w:t xml:space="preserve">Venta en caja, sin conexión</w:t>
            </w:r>
          </w:p>
        </w:tc>
        <w:tc>
          <w:tcPr>
            <w:tcW w:w="3944" w:type="dxa"/>
          </w:tcPr>
          <w:p>
            <w:pPr/>
            <w:r>
              <w:t xml:space="preserve">Búsqueda por código de barras, descripción o código interno; suma de cantidades al repetir un producto; cobro con medios múltiples y vuelto; </w:t>
            </w:r>
            <w:r>
              <w:rPr>
                <w:b/>
              </w:rPr>
              <w:t xml:space="preserve">pago digital registrado con la referencia del recibo del dispositivo externo</w:t>
            </w:r>
            <w:r>
              <w:t xml:space="preserve">; precio por mayor o por menor según lo configurado</w:t>
            </w:r>
          </w:p>
        </w:tc>
        <w:tc>
          <w:tcPr>
            <w:tcW w:w="850" w:type="dxa"/>
          </w:tcPr>
          <w:p>
            <w:pPr/>
            <w:r>
              <w:t xml:space="preserve">Alta</w:t>
            </w:r>
          </w:p>
        </w:tc>
        <w:tc>
          <w:tcPr>
            <w:tcW w:w="2866" w:type="dxa"/>
          </w:tcPr>
          <w:p>
            <w:pPr/>
            <w:r>
              <w:t xml:space="preserve">La botica no puede vender</w:t>
            </w:r>
          </w:p>
        </w:tc>
      </w:tr>
      <w:tr>
        <w:tc>
          <w:tcPr>
            <w:tcW w:w="850" w:type="dxa"/>
          </w:tcPr>
          <w:p>
            <w:pPr/>
            <w:r>
              <w:t xml:space="preserve">M03</w:t>
            </w:r>
          </w:p>
        </w:tc>
        <w:tc>
          <w:tcPr>
            <w:tcW w:w="850" w:type="dxa"/>
          </w:tcPr>
          <w:p>
            <w:pPr/>
            <w:r>
              <w:t xml:space="preserve">Emisión e impresión del comprobante</w:t>
            </w:r>
          </w:p>
        </w:tc>
        <w:tc>
          <w:tcPr>
            <w:tcW w:w="3944" w:type="dxa"/>
          </w:tcPr>
          <w:p>
            <w:pPr/>
            <w:r>
              <w:t xml:space="preserve">Serie propia del terminal, correlativo sin huecos ni duplicados, impresión del ticket en la impresora térmica</w:t>
            </w:r>
          </w:p>
        </w:tc>
        <w:tc>
          <w:tcPr>
            <w:tcW w:w="850" w:type="dxa"/>
          </w:tcPr>
          <w:p>
            <w:pPr/>
            <w:r>
              <w:t xml:space="preserve">Alta</w:t>
            </w:r>
          </w:p>
        </w:tc>
        <w:tc>
          <w:tcPr>
            <w:tcW w:w="2866" w:type="dxa"/>
          </w:tcPr>
          <w:p>
            <w:pPr/>
            <w:r>
              <w:t xml:space="preserve">El cliente no recibe comprobante. Es lo que hoy no ocurre nunca</w:t>
            </w:r>
          </w:p>
        </w:tc>
      </w:tr>
      <w:tr>
        <w:tc>
          <w:tcPr>
            <w:tcW w:w="850" w:type="dxa"/>
          </w:tcPr>
          <w:p>
            <w:pPr/>
            <w:r>
              <w:t xml:space="preserve">M04</w:t>
            </w:r>
          </w:p>
        </w:tc>
        <w:tc>
          <w:tcPr>
            <w:tcW w:w="850" w:type="dxa"/>
          </w:tcPr>
          <w:p>
            <w:pPr/>
            <w:r>
              <w:t xml:space="preserve">Atomicidad de la operación de venta</w:t>
            </w:r>
          </w:p>
        </w:tc>
        <w:tc>
          <w:tcPr>
            <w:tcW w:w="3944" w:type="dxa"/>
          </w:tcPr>
          <w:p>
            <w:pPr/>
            <w:r>
              <w:t xml:space="preserve">Comprobante, líneas, pagos, movimientos de inventario, saldos y bandeja de salida en una sola transacción: o todo o nada</w:t>
            </w:r>
          </w:p>
        </w:tc>
        <w:tc>
          <w:tcPr>
            <w:tcW w:w="850" w:type="dxa"/>
          </w:tcPr>
          <w:p>
            <w:pPr/>
            <w:r>
              <w:t xml:space="preserve">Alta</w:t>
            </w:r>
          </w:p>
        </w:tc>
        <w:tc>
          <w:tcPr>
            <w:tcW w:w="2866" w:type="dxa"/>
          </w:tcPr>
          <w:p>
            <w:pPr/>
            <w:r>
              <w:t xml:space="preserve">Ventas a medias y stock descontado parcialmente, sin error y sin rastro</w:t>
            </w:r>
          </w:p>
        </w:tc>
      </w:tr>
      <w:tr>
        <w:tc>
          <w:tcPr>
            <w:tcW w:w="850" w:type="dxa"/>
          </w:tcPr>
          <w:p>
            <w:pPr/>
            <w:r>
              <w:t xml:space="preserve">M05</w:t>
            </w:r>
          </w:p>
        </w:tc>
        <w:tc>
          <w:tcPr>
            <w:tcW w:w="850" w:type="dxa"/>
          </w:tcPr>
          <w:p>
            <w:pPr/>
            <w:r>
              <w:t xml:space="preserve">Anulación con nota de crédito</w:t>
            </w:r>
          </w:p>
        </w:tc>
        <w:tc>
          <w:tcPr>
            <w:tcW w:w="3944" w:type="dxa"/>
          </w:tcPr>
          <w:p>
            <w:pPr/>
            <w:r>
              <w:t xml:space="preserve">La anulación agrega un movimiento contrario y referencia al comprobante original; nada se edita ni se borra</w:t>
            </w:r>
          </w:p>
        </w:tc>
        <w:tc>
          <w:tcPr>
            <w:tcW w:w="850" w:type="dxa"/>
          </w:tcPr>
          <w:p>
            <w:pPr/>
            <w:r>
              <w:t xml:space="preserve">Alta</w:t>
            </w:r>
          </w:p>
        </w:tc>
        <w:tc>
          <w:tcPr>
            <w:tcW w:w="2866" w:type="dxa"/>
          </w:tcPr>
          <w:p>
            <w:pPr/>
            <w:r>
              <w:t xml:space="preserve">Se destruye el histórico de lo vendido</w:t>
            </w:r>
          </w:p>
        </w:tc>
      </w:tr>
      <w:tr>
        <w:tc>
          <w:tcPr>
            <w:tcW w:w="850" w:type="dxa"/>
          </w:tcPr>
          <w:p>
            <w:pPr/>
            <w:r>
              <w:t xml:space="preserve">M06</w:t>
            </w:r>
          </w:p>
        </w:tc>
        <w:tc>
          <w:tcPr>
            <w:tcW w:w="850" w:type="dxa"/>
          </w:tcPr>
          <w:p>
            <w:pPr/>
            <w:r>
              <w:t xml:space="preserve">Libro de movimientos y saldos derivados</w:t>
            </w:r>
          </w:p>
        </w:tc>
        <w:tc>
          <w:tcPr>
            <w:tcW w:w="3944" w:type="dxa"/>
          </w:tcPr>
          <w:p>
            <w:pPr/>
            <w:r>
              <w:t xml:space="preserve">El stock es la suma de sus movimientos; el saldo es una caché reconstruible desde cero en cualquier momento</w:t>
            </w:r>
          </w:p>
        </w:tc>
        <w:tc>
          <w:tcPr>
            <w:tcW w:w="850" w:type="dxa"/>
          </w:tcPr>
          <w:p>
            <w:pPr/>
            <w:r>
              <w:t xml:space="preserve">Alta</w:t>
            </w:r>
          </w:p>
        </w:tc>
        <w:tc>
          <w:tcPr>
            <w:tcW w:w="2866" w:type="dxa"/>
          </w:tcPr>
          <w:p>
            <w:pPr/>
            <w:r>
              <w:t xml:space="preserve">Stock inexplicable, que es el defecto de fondo del sistema actual</w:t>
            </w:r>
          </w:p>
        </w:tc>
      </w:tr>
      <w:tr>
        <w:tc>
          <w:tcPr>
            <w:tcW w:w="850" w:type="dxa"/>
          </w:tcPr>
          <w:p>
            <w:pPr/>
            <w:r>
              <w:t xml:space="preserve">M07</w:t>
            </w:r>
          </w:p>
        </w:tc>
        <w:tc>
          <w:tcPr>
            <w:tcW w:w="850" w:type="dxa"/>
          </w:tcPr>
          <w:p>
            <w:pPr/>
            <w:r>
              <w:t xml:space="preserve">Motor de sincronización</w:t>
            </w:r>
          </w:p>
        </w:tc>
        <w:tc>
          <w:tcPr>
            <w:tcW w:w="3944" w:type="dxa"/>
          </w:tcPr>
          <w:p>
            <w:pPr/>
            <w:r>
              <w:t xml:space="preserve">Bandeja de salida, ingesta idempotente por identificador, rechazo de lotes con huecos de secuencia, bajada de catálogo y precios</w:t>
            </w:r>
          </w:p>
        </w:tc>
        <w:tc>
          <w:tcPr>
            <w:tcW w:w="850" w:type="dxa"/>
          </w:tcPr>
          <w:p>
            <w:pPr/>
            <w:r>
              <w:t xml:space="preserve">Alta</w:t>
            </w:r>
          </w:p>
        </w:tc>
        <w:tc>
          <w:tcPr>
            <w:tcW w:w="2866" w:type="dxa"/>
          </w:tcPr>
          <w:p>
            <w:pPr/>
            <w:r>
              <w:t xml:space="preserve">Ventas duplicadas o perdidas, e incumplimiento del plazo tributario</w:t>
            </w:r>
          </w:p>
        </w:tc>
      </w:tr>
      <w:tr>
        <w:tc>
          <w:tcPr>
            <w:tcW w:w="850" w:type="dxa"/>
          </w:tcPr>
          <w:p>
            <w:pPr/>
            <w:r>
              <w:t xml:space="preserve">M08</w:t>
            </w:r>
          </w:p>
        </w:tc>
        <w:tc>
          <w:tcPr>
            <w:tcW w:w="850" w:type="dxa"/>
          </w:tcPr>
          <w:p>
            <w:pPr/>
            <w:r>
              <w:t xml:space="preserve">Integración con el SEE‑Facturador SUNAT</w:t>
            </w:r>
          </w:p>
        </w:tc>
        <w:tc>
          <w:tcPr>
            <w:tcW w:w="3944" w:type="dxa"/>
          </w:tcPr>
          <w:p>
            <w:pPr/>
            <w:r>
              <w:t xml:space="preserve">Escritura del comprobante en la carpeta de entrada con la estructura que SUNAT define en sus anexos, lectura de la constancia de recepción, resumen diario de boletas, comunicación de baja, notas de crédito, reintentos y estado visible por comprobante</w:t>
            </w:r>
          </w:p>
        </w:tc>
        <w:tc>
          <w:tcPr>
            <w:tcW w:w="850" w:type="dxa"/>
          </w:tcPr>
          <w:p>
            <w:pPr/>
            <w:r>
              <w:t xml:space="preserve">Alta</w:t>
            </w:r>
          </w:p>
        </w:tc>
        <w:tc>
          <w:tcPr>
            <w:tcW w:w="2866" w:type="dxa"/>
          </w:tcPr>
          <w:p>
            <w:pPr/>
            <w:r>
              <w:t xml:space="preserve">Incumplimiento tributario del negocio</w:t>
            </w:r>
          </w:p>
        </w:tc>
      </w:tr>
      <w:tr>
        <w:tc>
          <w:tcPr>
            <w:tcW w:w="850" w:type="dxa"/>
          </w:tcPr>
          <w:p>
            <w:pPr/>
            <w:r>
              <w:t xml:space="preserve">M09</w:t>
            </w:r>
          </w:p>
        </w:tc>
        <w:tc>
          <w:tcPr>
            <w:tcW w:w="850" w:type="dxa"/>
          </w:tcPr>
          <w:p>
            <w:pPr/>
            <w:r>
              <w:t xml:space="preserve">Sesión de caja y arqueo</w:t>
            </w:r>
          </w:p>
        </w:tc>
        <w:tc>
          <w:tcPr>
            <w:tcW w:w="3944" w:type="dxa"/>
          </w:tcPr>
          <w:p>
            <w:pPr/>
            <w:r>
              <w:t xml:space="preserve">Apertura, cierre y cuadre del efectivo contra lo cobrado</w:t>
            </w:r>
          </w:p>
        </w:tc>
        <w:tc>
          <w:tcPr>
            <w:tcW w:w="850" w:type="dxa"/>
          </w:tcPr>
          <w:p>
            <w:pPr/>
            <w:r>
              <w:t xml:space="preserve">Media</w:t>
            </w:r>
          </w:p>
        </w:tc>
        <w:tc>
          <w:tcPr>
            <w:tcW w:w="2866" w:type="dxa"/>
          </w:tcPr>
          <w:p>
            <w:pPr/>
            <w:r>
              <w:t xml:space="preserve">No se detecta un descuadre de caja</w:t>
            </w:r>
          </w:p>
        </w:tc>
      </w:tr>
      <w:tr>
        <w:tc>
          <w:tcPr>
            <w:tcW w:w="850" w:type="dxa"/>
          </w:tcPr>
          <w:p>
            <w:pPr/>
            <w:r>
              <w:t xml:space="preserve">M10</w:t>
            </w:r>
          </w:p>
        </w:tc>
        <w:tc>
          <w:tcPr>
            <w:tcW w:w="850" w:type="dxa"/>
          </w:tcPr>
          <w:p>
            <w:pPr/>
            <w:r>
              <w:t xml:space="preserve">Autenticación, roles y permisos</w:t>
            </w:r>
          </w:p>
        </w:tc>
        <w:tc>
          <w:tcPr>
            <w:tcW w:w="3944" w:type="dxa"/>
          </w:tcPr>
          <w:p>
            <w:pPr/>
            <w:r>
              <w:t xml:space="preserve">Contraseñas con hash y factor de coste, permisos verificados donde se ejecuta la operación, cierre de sesión real, costos y márgenes ocultos también en los reportes</w:t>
            </w:r>
          </w:p>
        </w:tc>
        <w:tc>
          <w:tcPr>
            <w:tcW w:w="850" w:type="dxa"/>
          </w:tcPr>
          <w:p>
            <w:pPr/>
            <w:r>
              <w:t xml:space="preserve">Alta</w:t>
            </w:r>
          </w:p>
        </w:tc>
        <w:tc>
          <w:tcPr>
            <w:tcW w:w="2866" w:type="dxa"/>
          </w:tcPr>
          <w:p>
            <w:pPr/>
            <w:r>
              <w:t xml:space="preserve">Cualquiera entra, y cualquiera ve los márgenes del negocio</w:t>
            </w:r>
          </w:p>
        </w:tc>
      </w:tr>
      <w:tr>
        <w:tc>
          <w:tcPr>
            <w:tcW w:w="850" w:type="dxa"/>
          </w:tcPr>
          <w:p>
            <w:pPr/>
            <w:r>
              <w:t xml:space="preserve">M11</w:t>
            </w:r>
          </w:p>
        </w:tc>
        <w:tc>
          <w:tcPr>
            <w:tcW w:w="850" w:type="dxa"/>
          </w:tcPr>
          <w:p>
            <w:pPr/>
            <w:r>
              <w:t xml:space="preserve">Panel web: reportes y rentabilidad</w:t>
            </w:r>
          </w:p>
        </w:tc>
        <w:tc>
          <w:tcPr>
            <w:tcW w:w="3944" w:type="dxa"/>
          </w:tcPr>
          <w:p>
            <w:pPr/>
            <w:r>
              <w:t xml:space="preserve">Los reportes de gestión que el sistema actual tenía y no se podían abrir; rentabilidad calculada con el costo histórico de la línea</w:t>
            </w:r>
          </w:p>
        </w:tc>
        <w:tc>
          <w:tcPr>
            <w:tcW w:w="850" w:type="dxa"/>
          </w:tcPr>
          <w:p>
            <w:pPr/>
            <w:r>
              <w:t xml:space="preserve">Media</w:t>
            </w:r>
          </w:p>
        </w:tc>
        <w:tc>
          <w:tcPr>
            <w:tcW w:w="2866" w:type="dxa"/>
          </w:tcPr>
          <w:p>
            <w:pPr/>
            <w:r>
              <w:t xml:space="preserve">Decisiones de negocio tomadas con cifras que no se pueden reproducir</w:t>
            </w:r>
          </w:p>
        </w:tc>
      </w:tr>
      <w:tr>
        <w:tc>
          <w:tcPr>
            <w:tcW w:w="850" w:type="dxa"/>
          </w:tcPr>
          <w:p>
            <w:pPr/>
            <w:r>
              <w:t xml:space="preserve">M12</w:t>
            </w:r>
          </w:p>
        </w:tc>
        <w:tc>
          <w:tcPr>
            <w:tcW w:w="850" w:type="dxa"/>
          </w:tcPr>
          <w:p>
            <w:pPr/>
            <w:r>
              <w:t xml:space="preserve">Panel web: vigilancia de sincronización</w:t>
            </w:r>
          </w:p>
        </w:tc>
        <w:tc>
          <w:tcPr>
            <w:tcW w:w="3944" w:type="dxa"/>
          </w:tcPr>
          <w:p>
            <w:pPr/>
            <w:r>
              <w:t xml:space="preserve">Días sin sincronizar por terminal, escalado de avisos y bloqueo de la emisión de facturas al tercer día</w:t>
            </w:r>
          </w:p>
        </w:tc>
        <w:tc>
          <w:tcPr>
            <w:tcW w:w="850" w:type="dxa"/>
          </w:tcPr>
          <w:p>
            <w:pPr/>
            <w:r>
              <w:t xml:space="preserve">Alta</w:t>
            </w:r>
          </w:p>
        </w:tc>
        <w:tc>
          <w:tcPr>
            <w:tcW w:w="2866" w:type="dxa"/>
          </w:tcPr>
          <w:p>
            <w:pPr/>
            <w:r>
              <w:t xml:space="preserve">Una caja acumula días sin subir y el negocio incumple sin que nadie lo note</w:t>
            </w:r>
          </w:p>
        </w:tc>
      </w:tr>
      <w:tr>
        <w:tc>
          <w:tcPr>
            <w:tcW w:w="850" w:type="dxa"/>
          </w:tcPr>
          <w:p>
            <w:pPr/>
            <w:r>
              <w:t xml:space="preserve">M13</w:t>
            </w:r>
          </w:p>
        </w:tc>
        <w:tc>
          <w:tcPr>
            <w:tcW w:w="850" w:type="dxa"/>
          </w:tcPr>
          <w:p>
            <w:pPr/>
            <w:r>
              <w:t xml:space="preserve">Móvil: escaneo e inventario</w:t>
            </w:r>
          </w:p>
        </w:tc>
        <w:tc>
          <w:tcPr>
            <w:tcW w:w="3944" w:type="dxa"/>
          </w:tcPr>
          <w:p>
            <w:pPr/>
            <w:r>
              <w:t xml:space="preserve">Consulta de producto por código de barras, captura del código en productos que no lo tienen, conteo físico con registro de diferencias, movimientos con motivo</w:t>
            </w:r>
          </w:p>
        </w:tc>
        <w:tc>
          <w:tcPr>
            <w:tcW w:w="850" w:type="dxa"/>
          </w:tcPr>
          <w:p>
            <w:pPr/>
            <w:r>
              <w:t xml:space="preserve">Media</w:t>
            </w:r>
          </w:p>
        </w:tc>
        <w:tc>
          <w:tcPr>
            <w:tcW w:w="2866" w:type="dxa"/>
          </w:tcPr>
          <w:p>
            <w:pPr/>
            <w:r>
              <w:t xml:space="preserve">El inventario sigue sin significar nada</w:t>
            </w:r>
          </w:p>
        </w:tc>
      </w:tr>
      <w:tr>
        <w:tc>
          <w:tcPr>
            <w:tcW w:w="850" w:type="dxa"/>
          </w:tcPr>
          <w:p>
            <w:pPr/>
            <w:r>
              <w:t xml:space="preserve">M14</w:t>
            </w:r>
          </w:p>
        </w:tc>
        <w:tc>
          <w:tcPr>
            <w:tcW w:w="850" w:type="dxa"/>
          </w:tcPr>
          <w:p>
            <w:pPr/>
            <w:r>
              <w:t xml:space="preserve">Migración del catálogo y del stock</w:t>
            </w:r>
          </w:p>
        </w:tc>
        <w:tc>
          <w:tcPr>
            <w:tcW w:w="3944" w:type="dxa"/>
          </w:tcPr>
          <w:p>
            <w:pPr/>
            <w:r>
              <w:t xml:space="preserve">Que lleguen los 1,736 productos con su código interno intacto; que el stock entre como movimiento de inventario inicial </w:t>
            </w:r>
            <w:r>
              <w:rPr>
                <w:b/>
              </w:rPr>
              <w:t xml:space="preserve">marcado como heredado sin verificar</w:t>
            </w:r>
            <w:r>
              <w:t xml:space="preserve">; que los vencimientos entren marcados como no confiables; y que el importador se pueda </w:t>
            </w:r>
            <w:r>
              <w:rPr>
                <w:b/>
              </w:rPr>
              <w:t xml:space="preserve">reejecutar desde cero</w:t>
            </w:r>
            <w:r>
              <w:t xml:space="preserve"> sin dejar restos. Las ventas no entran</w:t>
            </w:r>
          </w:p>
        </w:tc>
        <w:tc>
          <w:tcPr>
            <w:tcW w:w="850" w:type="dxa"/>
          </w:tcPr>
          <w:p>
            <w:pPr/>
            <w:r>
              <w:t xml:space="preserve">Alta</w:t>
            </w:r>
          </w:p>
        </w:tc>
        <w:tc>
          <w:tcPr>
            <w:tcW w:w="2866" w:type="dxa"/>
          </w:tcPr>
          <w:p>
            <w:pPr/>
            <w:r>
              <w:t xml:space="preserve">El catálogo nace incompleto o con existencias que nadie puede explicar ni distinguir de las verificadas</w:t>
            </w:r>
          </w:p>
        </w:tc>
      </w:tr>
      <w:tr>
        <w:tc>
          <w:tcPr>
            <w:tcW w:w="850" w:type="dxa"/>
          </w:tcPr>
          <w:p>
            <w:pPr/>
            <w:r>
              <w:t xml:space="preserve">M15</w:t>
            </w:r>
          </w:p>
        </w:tc>
        <w:tc>
          <w:tcPr>
            <w:tcW w:w="850" w:type="dxa"/>
          </w:tcPr>
          <w:p>
            <w:pPr/>
            <w:r>
              <w:t xml:space="preserve">Respaldo y restauración</w:t>
            </w:r>
          </w:p>
        </w:tc>
        <w:tc>
          <w:tcPr>
            <w:tcW w:w="3944" w:type="dxa"/>
          </w:tcPr>
          <w:p>
            <w:pPr/>
            <w:r>
              <w:t xml:space="preserve">Respaldo automático verificado, copia fuera del local y una restauración efectivamente ejecutada. Incluye las carpetas del Facturador donde viven el XML firmado y la constancia de recepción, que son los únicos originales del comprobante y que esa aplicación no respalda</w:t>
            </w:r>
          </w:p>
        </w:tc>
        <w:tc>
          <w:tcPr>
            <w:tcW w:w="850" w:type="dxa"/>
          </w:tcPr>
          <w:p>
            <w:pPr/>
            <w:r>
              <w:t xml:space="preserve">Alta</w:t>
            </w:r>
          </w:p>
        </w:tc>
        <w:tc>
          <w:tcPr>
            <w:tcW w:w="2866" w:type="dxa"/>
          </w:tcPr>
          <w:p>
            <w:pPr/>
            <w:r>
              <w:t xml:space="preserve">Pérdida total e irreversible de los datos. Es el riesgo más alto que arrastra el negocio</w:t>
            </w:r>
          </w:p>
        </w:tc>
      </w:tr>
      <w:tr>
        <w:tc>
          <w:tcPr>
            <w:tcW w:w="850" w:type="dxa"/>
          </w:tcPr>
          <w:p>
            <w:pPr/>
            <w:r>
              <w:t xml:space="preserve">M16</w:t>
            </w:r>
          </w:p>
        </w:tc>
        <w:tc>
          <w:tcPr>
            <w:tcW w:w="850" w:type="dxa"/>
          </w:tcPr>
          <w:p>
            <w:pPr/>
            <w:r>
              <w:t xml:space="preserve">Catálogo, precios y auditoría</w:t>
            </w:r>
          </w:p>
        </w:tc>
        <w:tc>
          <w:tcPr>
            <w:tcW w:w="3944" w:type="dxa"/>
          </w:tcPr>
          <w:p>
            <w:pPr/>
            <w:r>
              <w:t xml:space="preserve">Precio como dato con vigencia, códigos de barras acumulables, bitácora de auditoría consultable</w:t>
            </w:r>
          </w:p>
        </w:tc>
        <w:tc>
          <w:tcPr>
            <w:tcW w:w="850" w:type="dxa"/>
          </w:tcPr>
          <w:p>
            <w:pPr/>
            <w:r>
              <w:t xml:space="preserve">Media</w:t>
            </w:r>
          </w:p>
        </w:tc>
        <w:tc>
          <w:tcPr>
            <w:tcW w:w="2866" w:type="dxa"/>
          </w:tcPr>
          <w:p>
            <w:pPr/>
            <w:r>
              <w:t xml:space="preserve">Cambiar un precio reescribe el pasado, y nadie sabe quién cambió qué</w:t>
            </w:r>
          </w:p>
        </w:tc>
      </w:tr>
      <w:tr>
        <w:tc>
          <w:tcPr>
            <w:tcW w:w="850" w:type="dxa"/>
          </w:tcPr>
          <w:p>
            <w:pPr/>
            <w:r>
              <w:t xml:space="preserve">M17</w:t>
            </w:r>
          </w:p>
        </w:tc>
        <w:tc>
          <w:tcPr>
            <w:tcW w:w="850" w:type="dxa"/>
          </w:tcPr>
          <w:p>
            <w:pPr/>
            <w:r>
              <w:t xml:space="preserve">Reconciliación con la base del Facturador</w:t>
            </w:r>
          </w:p>
        </w:tc>
        <w:tc>
          <w:tcPr>
            <w:tcW w:w="3944" w:type="dxa"/>
          </w:tcPr>
          <w:p>
            <w:pPr/>
            <w:r>
              <w:t xml:space="preserve">Que todo comprobante emitido por la caja exista en la base del Facturador, con la misma serie, el mismo número y el mismo estado; y que no exista allí ninguno que la caja no conozca</w:t>
            </w:r>
          </w:p>
        </w:tc>
        <w:tc>
          <w:tcPr>
            <w:tcW w:w="850" w:type="dxa"/>
          </w:tcPr>
          <w:p>
            <w:pPr/>
            <w:r>
              <w:t xml:space="preserve">Alta</w:t>
            </w:r>
          </w:p>
        </w:tc>
        <w:tc>
          <w:tcPr>
            <w:tcW w:w="2866" w:type="dxa"/>
          </w:tcPr>
          <w:p>
            <w:pPr/>
            <w:r>
              <w:t xml:space="preserve">Dos fuentes de verdad que divergen en silencio: la caja cree haber declarado algo que SUNAT nunca recibió, o al revés</w:t>
            </w:r>
          </w:p>
        </w:tc>
      </w:tr>
      <w:tr>
        <w:tc>
          <w:tcPr>
            <w:tcW w:w="850" w:type="dxa"/>
          </w:tcPr>
          <w:p>
            <w:pPr/>
            <w:r>
              <w:t xml:space="preserve">M18</w:t>
            </w:r>
          </w:p>
        </w:tc>
        <w:tc>
          <w:tcPr>
            <w:tcW w:w="850" w:type="dxa"/>
          </w:tcPr>
          <w:p>
            <w:pPr/>
            <w:r>
              <w:t xml:space="preserve">Depuración de duplicados del catálogo</w:t>
            </w:r>
          </w:p>
        </w:tc>
        <w:tc>
          <w:tcPr>
            <w:tcW w:w="3944" w:type="dxa"/>
          </w:tcPr>
          <w:p>
            <w:pPr/>
            <w:r>
              <w:t xml:space="preserve">Que la fusión de dos fichas </w:t>
            </w:r>
            <w:r>
              <w:rPr>
                <w:b/>
              </w:rPr>
              <w:t xml:space="preserve">sume el stock sin perderlo ni contarlo dos veces</w:t>
            </w:r>
            <w:r>
              <w:t xml:space="preserve">, conserve los dos códigos internos como referencia y quede auditada. Y sobre todo: que </w:t>
            </w:r>
            <w:r>
              <w:rPr>
                <w:b/>
              </w:rPr>
              <w:t xml:space="preserve">no fusione productos que solo difieren en dosis, concentración o tamaño</w:t>
            </w:r>
          </w:p>
        </w:tc>
        <w:tc>
          <w:tcPr>
            <w:tcW w:w="850" w:type="dxa"/>
          </w:tcPr>
          <w:p>
            <w:pPr/>
            <w:r>
              <w:t xml:space="preserve">Alta</w:t>
            </w:r>
          </w:p>
        </w:tc>
        <w:tc>
          <w:tcPr>
            <w:tcW w:w="2866" w:type="dxa"/>
          </w:tcPr>
          <w:p>
            <w:pPr/>
            <w:r>
              <w:t xml:space="preserve">Fusionar Amoxicilina 500 mg con la de 250 mg. En una botica eso no es desorden de catálogo, es un riesgo sanitario</w:t>
            </w:r>
          </w:p>
        </w:tc>
      </w:tr>
      <w:tr>
        <w:tc>
          <w:tcPr>
            <w:tcW w:w="850" w:type="dxa"/>
          </w:tcPr>
          <w:p>
            <w:pPr/>
            <w:r>
              <w:t xml:space="preserve">M19</w:t>
            </w:r>
          </w:p>
        </w:tc>
        <w:tc>
          <w:tcPr>
            <w:tcW w:w="850" w:type="dxa"/>
          </w:tcPr>
          <w:p>
            <w:pPr/>
            <w:r>
              <w:t xml:space="preserve">Trazabilidad del dato heredado</w:t>
            </w:r>
          </w:p>
        </w:tc>
        <w:tc>
          <w:tcPr>
            <w:tcW w:w="3944" w:type="dxa"/>
          </w:tcPr>
          <w:p>
            <w:pPr/>
            <w:r>
              <w:t xml:space="preserve">Que un saldo o un vencimiento que viene del sistema viejo se </w:t>
            </w:r>
            <w:r>
              <w:rPr>
                <w:b/>
              </w:rPr>
              <w:t xml:space="preserve">distinga a la vista</w:t>
            </w:r>
            <w:r>
              <w:t xml:space="preserve"> de uno verificado, en la caja, en el panel, en los reportes y en las alertas</w:t>
            </w:r>
          </w:p>
        </w:tc>
        <w:tc>
          <w:tcPr>
            <w:tcW w:w="850" w:type="dxa"/>
          </w:tcPr>
          <w:p>
            <w:pPr/>
            <w:r>
              <w:t xml:space="preserve">Alta</w:t>
            </w:r>
          </w:p>
        </w:tc>
        <w:tc>
          <w:tcPr>
            <w:tcW w:w="2866" w:type="dxa"/>
          </w:tcPr>
          <w:p>
            <w:pPr/>
            <w:r>
              <w:t xml:space="preserve">El dato heredado se confunde con el verificado y el inventario vuelve a ser inexplicable, que es justo lo que se venía a corregir</w:t>
            </w:r>
          </w:p>
        </w:tc>
      </w:tr>
      <w:tr>
        <w:tc>
          <w:tcPr>
            <w:tcW w:w="850" w:type="dxa"/>
          </w:tcPr>
          <w:p>
            <w:pPr/>
            <w:r>
              <w:t xml:space="preserve">M20</w:t>
            </w:r>
          </w:p>
        </w:tc>
        <w:tc>
          <w:tcPr>
            <w:tcW w:w="850" w:type="dxa"/>
          </w:tcPr>
          <w:p>
            <w:pPr/>
            <w:r>
              <w:t xml:space="preserve">Consolidación entre las 2 sedes</w:t>
            </w:r>
          </w:p>
        </w:tc>
        <w:tc>
          <w:tcPr>
            <w:tcW w:w="3944" w:type="dxa"/>
          </w:tcPr>
          <w:p>
            <w:pPr/>
            <w:r>
              <w:t xml:space="preserve">Que la asignación de series </w:t>
            </w:r>
            <w:r>
              <w:rPr>
                <w:b/>
              </w:rPr>
              <w:t xml:space="preserve">no dé nunca la misma a dos cajas de sedes distintas</w:t>
            </w:r>
            <w:r>
              <w:t xml:space="preserve">; que los hechos de las dos sedes se consoliden sin que una afecte la idempotencia o la numeración de la otra; y que el panel sume el negocio completo mientras la caja solo vea su propia sede</w:t>
            </w:r>
          </w:p>
        </w:tc>
        <w:tc>
          <w:tcPr>
            <w:tcW w:w="850" w:type="dxa"/>
          </w:tcPr>
          <w:p>
            <w:pPr/>
            <w:r>
              <w:t xml:space="preserve">Alta</w:t>
            </w:r>
          </w:p>
        </w:tc>
        <w:tc>
          <w:tcPr>
            <w:tcW w:w="2866" w:type="dxa"/>
          </w:tcPr>
          <w:p>
            <w:pPr/>
            <w:r>
              <w:t xml:space="preserve">Series duplicadas entre sedes, que es incumplimiento tributario, o un reporte que suma mal el negocio</w:t>
            </w:r>
          </w:p>
        </w:tc>
      </w:tr>
      <w:tr>
        <w:tc>
          <w:tcPr>
            <w:tcW w:w="850" w:type="dxa"/>
          </w:tcPr>
          <w:p>
            <w:pPr/>
            <w:r>
              <w:t xml:space="preserve">M22</w:t>
            </w:r>
          </w:p>
        </w:tc>
        <w:tc>
          <w:tcPr>
            <w:tcW w:w="850" w:type="dxa"/>
          </w:tcPr>
          <w:p>
            <w:pPr/>
            <w:r>
              <w:t xml:space="preserve">Aislamiento entre clientes</w:t>
            </w:r>
          </w:p>
        </w:tc>
        <w:tc>
          <w:tcPr>
            <w:tcW w:w="3944" w:type="dxa"/>
          </w:tcPr>
          <w:p>
            <w:pPr/>
            <w:r>
              <w:t xml:space="preserve">Que ninguna consulta, reporte, lote de sincronización ni asignación de serie cruce datos de dos boticas. Se verifica </w:t>
            </w:r>
            <w:r>
              <w:rPr>
                <w:b/>
              </w:rPr>
              <w:t xml:space="preserve">por el lado negativo</w:t>
            </w:r>
            <w:r>
              <w:t xml:space="preserve">: con dos clientes cargados, que ninguna operación de uno devuelva nada del otro</w:t>
            </w:r>
          </w:p>
        </w:tc>
        <w:tc>
          <w:tcPr>
            <w:tcW w:w="850" w:type="dxa"/>
          </w:tcPr>
          <w:p>
            <w:pPr/>
            <w:r>
              <w:t xml:space="preserve">Alta</w:t>
            </w:r>
          </w:p>
        </w:tc>
        <w:tc>
          <w:tcPr>
            <w:tcW w:w="2866" w:type="dxa"/>
          </w:tcPr>
          <w:p>
            <w:pPr/>
            <w:r>
              <w:t xml:space="preserve">Una botica ve el stock, los precios o los márgenes de otra. Es el fallo que termina con el servicio, no un defecto más</w:t>
            </w:r>
          </w:p>
        </w:tc>
      </w:tr>
      <w:tr>
        <w:tc>
          <w:tcPr>
            <w:tcW w:w="850" w:type="dxa"/>
          </w:tcPr>
          <w:p>
            <w:pPr/>
            <w:r>
              <w:t xml:space="preserve">M23</w:t>
            </w:r>
          </w:p>
        </w:tc>
        <w:tc>
          <w:tcPr>
            <w:tcW w:w="850" w:type="dxa"/>
          </w:tcPr>
          <w:p>
            <w:pPr/>
            <w:r>
              <w:t xml:space="preserve">Separación de un cliente a su propia base</w:t>
            </w:r>
          </w:p>
        </w:tc>
        <w:tc>
          <w:tcPr>
            <w:tcW w:w="3944" w:type="dxa"/>
          </w:tcPr>
          <w:p>
            <w:pPr/>
            <w:r>
              <w:t xml:space="preserve">Que su información llegue completa a la base nueva, que </w:t>
            </w:r>
            <w:r>
              <w:rPr>
                <w:b/>
              </w:rPr>
              <w:t xml:space="preserve">no quede nada suyo en la compartida</w:t>
            </w:r>
            <w:r>
              <w:t xml:space="preserve">, que no se lleve nada de otro cliente, que las series se conserven tal como se declararon ante SUNAT, y que el cliente siga vendiendo durante y después</w:t>
            </w:r>
          </w:p>
        </w:tc>
        <w:tc>
          <w:tcPr>
            <w:tcW w:w="850" w:type="dxa"/>
          </w:tcPr>
          <w:p>
            <w:pPr/>
            <w:r>
              <w:t xml:space="preserve">Alta</w:t>
            </w:r>
          </w:p>
        </w:tc>
        <w:tc>
          <w:tcPr>
            <w:tcW w:w="2866" w:type="dxa"/>
          </w:tcPr>
          <w:p>
            <w:pPr/>
            <w:r>
              <w:t xml:space="preserve">Datos perdidos o duplicados en dos bases, o datos ajenos en la base de un tercero</w:t>
            </w:r>
          </w:p>
        </w:tc>
      </w:tr>
      <w:tr>
        <w:tc>
          <w:tcPr>
            <w:tcW w:w="850" w:type="dxa"/>
          </w:tcPr>
          <w:p>
            <w:pPr/>
            <w:r>
              <w:t xml:space="preserve">M21</w:t>
            </w:r>
          </w:p>
        </w:tc>
        <w:tc>
          <w:tcPr>
            <w:tcW w:w="850" w:type="dxa"/>
          </w:tcPr>
          <w:p>
            <w:pPr/>
            <w:r>
              <w:t xml:space="preserve">Clasificación automática del catálogo</w:t>
            </w:r>
          </w:p>
        </w:tc>
        <w:tc>
          <w:tcPr>
            <w:tcW w:w="3944" w:type="dxa"/>
          </w:tcPr>
          <w:p>
            <w:pPr/>
            <w:r>
              <w:t xml:space="preserve">Que los 1,736 productos queden clasificados en las 7 categorías; que </w:t>
            </w:r>
            <w:r>
              <w:rPr>
                <w:b/>
              </w:rPr>
              <w:t xml:space="preserve">todo lo clasificado como medicamento quede marcado para revisión manual</w:t>
            </w:r>
            <w:r>
              <w:t xml:space="preserve">; que cada producto conserve si lo clasificó la IA o una persona; y que un medicamento clasificado en otra categoría </w:t>
            </w:r>
            <w:r>
              <w:rPr>
                <w:b/>
              </w:rPr>
              <w:t xml:space="preserve">no pierda</w:t>
            </w:r>
            <w:r>
              <w:t xml:space="preserve"> la exigencia de lote y vencimiento</w:t>
            </w:r>
          </w:p>
        </w:tc>
        <w:tc>
          <w:tcPr>
            <w:tcW w:w="850" w:type="dxa"/>
          </w:tcPr>
          <w:p>
            <w:pPr/>
            <w:r>
              <w:t xml:space="preserve">Alta</w:t>
            </w:r>
          </w:p>
        </w:tc>
        <w:tc>
          <w:tcPr>
            <w:tcW w:w="2866" w:type="dxa"/>
          </w:tcPr>
          <w:p>
            <w:pPr/>
            <w:r>
              <w:t xml:space="preserve">Un medicamento sin control de lote ni vencimiento. No es un reporte raro: es un control sanitario que no se aplica</w:t>
            </w:r>
          </w:p>
        </w:tc>
      </w:tr>
    </w:tbl>
    <w:p>
      <w:pPr/>
      <w:r>
        <w:rPr>
          <w:b/>
        </w:rPr>
        <w:t xml:space="preserve">Sobre M21 y lo que de verdad hay que probar.</w:t>
      </w:r>
      <w:r>
        <w:t xml:space="preserve"> El objetivo no es medir la tasa de acierto del clasificador, sino acotar su peor error. Un clasificador con 95 % de acierto deja ~87 productos mal clasificados, y de esos el único que importa de verdad es el </w:t>
      </w:r>
      <w:r>
        <w:rPr>
          <w:b/>
        </w:rPr>
        <w:t xml:space="preserve">medicamento clasificado como no medicamento</w:t>
      </w:r>
      <w:r>
        <w:t xml:space="preserve">, porque pierde el tratamiento de lote y vencimiento. Por eso el criterio es asimétrico: lo que la IA marque como medicamento se revisa a mano, y lo que marque como no medicamento se somete a una </w:t>
      </w:r>
      <w:r>
        <w:rPr>
          <w:b/>
        </w:rPr>
        <w:t xml:space="preserve">prueba negativa</w:t>
      </w:r>
      <w:r>
        <w:t xml:space="preserve"> con un conjunto de descripciones de medicamentos conocidos que nunca deben salir de esa categoría. Es el mismo razonamiento de M18: no se mide la precisión, se acota el daño.</w:t>
      </w:r>
    </w:p>
    <w:p>
      <w:pPr/>
      <w:r>
        <w:rPr>
          <w:b/>
        </w:rPr>
        <w:t xml:space="preserve">Sobre M18, con los duplicados ya medidos.</w:t>
      </w:r>
      <w:r>
        <w:t xml:space="preserve"> El catálogo se analizó para esta versión y el resultado invierte la expectativa: de 1,736 productos hay </w:t>
      </w:r>
      <w:r>
        <w:rPr>
          <w:b/>
        </w:rPr>
        <w:t xml:space="preserve">3 grupos con la descripción repetida, 6 fichas, el 0.3 % del catálogo</w:t>
      </w:r>
      <w:r>
        <w:t xml:space="preserve">, y los tres difieren en marca y precio, de modo que puede que ni siquiera sean duplicados. Buscando parecidos aproximados aparecen 48 pares con más del 90 % de similitud, pero al mirarlos </w:t>
      </w:r>
      <w:r>
        <w:rPr>
          <w:b/>
        </w:rPr>
        <w:t xml:space="preserve">casi todos son productos distintos que se diferencian en la dosis o el tamaño</w:t>
      </w:r>
      <w:r>
        <w:t xml:space="preserve">: Amoxicilina 500 mg frente a 250 mg, Crema Nivea de 30 ml frente a 60 ml, Algodón de 10 g frente a 100 g.</w:t>
      </w:r>
    </w:p>
    <w:p>
      <w:pPr/>
      <w:r>
        <w:t xml:space="preserve">Eso reorienta el módulo. El trabajo no es depurar un catálogo lleno de duplicados, porque no lo está: es </w:t>
      </w:r>
      <w:r>
        <w:rPr>
          <w:b/>
        </w:rPr>
        <w:t xml:space="preserve">demostrar que la depuración no destruye el catálogo</w:t>
      </w:r>
      <w:r>
        <w:t xml:space="preserve">. El criterio de fusión no puede apoyarse en la similitud de la descripción, y tampoco en la marca, que está inservible — hay productos con marca CARAMELO, JABONES o TOALLAS HIGIENICAS. Los 3 grupos se revisan a mano, con el negocio, y lo demás se prueba por el lado negativo: que nada que difiera en dosis, concentración o tamaño se fusione nunca de forma automática.</w:t>
      </w:r>
    </w:p>
    <w:p>
      <w:pPr/>
      <w:r>
        <w:t xml:space="preserve">Fuera del alcance</w:t>
      </w:r>
    </w:p>
    <w:p>
      <w:pPr>
        <w:pStyle w:val="ListParagraph"/>
        <w:numPr>
          <w:ilvl w:val="0"/>
          <w:numId w:val="1"/>
        </w:numPr>
      </w:pPr>
      <w:r>
        <w:rPr>
          <w:b/>
        </w:rPr>
        <w:t xml:space="preserve">La migración del histórico de ventas.</w:t>
      </w:r>
      <w:r>
        <w:t xml:space="preserve"> Decisión del negocio: las 58,332 ventas y sus 187,155 líneas </w:t>
      </w:r>
      <w:r>
        <w:rPr>
          <w:b/>
        </w:rPr>
        <w:t xml:space="preserve">no se migran</w:t>
      </w:r>
      <w:r>
        <w:t xml:space="preserve"> porque no son confiables, y el libro de ventas del sistema nuevo arranca en cero. Por tanto no se prueba ninguna equivalencia de totales, ni de ganancias, ni de distribución por año. El sistema viejo se conserva en solo lectura como referencia de consulta.</w:t>
      </w:r>
    </w:p>
    <w:p>
      <w:pPr>
        <w:pStyle w:val="ListParagraph"/>
        <w:numPr>
          <w:ilvl w:val="0"/>
          <w:numId w:val="1"/>
        </w:numPr>
      </w:pPr>
      <w:r>
        <w:t xml:space="preserve">Pruebas de carga y de estrés. El volumen declarado es de 50 ventas diarias por botica; la dificultad de este proyecto es la fiabilidad y el cumplimiento, no la escala. Dos cosas sí se miden, y son otra cosa: el </w:t>
      </w:r>
      <w:r>
        <w:rPr>
          <w:b/>
        </w:rPr>
        <w:t xml:space="preserve">consumo del Facturador junto a la caja</w:t>
      </w:r>
      <w:r>
        <w:t xml:space="preserve"> en el equipo antiguo del cliente, y el </w:t>
      </w:r>
      <w:r>
        <w:rPr>
          <w:b/>
        </w:rPr>
        <w:t xml:space="preserve">dimensionado del VPS</w:t>
      </w:r>
      <w:r>
        <w:t xml:space="preserve"> para el número de clientes que tenga. Ninguna es «cuánto volumen aguanta»: son «¿caben las piezas donde van?».</w:t>
      </w:r>
    </w:p>
    <w:p>
      <w:pPr>
        <w:pStyle w:val="ListParagraph"/>
        <w:numPr>
          <w:ilvl w:val="0"/>
          <w:numId w:val="1"/>
        </w:numPr>
      </w:pPr>
      <w:r>
        <w:t xml:space="preserve">Pruebas de penetración y seguridad ofensiva. Los requisitos de seguridad se verifican por comportamiento observable, no por intrusión.</w:t>
      </w:r>
    </w:p>
    <w:p>
      <w:pPr>
        <w:pStyle w:val="ListParagraph"/>
        <w:numPr>
          <w:ilvl w:val="0"/>
          <w:numId w:val="1"/>
        </w:numPr>
      </w:pPr>
      <w:r>
        <w:t xml:space="preserve">Conformidad del XML, firma digital y diálogo con SUNAT. </w:t>
      </w:r>
      <w:r>
        <w:rPr>
          <w:b/>
        </w:rPr>
        <w:t xml:space="preserve">Los hace el Facturador SUNAT, no MiFarma.</w:t>
      </w:r>
      <w:r>
        <w:t xml:space="preserve"> No construimos el XML ni la firma, así que no los probamos por dentro: se prueba </w:t>
      </w:r>
      <w:r>
        <w:rPr>
          <w:b/>
        </w:rPr>
        <w:t xml:space="preserve">lo que le entregamos y lo que nos devuelve</w:t>
      </w:r>
      <w:r>
        <w:t xml:space="preserve">, más los plazos y el estado.</w:t>
      </w:r>
    </w:p>
    <w:p>
      <w:pPr>
        <w:pStyle w:val="ListParagraph"/>
        <w:numPr>
          <w:ilvl w:val="0"/>
          <w:numId w:val="1"/>
        </w:numPr>
      </w:pPr>
      <w:r>
        <w:t xml:space="preserve">El funcionamiento interno del Facturador SUNAT. Es software de SUNAT: se prueba </w:t>
      </w:r>
      <w:r>
        <w:rPr>
          <w:b/>
        </w:rPr>
        <w:t xml:space="preserve">como caja negra</w:t>
      </w:r>
      <w:r>
        <w:t xml:space="preserve">, por su contrato de archivos. Si falla por dentro, es un incidente que se reporta a SUNAT, no un defecto de MiFarma.</w:t>
      </w:r>
    </w:p>
    <w:p>
      <w:pPr>
        <w:pStyle w:val="ListParagraph"/>
        <w:numPr>
          <w:ilvl w:val="0"/>
          <w:numId w:val="1"/>
        </w:numPr>
      </w:pPr>
      <w:r>
        <w:t xml:space="preserve">Gestión de crédito y cobranzas. Fuera del alcance del producto por decisión del negocio —no vende a crédito—, por tanto fuera del de pruebas. </w:t>
      </w:r>
      <w:r>
        <w:rPr>
          <w:b/>
        </w:rPr>
        <w:t xml:space="preserve">El precio por mayor ya no está fuera:</w:t>
      </w:r>
      <w:r>
        <w:t xml:space="preserve"> la decisión 13 lo incorpora al producto, así que entra en M02 y en M16.</w:t>
      </w:r>
    </w:p>
    <w:p>
      <w:pPr>
        <w:pStyle w:val="ListParagraph"/>
        <w:numPr>
          <w:ilvl w:val="0"/>
          <w:numId w:val="1"/>
        </w:numPr>
      </w:pPr>
      <w:r>
        <w:rPr>
          <w:b/>
        </w:rPr>
        <w:t xml:space="preserve">Conciliación de los pagos digitales con los extractos del operador.</w:t>
      </w:r>
      <w:r>
        <w:t xml:space="preserve"> </w:t>
      </w:r>
      <w:r>
        <w:rPr>
          <w:b/>
        </w:rPr>
        <w:t xml:space="preserve">Descartada por decisión del negocio</w:t>
      </w:r>
      <w:r>
        <w:t xml:space="preserve">, no pendiente: el importe lo calcula el sistema de venta, que es también quien lo registra y quien imprime la boleta; el dispositivo tipo IzyPay es un medio de cobro equivalente al efectivo. Conciliar cuadraría dos registros del mismo importe calculado por el mismo sitio. Lo que </w:t>
      </w:r>
      <w:r>
        <w:rPr>
          <w:b/>
        </w:rPr>
        <w:t xml:space="preserve">sí</w:t>
      </w:r>
      <w:r>
        <w:t xml:space="preserve"> se prueba es que el medio de pago y la referencia del recibo queden registrados y que el arqueo distinga el efectivo —que se cuenta— del digital.</w:t>
      </w:r>
    </w:p>
    <w:p>
      <w:pPr>
        <w:pStyle w:val="ListParagraph"/>
        <w:numPr>
          <w:ilvl w:val="0"/>
          <w:numId w:val="1"/>
        </w:numPr>
      </w:pPr>
      <w:r>
        <w:t xml:space="preserve">~~Consolidación entre varias sucursales~~. </w:t>
      </w:r>
      <w:r>
        <w:rPr>
          <w:b/>
        </w:rPr>
        <w:t xml:space="preserve">Ya no está fuera de alcance.</w:t>
      </w:r>
      <w:r>
        <w:t xml:space="preserve"> La versión 1.2 la excluía apoyándose en que había un solo local; la decisión 1 confirmó </w:t>
      </w:r>
      <w:r>
        <w:rPr>
          <w:b/>
        </w:rPr>
        <w:t xml:space="preserve">2 sedes y un almacén central</w:t>
      </w:r>
      <w:r>
        <w:t xml:space="preserve">, así que entra, con módulo propio (M20). La arquitectura de escritorio autosuficiente no hubo que rediseñarla —servía para los dos escenarios—, pero el alcance de pruebas sí se amplía: la asignación de series entre sedes y la consolidación son material nuevo.</w:t>
      </w:r>
    </w:p>
    <w:p>
      <w:pPr>
        <w:pStyle w:val="ListParagraph"/>
        <w:numPr>
          <w:ilvl w:val="0"/>
          <w:numId w:val="1"/>
        </w:numPr>
      </w:pPr>
      <w:r>
        <w:t xml:space="preserve">Compatibilidad en múltiples navegadores y dispositivos. El panel web se prueba en un navegador de escritorio y el móvil en un dispositivo de la empresa.</w:t>
      </w:r>
    </w:p>
    <w:p>
      <w:pPr>
        <w:pStyle w:val="ListParagraph"/>
        <w:numPr>
          <w:ilvl w:val="0"/>
          <w:numId w:val="1"/>
        </w:numPr>
      </w:pPr>
      <w:r>
        <w:t xml:space="preserve">Revisión profunda de accesibilidad.</w:t>
      </w:r>
    </w:p>
    <w:p>
      <w:pPr>
        <w:pStyle w:val="ListParagraph"/>
        <w:numPr>
          <w:ilvl w:val="0"/>
          <w:numId w:val="1"/>
        </w:numPr>
      </w:pPr>
      <w:r>
        <w:t xml:space="preserve">Pruebas sobre el sistema actual. Sus defectos ya están documentados y no se van a corregir: el sistema se reemplaza. Lo que sí se usa de ellos es la suite de regresión del sistema nuevo.</w:t>
      </w:r>
    </w:p>
    <w:p>
      <w:pPr>
        <w:pStyle w:val="ListParagraph"/>
        <w:numPr>
          <w:ilvl w:val="0"/>
          <w:numId w:val="1"/>
        </w:numPr>
      </w:pPr>
      <w:r>
        <w:t xml:space="preserve">Automatización de pruebas de interfaz durante el Módulo 1 del curso: ahí todo es manual. El dominio y el motor de sincronización son la excepción, y llevan pruebas automatizadas desde el primer día por decisión de arquitectura, no por el calendario del curso.</w:t>
      </w:r>
    </w:p>
    <w:p>
      <w:pPr/>
      <w:r>
        <w:t xml:space="preserve">Declarar lo que queda fuera es tan importante como lo que entra: evita que alguien lea "no se encontró ningún defecto" como "se probó todo".</w:t>
      </w:r>
    </w:p>
    <w:p>
      <w:pPr>
        <w:pStyle w:val="Heading2"/>
      </w:pPr>
      <w:r>
        <w:t xml:space="preserve">4. Tipos y niveles de prueba aplicables</w:t>
      </w:r>
    </w:p>
    <w:p>
      <w:pPr/>
      <w:r>
        <w:t xml:space="preserve">A diferencia del documento modelo, aquí </w:t>
      </w:r>
      <w:r>
        <w:rPr>
          <w:b/>
        </w:rPr>
        <w:t xml:space="preserve">el nivel unitario sí aplica</w:t>
      </w:r>
      <w:r>
        <w:t xml:space="preserve">: el código es propio. Y se añaden cinco tipos que este proyecto necesita y una tienda en línea no: integración por archivos, compatibilidad de hardware, consumo de recursos, tolerancia a fallos y migración.</w:t>
      </w:r>
    </w:p>
    <w:tbl>
      <w:tblPr>
        <w:tblStyle w:val="TableGrid"/>
        <w:tblW w:w="0" w:type="auto"/>
        <w:tblLayout w:type="fixed"/>
        <w:tblLook w:val="04A0" w:firstRow="1" w:lastRow="0" w:firstColumn="0" w:lastColumn="0" w:noHBand="0" w:noVBand="1"/>
      </w:tblPr>
      <w:tblGrid>
        <w:gridCol w:w="902"/>
        <w:gridCol w:w="850"/>
        <w:gridCol w:w="850"/>
        <w:gridCol w:w="6758"/>
      </w:tblGrid>
      <w:tr>
        <w:trPr>
          <w:tblHeader/>
        </w:trPr>
        <w:tc>
          <w:tcPr>
            <w:tcW w:w="902" w:type="dxa"/>
            <w:shd w:val="clear" w:color="auto" w:fill="F2F2F2"/>
          </w:tcPr>
          <w:p>
            <w:pPr/>
            <w:r>
              <w:t xml:space="preserve">Tipo de prueba</w:t>
            </w:r>
          </w:p>
        </w:tc>
        <w:tc>
          <w:tcPr>
            <w:tcW w:w="850" w:type="dxa"/>
            <w:shd w:val="clear" w:color="auto" w:fill="F2F2F2"/>
          </w:tcPr>
          <w:p>
            <w:pPr/>
            <w:r>
              <w:t xml:space="preserve">Nivel</w:t>
            </w:r>
          </w:p>
        </w:tc>
        <w:tc>
          <w:tcPr>
            <w:tcW w:w="850" w:type="dxa"/>
            <w:shd w:val="clear" w:color="auto" w:fill="F2F2F2"/>
          </w:tcPr>
          <w:p>
            <w:pPr/>
            <w:r>
              <w:t xml:space="preserve">Módulos</w:t>
            </w:r>
          </w:p>
        </w:tc>
        <w:tc>
          <w:tcPr>
            <w:tcW w:w="6758" w:type="dxa"/>
            <w:shd w:val="clear" w:color="auto" w:fill="F2F2F2"/>
          </w:tcPr>
          <w:p>
            <w:pPr/>
            <w:r>
              <w:t xml:space="preserve">Cómo se aplica</w:t>
            </w:r>
          </w:p>
        </w:tc>
      </w:tr>
      <w:tr>
        <w:tc>
          <w:tcPr>
            <w:tcW w:w="902" w:type="dxa"/>
          </w:tcPr>
          <w:p>
            <w:pPr/>
            <w:r>
              <w:t xml:space="preserve">Funcional</w:t>
            </w:r>
          </w:p>
        </w:tc>
        <w:tc>
          <w:tcPr>
            <w:tcW w:w="850" w:type="dxa"/>
          </w:tcPr>
          <w:p>
            <w:pPr/>
            <w:r>
              <w:t xml:space="preserve">Unitario</w:t>
            </w:r>
          </w:p>
        </w:tc>
        <w:tc>
          <w:tcPr>
            <w:tcW w:w="850" w:type="dxa"/>
          </w:tcPr>
          <w:p>
            <w:pPr/>
            <w:r>
              <w:t xml:space="preserve">M01, M06, M07</w:t>
            </w:r>
          </w:p>
        </w:tc>
        <w:tc>
          <w:tcPr>
            <w:tcW w:w="6758" w:type="dxa"/>
          </w:tcPr>
          <w:p>
            <w:pPr/>
            <w:r>
              <w:t xml:space="preserve">Pruebas del dominio y del protocolo de sincronización, sin interfaz ni base de datos. Son lo único con cobertura alta exigida desde el primer día. Se escriben </w:t>
            </w:r>
            <w:r>
              <w:rPr>
                <w:b/>
              </w:rPr>
              <w:t xml:space="preserve">en C#</w:t>
            </w:r>
            <w:r>
              <w:t xml:space="preserve">, donde viven las reglas de la caja y del servidor, y </w:t>
            </w:r>
            <w:r>
              <w:rPr>
                <w:b/>
              </w:rPr>
              <w:t xml:space="preserve">en Dart</w:t>
            </w:r>
            <w:r>
              <w:t xml:space="preserve"> para lo que el móvil reimplementa</w:t>
            </w:r>
          </w:p>
        </w:tc>
      </w:tr>
      <w:tr>
        <w:tc>
          <w:tcPr>
            <w:tcW w:w="902" w:type="dxa"/>
          </w:tcPr>
          <w:p>
            <w:pPr/>
            <w:r>
              <w:t xml:space="preserve">Funcional</w:t>
            </w:r>
          </w:p>
        </w:tc>
        <w:tc>
          <w:tcPr>
            <w:tcW w:w="850" w:type="dxa"/>
          </w:tcPr>
          <w:p>
            <w:pPr/>
            <w:r>
              <w:t xml:space="preserve">Integración</w:t>
            </w:r>
          </w:p>
        </w:tc>
        <w:tc>
          <w:tcPr>
            <w:tcW w:w="850" w:type="dxa"/>
          </w:tcPr>
          <w:p>
            <w:pPr/>
            <w:r>
              <w:t xml:space="preserve">M04, M07, M14, M18, M20, M21</w:t>
            </w:r>
          </w:p>
        </w:tc>
        <w:tc>
          <w:tcPr>
            <w:tcW w:w="6758" w:type="dxa"/>
          </w:tcPr>
          <w:p>
            <w:pPr/>
            <w:r>
              <w:t xml:space="preserve">Transacción local completa, ingesta idempotente contra el servidor, consolidación de dos sedes, e importador de catálogo y stock contra una copia de los DBF, incluida la clasificación automática, la fusión de fichas duplicadas y la comprobación de que el stock resultante es la suma exacta</w:t>
            </w:r>
          </w:p>
        </w:tc>
      </w:tr>
      <w:tr>
        <w:tc>
          <w:tcPr>
            <w:tcW w:w="902" w:type="dxa"/>
          </w:tcPr>
          <w:p>
            <w:pPr/>
            <w:r>
              <w:t xml:space="preserve">Integración por archivos</w:t>
            </w:r>
          </w:p>
        </w:tc>
        <w:tc>
          <w:tcPr>
            <w:tcW w:w="850" w:type="dxa"/>
          </w:tcPr>
          <w:p>
            <w:pPr/>
            <w:r>
              <w:t xml:space="preserve">Integración</w:t>
            </w:r>
          </w:p>
        </w:tc>
        <w:tc>
          <w:tcPr>
            <w:tcW w:w="850" w:type="dxa"/>
          </w:tcPr>
          <w:p>
            <w:pPr/>
            <w:r>
              <w:t xml:space="preserve">M08, M17</w:t>
            </w:r>
          </w:p>
        </w:tc>
        <w:tc>
          <w:tcPr>
            <w:tcW w:w="6758" w:type="dxa"/>
          </w:tcPr>
          <w:p>
            <w:pPr/>
            <w:r>
              <w:t xml:space="preserve">El contrato con el Facturador SUNAT: se escribe el comprobante en su carpeta de entrada y se lee su respuesta. Tiene casos límite propios: archivo con estructura inválida, archivo leído mientras se está escribiendo, Facturador detenido, respuesta que no llega, y respuesta de rechazo con su código de error</w:t>
            </w:r>
          </w:p>
        </w:tc>
      </w:tr>
      <w:tr>
        <w:tc>
          <w:tcPr>
            <w:tcW w:w="902" w:type="dxa"/>
          </w:tcPr>
          <w:p>
            <w:pPr/>
            <w:r>
              <w:t xml:space="preserve">Funcional</w:t>
            </w:r>
          </w:p>
        </w:tc>
        <w:tc>
          <w:tcPr>
            <w:tcW w:w="850" w:type="dxa"/>
          </w:tcPr>
          <w:p>
            <w:pPr/>
            <w:r>
              <w:t xml:space="preserve">Sistema</w:t>
            </w:r>
          </w:p>
        </w:tc>
        <w:tc>
          <w:tcPr>
            <w:tcW w:w="850" w:type="dxa"/>
          </w:tcPr>
          <w:p>
            <w:pPr/>
            <w:r>
              <w:t xml:space="preserve">M02 a M13</w:t>
            </w:r>
          </w:p>
        </w:tc>
        <w:tc>
          <w:tcPr>
            <w:tcW w:w="6758" w:type="dxa"/>
          </w:tcPr>
          <w:p>
            <w:pPr/>
            <w:r>
              <w:t xml:space="preserve">Casos manuales diseñados con partición de equivalencia y valores límite</w:t>
            </w:r>
          </w:p>
        </w:tc>
      </w:tr>
      <w:tr>
        <w:tc>
          <w:tcPr>
            <w:tcW w:w="902" w:type="dxa"/>
          </w:tcPr>
          <w:p>
            <w:pPr/>
            <w:r>
              <w:t xml:space="preserve">Funcional</w:t>
            </w:r>
          </w:p>
        </w:tc>
        <w:tc>
          <w:tcPr>
            <w:tcW w:w="850" w:type="dxa"/>
          </w:tcPr>
          <w:p>
            <w:pPr/>
            <w:r>
              <w:t xml:space="preserve">Aceptación</w:t>
            </w:r>
          </w:p>
        </w:tc>
        <w:tc>
          <w:tcPr>
            <w:tcW w:w="850" w:type="dxa"/>
          </w:tcPr>
          <w:p>
            <w:pPr/>
            <w:r>
              <w:t xml:space="preserve">M02, M03, M09, M15</w:t>
            </w:r>
          </w:p>
        </w:tc>
        <w:tc>
          <w:tcPr>
            <w:tcW w:w="6758" w:type="dxa"/>
          </w:tcPr>
          <w:p>
            <w:pPr/>
            <w:r>
              <w:t xml:space="preserve">Un turno completo de caja: abrir, vender, cobrar, imprimir, anular, cerrar con arqueo. Lo recorre el personal que hoy usa el sistema actual</w:t>
            </w:r>
          </w:p>
        </w:tc>
      </w:tr>
      <w:tr>
        <w:tc>
          <w:tcPr>
            <w:tcW w:w="902" w:type="dxa"/>
          </w:tcPr>
          <w:p>
            <w:pPr/>
            <w:r>
              <w:t xml:space="preserve">Compatibilidad de hardware</w:t>
            </w:r>
          </w:p>
        </w:tc>
        <w:tc>
          <w:tcPr>
            <w:tcW w:w="850" w:type="dxa"/>
          </w:tcPr>
          <w:p>
            <w:pPr/>
            <w:r>
              <w:t xml:space="preserve">Sistema</w:t>
            </w:r>
          </w:p>
        </w:tc>
        <w:tc>
          <w:tcPr>
            <w:tcW w:w="850" w:type="dxa"/>
          </w:tcPr>
          <w:p>
            <w:pPr/>
            <w:r>
              <w:t xml:space="preserve">M03, M13</w:t>
            </w:r>
          </w:p>
        </w:tc>
        <w:tc>
          <w:tcPr>
            <w:tcW w:w="6758" w:type="dxa"/>
          </w:tcPr>
          <w:p>
            <w:pPr/>
            <w:r>
              <w:t xml:space="preserve">Impresora </w:t>
            </w:r>
            <w:r>
              <w:rPr>
                <w:b/>
              </w:rPr>
              <w:t xml:space="preserve">3nSTAR RPT004</w:t>
            </w:r>
            <w:r>
              <w:t xml:space="preserve"> y lector </w:t>
            </w:r>
            <w:r>
              <w:rPr>
                <w:b/>
              </w:rPr>
              <w:t xml:space="preserve">3nStar SC310</w:t>
            </w:r>
            <w:r>
              <w:t xml:space="preserve"> reales, en un equipo equivalente al de la botica. La impresora admite </w:t>
            </w:r>
            <w:r>
              <w:rPr>
                <w:b/>
              </w:rPr>
              <w:t xml:space="preserve">USB y Ethernet</w:t>
            </w:r>
            <w:r>
              <w:t xml:space="preserve">, y hay que probar los dos caminos: son dos implementaciones del mismo puerto, y la Ethernet es la que permite compartir una impresora entre las dos cajas de la sede</w:t>
            </w:r>
          </w:p>
        </w:tc>
      </w:tr>
      <w:tr>
        <w:tc>
          <w:tcPr>
            <w:tcW w:w="902" w:type="dxa"/>
          </w:tcPr>
          <w:p>
            <w:pPr/>
            <w:r>
              <w:t xml:space="preserve">Consumo de recursos</w:t>
            </w:r>
          </w:p>
        </w:tc>
        <w:tc>
          <w:tcPr>
            <w:tcW w:w="850" w:type="dxa"/>
          </w:tcPr>
          <w:p>
            <w:pPr/>
            <w:r>
              <w:t xml:space="preserve">Sistema</w:t>
            </w:r>
          </w:p>
        </w:tc>
        <w:tc>
          <w:tcPr>
            <w:tcW w:w="850" w:type="dxa"/>
          </w:tcPr>
          <w:p>
            <w:pPr/>
            <w:r>
              <w:t xml:space="preserve">M03, M08</w:t>
            </w:r>
          </w:p>
        </w:tc>
        <w:tc>
          <w:tcPr>
            <w:tcW w:w="6758" w:type="dxa"/>
          </w:tcPr>
          <w:p>
            <w:pPr/>
            <w:r>
              <w:t xml:space="preserve">El Facturador SUNAT corre sobre un servidor Java permanente </w:t>
            </w:r>
            <w:r>
              <w:rPr>
                <w:b/>
              </w:rPr>
              <w:t xml:space="preserve">en la caja 1 de cada sede del cliente</w:t>
            </w:r>
            <w:r>
              <w:t xml:space="preserve">. Hay que </w:t>
            </w:r>
            <w:r>
              <w:rPr>
                <w:b/>
              </w:rPr>
              <w:t xml:space="preserve">medir</w:t>
            </w:r>
            <w:r>
              <w:t xml:space="preserve"> su consumo y el tiempo de cobro con el JDK corriendo al lado, porque el requisito de hardware antiguo es explícito. Es medición, no funcionalidad, y es el riesgo R13</w:t>
            </w:r>
          </w:p>
        </w:tc>
      </w:tr>
      <w:tr>
        <w:tc>
          <w:tcPr>
            <w:tcW w:w="902" w:type="dxa"/>
          </w:tcPr>
          <w:p>
            <w:pPr/>
            <w:r>
              <w:t xml:space="preserve">Tolerancia a fallos</w:t>
            </w:r>
          </w:p>
        </w:tc>
        <w:tc>
          <w:tcPr>
            <w:tcW w:w="850" w:type="dxa"/>
          </w:tcPr>
          <w:p>
            <w:pPr/>
            <w:r>
              <w:t xml:space="preserve">Sistema</w:t>
            </w:r>
          </w:p>
        </w:tc>
        <w:tc>
          <w:tcPr>
            <w:tcW w:w="850" w:type="dxa"/>
          </w:tcPr>
          <w:p>
            <w:pPr/>
            <w:r>
              <w:t xml:space="preserve">M04, M07, M15, M17</w:t>
            </w:r>
          </w:p>
        </w:tc>
        <w:tc>
          <w:tcPr>
            <w:tcW w:w="6758" w:type="dxa"/>
          </w:tcPr>
          <w:p>
            <w:pPr/>
            <w:r>
              <w:t xml:space="preserve">Corte de red y de energía a mitad de una operación; restauración desde un respaldo; base local restaurada de una copia antigua; Facturador detenido mientras la caja sigue vendiendo. Incluye el </w:t>
            </w:r>
            <w:r>
              <w:rPr>
                <w:b/>
              </w:rPr>
              <w:t xml:space="preserve">reingreso de las ventas anotadas en papel</w:t>
            </w:r>
            <w:r>
              <w:t xml:space="preserve"> durante un corte de energía, con fecha de operación distinta de la de registro</w:t>
            </w:r>
          </w:p>
        </w:tc>
      </w:tr>
      <w:tr>
        <w:tc>
          <w:tcPr>
            <w:tcW w:w="902" w:type="dxa"/>
          </w:tcPr>
          <w:p>
            <w:pPr/>
            <w:r>
              <w:t xml:space="preserve">Migración</w:t>
            </w:r>
          </w:p>
        </w:tc>
        <w:tc>
          <w:tcPr>
            <w:tcW w:w="850" w:type="dxa"/>
          </w:tcPr>
          <w:p>
            <w:pPr/>
            <w:r>
              <w:t xml:space="preserve">Integración</w:t>
            </w:r>
          </w:p>
        </w:tc>
        <w:tc>
          <w:tcPr>
            <w:tcW w:w="850" w:type="dxa"/>
          </w:tcPr>
          <w:p>
            <w:pPr/>
            <w:r>
              <w:t xml:space="preserve">M14, M18, M19, M23</w:t>
            </w:r>
          </w:p>
        </w:tc>
        <w:tc>
          <w:tcPr>
            <w:tcW w:w="6758" w:type="dxa"/>
          </w:tcPr>
          <w:p>
            <w:pPr/>
            <w:r>
              <w:t xml:space="preserve">Comprobaciones automatizadas sobre el catálogo y el stock, comparadas contra las cifras del origen y reejecutables desde cero. Incluye las </w:t>
            </w:r>
            <w:r>
              <w:rPr>
                <w:b/>
              </w:rPr>
              <w:t xml:space="preserve">pruebas negativas de la fusión</w:t>
            </w:r>
            <w:r>
              <w:t xml:space="preserve">: un conjunto de pares que difieren solo en dosis o tamaño, que el sistema no debe fusionar nunca</w:t>
            </w:r>
          </w:p>
        </w:tc>
      </w:tr>
      <w:tr>
        <w:tc>
          <w:tcPr>
            <w:tcW w:w="902" w:type="dxa"/>
          </w:tcPr>
          <w:p>
            <w:pPr/>
            <w:r>
              <w:t xml:space="preserve">Regresión</w:t>
            </w:r>
          </w:p>
        </w:tc>
        <w:tc>
          <w:tcPr>
            <w:tcW w:w="850" w:type="dxa"/>
          </w:tcPr>
          <w:p>
            <w:pPr/>
            <w:r>
              <w:t xml:space="preserve">Sistema</w:t>
            </w:r>
          </w:p>
        </w:tc>
        <w:tc>
          <w:tcPr>
            <w:tcW w:w="850" w:type="dxa"/>
          </w:tcPr>
          <w:p>
            <w:pPr/>
            <w:r>
              <w:t xml:space="preserve">M01 a M08</w:t>
            </w:r>
          </w:p>
        </w:tc>
        <w:tc>
          <w:tcPr>
            <w:tcW w:w="6758" w:type="dxa"/>
          </w:tcPr>
          <w:p>
            <w:pPr/>
            <w:r>
              <w:t xml:space="preserve">Los dieciséis hallazgos documentados del sistema actual, convertidos en suite permanente: ninguno debe reaparecer</w:t>
            </w:r>
          </w:p>
        </w:tc>
      </w:tr>
      <w:tr>
        <w:tc>
          <w:tcPr>
            <w:tcW w:w="902" w:type="dxa"/>
          </w:tcPr>
          <w:p>
            <w:pPr/>
            <w:r>
              <w:t xml:space="preserve">Exploratoria</w:t>
            </w:r>
          </w:p>
        </w:tc>
        <w:tc>
          <w:tcPr>
            <w:tcW w:w="850" w:type="dxa"/>
          </w:tcPr>
          <w:p>
            <w:pPr/>
            <w:r>
              <w:t xml:space="preserve">Sistema</w:t>
            </w:r>
          </w:p>
        </w:tc>
        <w:tc>
          <w:tcPr>
            <w:tcW w:w="850" w:type="dxa"/>
          </w:tcPr>
          <w:p>
            <w:pPr/>
            <w:r>
              <w:t xml:space="preserve">M02, M05, M09, M13</w:t>
            </w:r>
          </w:p>
        </w:tc>
        <w:tc>
          <w:tcPr>
            <w:tcW w:w="6758" w:type="dxa"/>
          </w:tcPr>
          <w:p>
            <w:pPr/>
            <w:r>
              <w:t xml:space="preserve">Sesiones estructuradas de 60 a 90 minutos con una meta definida</w:t>
            </w:r>
          </w:p>
        </w:tc>
      </w:tr>
      <w:tr>
        <w:tc>
          <w:tcPr>
            <w:tcW w:w="902" w:type="dxa"/>
          </w:tcPr>
          <w:p>
            <w:pPr/>
            <w:r>
              <w:t xml:space="preserve">Usabilidad (básica)</w:t>
            </w:r>
          </w:p>
        </w:tc>
        <w:tc>
          <w:tcPr>
            <w:tcW w:w="850" w:type="dxa"/>
          </w:tcPr>
          <w:p>
            <w:pPr/>
            <w:r>
              <w:t xml:space="preserve">Sistema</w:t>
            </w:r>
          </w:p>
        </w:tc>
        <w:tc>
          <w:tcPr>
            <w:tcW w:w="850" w:type="dxa"/>
          </w:tcPr>
          <w:p>
            <w:pPr/>
            <w:r>
              <w:t xml:space="preserve">M02, M03</w:t>
            </w:r>
          </w:p>
        </w:tc>
        <w:tc>
          <w:tcPr>
            <w:tcW w:w="6758" w:type="dxa"/>
          </w:tcPr>
          <w:p>
            <w:pPr/>
            <w:r>
              <w:t xml:space="preserve">La caja la opera personal acostumbrado al sistema anterior; se identifican los puntos de fricción del cambio</w:t>
            </w:r>
          </w:p>
        </w:tc>
      </w:tr>
      <w:tr>
        <w:tc>
          <w:tcPr>
            <w:tcW w:w="902" w:type="dxa"/>
          </w:tcPr>
          <w:p>
            <w:pPr/>
            <w:r>
              <w:t xml:space="preserve">Seguridad (verificación de requisitos)</w:t>
            </w:r>
          </w:p>
        </w:tc>
        <w:tc>
          <w:tcPr>
            <w:tcW w:w="850" w:type="dxa"/>
          </w:tcPr>
          <w:p>
            <w:pPr/>
            <w:r>
              <w:t xml:space="preserve">Sistema</w:t>
            </w:r>
          </w:p>
        </w:tc>
        <w:tc>
          <w:tcPr>
            <w:tcW w:w="850" w:type="dxa"/>
          </w:tcPr>
          <w:p>
            <w:pPr/>
            <w:r>
              <w:t xml:space="preserve">M10, M16</w:t>
            </w:r>
          </w:p>
        </w:tc>
        <w:tc>
          <w:tcPr>
            <w:tcW w:w="6758" w:type="dxa"/>
          </w:tcPr>
          <w:p>
            <w:pPr/>
            <w:r>
              <w:t xml:space="preserve">Los requisitos de seguridad se comprueban por comportamiento: hash, permisos, cierre de sesión, ocultamiento de costos</w:t>
            </w:r>
          </w:p>
        </w:tc>
      </w:tr>
    </w:tbl>
    <w:p>
      <w:pPr/>
      <w:r>
        <w:t xml:space="preserve">El tipo dice qué se verifica y el nivel dice qué tan aislado o completo es lo que se prueba. La fila de nivel unitario es la que más se diferencia del modelo del curso, y la razón es estructural: las reglas de negocio de este sistema </w:t>
      </w:r>
      <w:r>
        <w:rPr>
          <w:b/>
        </w:rPr>
        <w:t xml:space="preserve">costó recuperarlas de un ejecutable sin código fuente</w:t>
      </w:r>
      <w:r>
        <w:t xml:space="preserve">, y son el activo del proyecto.</w:t>
      </w:r>
    </w:p>
    <w:p>
      <w:pPr/>
      <w:r>
        <w:t xml:space="preserve">Esa misma fila es la que cambió más con el stack definitivo, y para mejor. Al escribirse la caja en </w:t>
      </w:r>
      <w:r>
        <w:rPr>
          <w:b/>
        </w:rPr>
        <w:t xml:space="preserve">C#</w:t>
      </w:r>
      <w:r>
        <w:t xml:space="preserve">, el cálculo de IGV, la validación de precios, la numeración y el importe en letras </w:t>
      </w:r>
      <w:r>
        <w:rPr>
          <w:b/>
        </w:rPr>
        <w:t xml:space="preserve">dejan de existir tres veces y existen dos</w:t>
      </w:r>
      <w:r>
        <w:t xml:space="preserve">: una en C#, compartida por la caja y el servidor, y otra en Dart para lo que el móvil necesita. La cobertura del 95 % hay que alcanzarla dos veces, y lo que hay que vigilar es que </w:t>
      </w:r>
      <w:r>
        <w:rPr>
          <w:b/>
        </w:rPr>
        <w:t xml:space="preserve">las dos implementaciones den el mismo número</w:t>
      </w:r>
      <w:r>
        <w:t xml:space="preserve">. Es el riesgo R17, que baja de intensidad pero no desaparece.</w:t>
      </w:r>
    </w:p>
    <w:p>
      <w:pPr/>
      <w:r>
        <w:t xml:space="preserve">Hay además una asimetría que conviene aprovechar al diseñar los casos: el móvil </w:t>
      </w:r>
      <w:r>
        <w:rPr>
          <w:b/>
        </w:rPr>
        <w:t xml:space="preserve">no emite ni cobra</w:t>
      </w:r>
      <w:r>
        <w:t xml:space="preserve">, así que no reimplementa la parte delicada del dominio. Lo que comparte con C# es el redondeo, la derivación de stock y la validación de cantidades. La conformidad entre lenguajes se prueba sobre ese subconjunto, no sobre el dominio entero.</w:t>
      </w:r>
    </w:p>
    <w:p>
      <w:pPr>
        <w:pStyle w:val="Heading2"/>
      </w:pPr>
      <w:r>
        <w:t xml:space="preserve">5. Entorno, herramientas y datos de prueba</w:t>
      </w:r>
    </w:p>
    <w:p>
      <w:pPr/>
      <w:r>
        <w:t xml:space="preserve">No existe ambiente de pruebas todavía. Esta sección declara qué hace falta montar, no qué está montado.</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Elemento</w:t>
            </w:r>
          </w:p>
        </w:tc>
        <w:tc>
          <w:tcPr>
            <w:tcW w:w="8510" w:type="dxa"/>
            <w:shd w:val="clear" w:color="auto" w:fill="F2F2F2"/>
          </w:tcPr>
          <w:p>
            <w:pPr/>
            <w:r>
              <w:t xml:space="preserve">Detalle</w:t>
            </w:r>
          </w:p>
        </w:tc>
      </w:tr>
      <w:tr>
        <w:tc>
          <w:tcPr>
            <w:tcW w:w="850" w:type="dxa"/>
          </w:tcPr>
          <w:p>
            <w:pPr/>
            <w:r>
              <w:t xml:space="preserve">Ambiente de pruebas</w:t>
            </w:r>
          </w:p>
        </w:tc>
        <w:tc>
          <w:tcPr>
            <w:tcW w:w="8510" w:type="dxa"/>
          </w:tcPr>
          <w:p>
            <w:pPr/>
            <w:r>
              <w:t xml:space="preserve">por confirmar. Se requieren tres piezas: un terminal de caja de prueba con el Facturador instalado, un servidor de pruebas y el ambiente de pruebas de SUNAT</w:t>
            </w:r>
          </w:p>
        </w:tc>
      </w:tr>
      <w:tr>
        <w:tc>
          <w:tcPr>
            <w:tcW w:w="850" w:type="dxa"/>
          </w:tcPr>
          <w:p>
            <w:pPr/>
            <w:r>
              <w:t xml:space="preserve">Equipo de caja de prueba</w:t>
            </w:r>
          </w:p>
        </w:tc>
        <w:tc>
          <w:tcPr>
            <w:tcW w:w="8510" w:type="dxa"/>
          </w:tcPr>
          <w:p>
            <w:pPr/>
            <w:r>
              <w:rPr>
                <w:b/>
              </w:rPr>
              <w:t xml:space="preserve">Windows 11</w:t>
            </w:r>
            <w:r>
              <w:t xml:space="preserve">, con hardware equivalente al que usa la botica. Es más nuevo que el equipo de producción previsto, lo que queda como riesgo R18</w:t>
            </w:r>
          </w:p>
        </w:tc>
      </w:tr>
      <w:tr>
        <w:tc>
          <w:tcPr>
            <w:tcW w:w="850" w:type="dxa"/>
          </w:tcPr>
          <w:p>
            <w:pPr/>
            <w:r>
              <w:t xml:space="preserve">Impresora térmica</w:t>
            </w:r>
          </w:p>
        </w:tc>
        <w:tc>
          <w:tcPr>
            <w:tcW w:w="8510" w:type="dxa"/>
          </w:tcPr>
          <w:p>
            <w:pPr/>
            <w:r>
              <w:t xml:space="preserve">Modelo definido: </w:t>
            </w:r>
            <w:r>
              <w:rPr>
                <w:b/>
              </w:rPr>
              <w:t xml:space="preserve">3nSTAR RPT004 USB+ETHERNET</w:t>
            </w:r>
            <w:r>
              <w:t xml:space="preserve">. </w:t>
            </w:r>
            <w:r>
              <w:rPr>
                <w:b/>
              </w:rPr>
              <w:t xml:space="preserve">Por confirmar si ya está disponible físicamente</w:t>
            </w:r>
            <w:r>
              <w:t xml:space="preserve">: el modelo elegido no es lo mismo que el equipo en mano, y la prueba depende de lo segundo. Sigue siendo la primera prueba a ejecutar en cuanto exista</w:t>
            </w:r>
          </w:p>
        </w:tc>
      </w:tr>
      <w:tr>
        <w:tc>
          <w:tcPr>
            <w:tcW w:w="850" w:type="dxa"/>
          </w:tcPr>
          <w:p>
            <w:pPr/>
            <w:r>
              <w:t xml:space="preserve">Lector de código de barras</w:t>
            </w:r>
          </w:p>
        </w:tc>
        <w:tc>
          <w:tcPr>
            <w:tcW w:w="8510" w:type="dxa"/>
          </w:tcPr>
          <w:p>
            <w:pPr/>
            <w:r>
              <w:t xml:space="preserve">Modelo definido: </w:t>
            </w:r>
            <w:r>
              <w:rPr>
                <w:b/>
              </w:rPr>
              <w:t xml:space="preserve">3nStar SC310</w:t>
            </w:r>
            <w:r>
              <w:t xml:space="preserve">. Los lectores USB suelen presentarse como teclado y no requieren nada especial</w:t>
            </w:r>
          </w:p>
        </w:tc>
      </w:tr>
      <w:tr>
        <w:tc>
          <w:tcPr>
            <w:tcW w:w="850" w:type="dxa"/>
          </w:tcPr>
          <w:p>
            <w:pPr/>
            <w:r>
              <w:t xml:space="preserve">Dispositivo móvil</w:t>
            </w:r>
          </w:p>
        </w:tc>
        <w:tc>
          <w:tcPr>
            <w:tcW w:w="8510" w:type="dxa"/>
          </w:tcPr>
          <w:p>
            <w:pPr/>
            <w:r>
              <w:t xml:space="preserve">Propio de la empresa</w:t>
            </w:r>
          </w:p>
        </w:tc>
      </w:tr>
      <w:tr>
        <w:tc>
          <w:tcPr>
            <w:tcW w:w="850" w:type="dxa"/>
          </w:tcPr>
          <w:p>
            <w:pPr/>
            <w:r>
              <w:t xml:space="preserve">Navegador</w:t>
            </w:r>
          </w:p>
        </w:tc>
        <w:tc>
          <w:tcPr>
            <w:tcW w:w="8510" w:type="dxa"/>
          </w:tcPr>
          <w:p>
            <w:pPr/>
            <w:r>
              <w:t xml:space="preserve">Un navegador de escritorio actualizado, el mismo durante todo el trabajo</w:t>
            </w:r>
          </w:p>
        </w:tc>
      </w:tr>
      <w:tr>
        <w:tc>
          <w:tcPr>
            <w:tcW w:w="850" w:type="dxa"/>
          </w:tcPr>
          <w:p>
            <w:pPr/>
            <w:r>
              <w:t xml:space="preserve">SEE‑Facturador SUNAT</w:t>
            </w:r>
          </w:p>
        </w:tc>
        <w:tc>
          <w:tcPr>
            <w:tcW w:w="8510" w:type="dxa"/>
          </w:tcPr>
          <w:p>
            <w:pPr/>
            <w:r>
              <w:t xml:space="preserve">Versión vigente descargada del portal de SUNAT. </w:t>
            </w:r>
            <w:r>
              <w:rPr>
                <w:b/>
              </w:rPr>
              <w:t xml:space="preserve">Versión por confirmar</w:t>
            </w:r>
            <w:r>
              <w:t xml:space="preserve">: hay que tomar la actual, no la de las guías antiguas que circulan. Requiere un JDK instalado y variables de entorno configuradas; SUNAT indica 1.8 o superior, pero las guías de campo recomiendan quedarse en JDK 8 por incompatibilidades con versiones recientes. En algunas versiones el nombre de la carpeta de instalación no puede pasar de 8 caracteres</w:t>
            </w:r>
          </w:p>
        </w:tc>
      </w:tr>
      <w:tr>
        <w:tc>
          <w:tcPr>
            <w:tcW w:w="850" w:type="dxa"/>
          </w:tcPr>
          <w:p>
            <w:pPr/>
            <w:r>
              <w:t xml:space="preserve">Ambiente de pruebas de SUNAT</w:t>
            </w:r>
          </w:p>
        </w:tc>
        <w:tc>
          <w:tcPr>
            <w:tcW w:w="8510" w:type="dxa"/>
          </w:tcPr>
          <w:p>
            <w:pPr/>
            <w:r>
              <w:t xml:space="preserve">El servicio de pruebas valida las estructuras XML </w:t>
            </w:r>
            <w:r>
              <w:rPr>
                <w:b/>
              </w:rPr>
              <w:t xml:space="preserve">sin exigir un certificado registrado</w:t>
            </w:r>
            <w:r>
              <w:t xml:space="preserve">. Es lo único que se puede ejercitar antes de tener el certificado, y por eso condiciona el orden del trabajo</w:t>
            </w:r>
          </w:p>
        </w:tc>
      </w:tr>
      <w:tr>
        <w:tc>
          <w:tcPr>
            <w:tcW w:w="850" w:type="dxa"/>
          </w:tcPr>
          <w:p>
            <w:pPr/>
            <w:r>
              <w:t xml:space="preserve">Certificado digital</w:t>
            </w:r>
          </w:p>
        </w:tc>
        <w:tc>
          <w:tcPr>
            <w:tcW w:w="8510" w:type="dxa"/>
          </w:tcPr>
          <w:p>
            <w:pPr/>
            <w:r>
              <w:t xml:space="preserve">CDT gratuito de SUNAT, </w:t>
            </w:r>
            <w:r>
              <w:rPr>
                <w:b/>
              </w:rPr>
              <w:t xml:space="preserve">por tramitar</w:t>
            </w:r>
            <w:r>
              <w:t xml:space="preserve"> vía SOL. Sin él, el Facturador no firma, y la prueba de extremo a extremo de M08 queda bloqueada</w:t>
            </w:r>
          </w:p>
        </w:tc>
      </w:tr>
      <w:tr>
        <w:tc>
          <w:tcPr>
            <w:tcW w:w="850" w:type="dxa"/>
          </w:tcPr>
          <w:p>
            <w:pPr/>
            <w:r>
              <w:t xml:space="preserve">Control de versiones</w:t>
            </w:r>
          </w:p>
        </w:tc>
        <w:tc>
          <w:tcPr>
            <w:tcW w:w="8510" w:type="dxa"/>
          </w:tcPr>
          <w:p>
            <w:pPr/>
            <w:r>
              <w:t xml:space="preserve">Git. </w:t>
            </w:r>
            <w:r>
              <w:rPr>
                <w:b/>
              </w:rPr>
              <w:t xml:space="preserve">Repositorio por crear</w:t>
            </w:r>
            <w:r>
              <w:t xml:space="preserve">: es el entregable de la semana 1</w:t>
            </w:r>
          </w:p>
        </w:tc>
      </w:tr>
      <w:tr>
        <w:tc>
          <w:tcPr>
            <w:tcW w:w="850" w:type="dxa"/>
          </w:tcPr>
          <w:p>
            <w:pPr/>
            <w:r>
              <w:t xml:space="preserve">Gestión de tareas</w:t>
            </w:r>
          </w:p>
        </w:tc>
        <w:tc>
          <w:tcPr>
            <w:tcW w:w="8510" w:type="dxa"/>
          </w:tcPr>
          <w:p>
            <w:pPr/>
            <w:r>
              <w:rPr>
                <w:b/>
              </w:rPr>
              <w:t xml:space="preserve">Por definir</w:t>
            </w:r>
          </w:p>
        </w:tc>
      </w:tr>
      <w:tr>
        <w:tc>
          <w:tcPr>
            <w:tcW w:w="850" w:type="dxa"/>
          </w:tcPr>
          <w:p>
            <w:pPr/>
            <w:r>
              <w:t xml:space="preserve">Gestión de casos y defectos</w:t>
            </w:r>
          </w:p>
        </w:tc>
        <w:tc>
          <w:tcPr>
            <w:tcW w:w="8510" w:type="dxa"/>
          </w:tcPr>
          <w:p>
            <w:pPr/>
            <w:r>
              <w:rPr>
                <w:b/>
              </w:rPr>
              <w:t xml:space="preserve">Por definir</w:t>
            </w:r>
          </w:p>
        </w:tc>
      </w:tr>
      <w:tr>
        <w:tc>
          <w:tcPr>
            <w:tcW w:w="850" w:type="dxa"/>
          </w:tcPr>
          <w:p>
            <w:pPr/>
            <w:r>
              <w:t xml:space="preserve">Marco de pruebas automatizadas</w:t>
            </w:r>
          </w:p>
        </w:tc>
        <w:tc>
          <w:tcPr>
            <w:tcW w:w="8510" w:type="dxa"/>
          </w:tcPr>
          <w:p>
            <w:pPr/>
            <w:r>
              <w:rPr>
                <w:b/>
              </w:rPr>
              <w:t xml:space="preserve">xUnit para C#</w:t>
            </w:r>
            <w:r>
              <w:t xml:space="preserve">, decidido el 21-oct al generar la solución, sin librería de aserciones extra: cubre la caja y el servidor, por compartir el dominio. </w:t>
            </w:r>
            <w:r>
              <w:rPr>
                <w:b/>
              </w:rPr>
              <w:t xml:space="preserve">Por definir el de Dart</w:t>
            </w:r>
            <w:r>
              <w:t xml:space="preserve">, y el de extremo a extremo del panel Angular, que no prueba reglas sino interfaz</w:t>
            </w:r>
          </w:p>
        </w:tc>
      </w:tr>
      <w:tr>
        <w:tc>
          <w:tcPr>
            <w:tcW w:w="850" w:type="dxa"/>
          </w:tcPr>
          <w:p>
            <w:pPr/>
            <w:r>
              <w:t xml:space="preserve">Prueba de arquitectura</w:t>
            </w:r>
          </w:p>
        </w:tc>
        <w:tc>
          <w:tcPr>
            <w:tcW w:w="8510" w:type="dxa"/>
          </w:tcPr>
          <w:p>
            <w:pPr/>
            <w:r>
              <w:t xml:space="preserve">La regla de dependencia se comprueba en cada ejecución: ArchitectureRuleTests lee los .csproj y falla si algún proyecto declara una referencia que la regla prohíbe. Se verificó que falla de verdad, no solo que pasa</w:t>
            </w:r>
          </w:p>
        </w:tc>
      </w:tr>
      <w:tr>
        <w:tc>
          <w:tcPr>
            <w:tcW w:w="850" w:type="dxa"/>
          </w:tcPr>
          <w:p>
            <w:pPr/>
            <w:r>
              <w:t xml:space="preserve">Evidencias</w:t>
            </w:r>
          </w:p>
        </w:tc>
        <w:tc>
          <w:tcPr>
            <w:tcW w:w="8510" w:type="dxa"/>
          </w:tcPr>
          <w:p>
            <w:pPr/>
            <w:r>
              <w:t xml:space="preserve">Capturas y grabaciones guardadas en la carpeta de evidencias del repositorio</w:t>
            </w:r>
          </w:p>
        </w:tc>
      </w:tr>
    </w:tbl>
    <w:p>
      <w:pPr/>
      <w:r>
        <w:t xml:space="preserve">Datos de prueba</w:t>
      </w:r>
    </w:p>
    <w:tbl>
      <w:tblPr>
        <w:tblStyle w:val="TableGrid"/>
        <w:tblW w:w="0" w:type="auto"/>
        <w:tblLayout w:type="fixed"/>
        <w:tblLook w:val="04A0" w:firstRow="1" w:lastRow="0" w:firstColumn="0" w:lastColumn="0" w:noHBand="0" w:noVBand="1"/>
      </w:tblPr>
      <w:tblGrid>
        <w:gridCol w:w="1361"/>
        <w:gridCol w:w="2307"/>
        <w:gridCol w:w="5692"/>
      </w:tblGrid>
      <w:tr>
        <w:trPr>
          <w:tblHeader/>
        </w:trPr>
        <w:tc>
          <w:tcPr>
            <w:tcW w:w="1361" w:type="dxa"/>
            <w:shd w:val="clear" w:color="auto" w:fill="F2F2F2"/>
          </w:tcPr>
          <w:p>
            <w:pPr/>
            <w:r>
              <w:t xml:space="preserve">Origen</w:t>
            </w:r>
          </w:p>
        </w:tc>
        <w:tc>
          <w:tcPr>
            <w:tcW w:w="2307" w:type="dxa"/>
            <w:shd w:val="clear" w:color="auto" w:fill="F2F2F2"/>
          </w:tcPr>
          <w:p>
            <w:pPr/>
            <w:r>
              <w:t xml:space="preserve">Dato</w:t>
            </w:r>
          </w:p>
        </w:tc>
        <w:tc>
          <w:tcPr>
            <w:tcW w:w="5692" w:type="dxa"/>
            <w:shd w:val="clear" w:color="auto" w:fill="F2F2F2"/>
          </w:tcPr>
          <w:p>
            <w:pPr/>
            <w:r>
              <w:t xml:space="preserve">Uso</w:t>
            </w:r>
          </w:p>
        </w:tc>
      </w:tr>
      <w:tr>
        <w:tc>
          <w:tcPr>
            <w:tcW w:w="1361" w:type="dxa"/>
          </w:tcPr>
          <w:p>
            <w:pPr/>
            <w:r>
              <w:t xml:space="preserve">Copia de los DBF de producción</w:t>
            </w:r>
          </w:p>
        </w:tc>
        <w:tc>
          <w:tcPr>
            <w:tcW w:w="2307" w:type="dxa"/>
          </w:tcPr>
          <w:p>
            <w:pPr/>
            <w:r>
              <w:t xml:space="preserve">1,736 productos con su stock, su marca y sus precios</w:t>
            </w:r>
          </w:p>
        </w:tc>
        <w:tc>
          <w:tcPr>
            <w:tcW w:w="5692" w:type="dxa"/>
          </w:tcPr>
          <w:p>
            <w:pPr/>
            <w:r>
              <w:t xml:space="preserve">Pruebas de migración del catálogo. Las tablas de venta están en la copia pero </w:t>
            </w:r>
            <w:r>
              <w:rPr>
                <w:b/>
              </w:rPr>
              <w:t xml:space="preserve">no se importan</w:t>
            </w:r>
          </w:p>
        </w:tc>
      </w:tr>
      <w:tr>
        <w:tc>
          <w:tcPr>
            <w:tcW w:w="1361" w:type="dxa"/>
          </w:tcPr>
          <w:p>
            <w:pPr/>
            <w:r>
              <w:t xml:space="preserve">Grupos con descripción repetida</w:t>
            </w:r>
          </w:p>
        </w:tc>
        <w:tc>
          <w:tcPr>
            <w:tcW w:w="2307" w:type="dxa"/>
          </w:tcPr>
          <w:p>
            <w:pPr/>
            <w:r>
              <w:t xml:space="preserve">3 grupos, 6 fichas, medidos sobre el catálogo</w:t>
            </w:r>
          </w:p>
        </w:tc>
        <w:tc>
          <w:tcPr>
            <w:tcW w:w="5692" w:type="dxa"/>
          </w:tcPr>
          <w:p>
            <w:pPr/>
            <w:r>
              <w:t xml:space="preserve">Los casos reales de M18. Se revisan con el negocio, no se fusionan automáticamente</w:t>
            </w:r>
          </w:p>
        </w:tc>
      </w:tr>
      <w:tr>
        <w:tc>
          <w:tcPr>
            <w:tcW w:w="1361" w:type="dxa"/>
          </w:tcPr>
          <w:p>
            <w:pPr/>
            <w:r>
              <w:t xml:space="preserve">Pares que se parecen pero son distintos</w:t>
            </w:r>
          </w:p>
        </w:tc>
        <w:tc>
          <w:tcPr>
            <w:tcW w:w="2307" w:type="dxa"/>
          </w:tcPr>
          <w:p>
            <w:pPr/>
            <w:r>
              <w:t xml:space="preserve">48 pares con más del 90 % de similitud, casi todos diferenciados por dosis o tamaño</w:t>
            </w:r>
          </w:p>
        </w:tc>
        <w:tc>
          <w:tcPr>
            <w:tcW w:w="5692" w:type="dxa"/>
          </w:tcPr>
          <w:p>
            <w:pPr/>
            <w:r>
              <w:rPr>
                <w:b/>
              </w:rPr>
              <w:t xml:space="preserve">Pruebas negativas de M18</w:t>
            </w:r>
            <w:r>
              <w:t xml:space="preserve">: ninguno debe fusionarse. Es el conjunto que protege el catálogo</w:t>
            </w:r>
          </w:p>
        </w:tc>
      </w:tr>
      <w:tr>
        <w:tc>
          <w:tcPr>
            <w:tcW w:w="1361" w:type="dxa"/>
          </w:tcPr>
          <w:p>
            <w:pPr/>
            <w:r>
              <w:t xml:space="preserve">Productos con precio de venta menor que el costo</w:t>
            </w:r>
          </w:p>
        </w:tc>
        <w:tc>
          <w:tcPr>
            <w:tcW w:w="2307" w:type="dxa"/>
          </w:tcPr>
          <w:p>
            <w:pPr/>
            <w:r>
              <w:t xml:space="preserve">341 productos</w:t>
            </w:r>
          </w:p>
        </w:tc>
        <w:tc>
          <w:tcPr>
            <w:tcW w:w="5692" w:type="dxa"/>
          </w:tcPr>
          <w:p>
            <w:pPr/>
            <w:r>
              <w:t xml:space="preserve">Reportes de rentabilidad: verificar que el sistema lo señale en lugar de ocultarlo. Son además los que el negocio corrige desde la hoja Excel que se le entrega, así que sirven para probar la actualización masiva de precios</w:t>
            </w:r>
          </w:p>
        </w:tc>
      </w:tr>
      <w:tr>
        <w:tc>
          <w:tcPr>
            <w:tcW w:w="1361" w:type="dxa"/>
          </w:tcPr>
          <w:p>
            <w:pPr/>
            <w:r>
              <w:t xml:space="preserve">Descripciones de medicamentos conocidos</w:t>
            </w:r>
          </w:p>
        </w:tc>
        <w:tc>
          <w:tcPr>
            <w:tcW w:w="2307" w:type="dxa"/>
          </w:tcPr>
          <w:p>
            <w:pPr/>
            <w:r>
              <w:t xml:space="preserve">tomadas del catálogo real</w:t>
            </w:r>
          </w:p>
        </w:tc>
        <w:tc>
          <w:tcPr>
            <w:tcW w:w="5692" w:type="dxa"/>
          </w:tcPr>
          <w:p>
            <w:pPr/>
            <w:r>
              <w:rPr>
                <w:b/>
              </w:rPr>
              <w:t xml:space="preserve">Prueba negativa de M21</w:t>
            </w:r>
            <w:r>
              <w:t xml:space="preserve">: ninguna debe quedar clasificada fuera de la categoría Medicamentos</w:t>
            </w:r>
          </w:p>
        </w:tc>
      </w:tr>
      <w:tr>
        <w:tc>
          <w:tcPr>
            <w:tcW w:w="1361" w:type="dxa"/>
          </w:tcPr>
          <w:p>
            <w:pPr/>
            <w:r>
              <w:t xml:space="preserve">Productos con stock cero</w:t>
            </w:r>
          </w:p>
        </w:tc>
        <w:tc>
          <w:tcPr>
            <w:tcW w:w="2307" w:type="dxa"/>
          </w:tcPr>
          <w:p>
            <w:pPr/>
            <w:r>
              <w:t xml:space="preserve">513, el 30 % del catálogo</w:t>
            </w:r>
          </w:p>
        </w:tc>
        <w:tc>
          <w:tcPr>
            <w:tcW w:w="5692" w:type="dxa"/>
          </w:tcPr>
          <w:p>
            <w:pPr/>
            <w:r>
              <w:t xml:space="preserve">Migración del stock y comportamiento de la caja al vender un producto sin existencias</w:t>
            </w:r>
          </w:p>
        </w:tc>
      </w:tr>
      <w:tr>
        <w:tc>
          <w:tcPr>
            <w:tcW w:w="1361" w:type="dxa"/>
          </w:tcPr>
          <w:p>
            <w:pPr/>
            <w:r>
              <w:t xml:space="preserve">Vencimientos del relleno en bloque</w:t>
            </w:r>
          </w:p>
        </w:tc>
        <w:tc>
          <w:tcPr>
            <w:tcW w:w="2307" w:type="dxa"/>
          </w:tcPr>
          <w:p>
            <w:pPr/>
            <w:r>
              <w:t xml:space="preserve">1,719 de 1,736 con fecha de 2019 o anterior</w:t>
            </w:r>
          </w:p>
        </w:tc>
        <w:tc>
          <w:tcPr>
            <w:tcW w:w="5692" w:type="dxa"/>
          </w:tcPr>
          <w:p>
            <w:pPr/>
            <w:r>
              <w:t xml:space="preserve">Que entren marcados como no confiables y que </w:t>
            </w:r>
            <w:r>
              <w:rPr>
                <w:b/>
              </w:rPr>
              <w:t xml:space="preserve">no disparen alertas</w:t>
            </w:r>
            <w:r>
              <w:t xml:space="preserve"> hasta ser verificados. Es el riesgo R19</w:t>
            </w:r>
          </w:p>
        </w:tc>
      </w:tr>
      <w:tr>
        <w:tc>
          <w:tcPr>
            <w:tcW w:w="1361" w:type="dxa"/>
          </w:tcPr>
          <w:p>
            <w:pPr/>
            <w:r>
              <w:t xml:space="preserve">Importes en letras mal escritos por el sistema actual</w:t>
            </w:r>
          </w:p>
        </w:tc>
        <w:tc>
          <w:tcPr>
            <w:tcW w:w="2307" w:type="dxa"/>
          </w:tcPr>
          <w:p>
            <w:pPr/>
            <w:r>
              <w:t xml:space="preserve">146 comprobantes, con los casos de 200, 300, 400, 600, 700 y 800</w:t>
            </w:r>
          </w:p>
        </w:tc>
        <w:tc>
          <w:tcPr>
            <w:tcW w:w="5692" w:type="dxa"/>
          </w:tcPr>
          <w:p>
            <w:pPr/>
            <w:r>
              <w:rPr>
                <w:b/>
              </w:rPr>
              <w:t xml:space="preserve">Casos de referencia conocidos</w:t>
            </w:r>
            <w:r>
              <w:t xml:space="preserve">, no datos a migrar: se usan para comprobar que la función nueva los escribe bien</w:t>
            </w:r>
          </w:p>
        </w:tc>
      </w:tr>
      <w:tr>
        <w:tc>
          <w:tcPr>
            <w:tcW w:w="1361" w:type="dxa"/>
          </w:tcPr>
          <w:p>
            <w:pPr/>
            <w:r>
              <w:t xml:space="preserve">Catálogo de prueba</w:t>
            </w:r>
          </w:p>
        </w:tc>
        <w:tc>
          <w:tcPr>
            <w:tcW w:w="2307" w:type="dxa"/>
          </w:tcPr>
          <w:p>
            <w:pPr/>
            <w:r>
              <w:t xml:space="preserve">Productos con y sin código de barras, con lote y vencimiento, medicamento y no medicamento</w:t>
            </w:r>
          </w:p>
        </w:tc>
        <w:tc>
          <w:tcPr>
            <w:tcW w:w="5692" w:type="dxa"/>
          </w:tcPr>
          <w:p>
            <w:pPr/>
            <w:r>
              <w:t xml:space="preserve">Venta en caja y móvil</w:t>
            </w:r>
          </w:p>
        </w:tc>
      </w:tr>
      <w:tr>
        <w:tc>
          <w:tcPr>
            <w:tcW w:w="1361" w:type="dxa"/>
          </w:tcPr>
          <w:p>
            <w:pPr/>
            <w:r>
              <w:t xml:space="preserve">Cuentas de prueba</w:t>
            </w:r>
          </w:p>
        </w:tc>
        <w:tc>
          <w:tcPr>
            <w:tcW w:w="2307" w:type="dxa"/>
          </w:tcPr>
          <w:p>
            <w:pPr/>
            <w:r>
              <w:t xml:space="preserve">Una por rol: cajero, almacén, administrador</w:t>
            </w:r>
          </w:p>
        </w:tc>
        <w:tc>
          <w:tcPr>
            <w:tcW w:w="5692" w:type="dxa"/>
          </w:tcPr>
          <w:p>
            <w:pPr/>
            <w:r>
              <w:t xml:space="preserve">Autenticación y permisos</w:t>
            </w:r>
          </w:p>
        </w:tc>
      </w:tr>
      <w:tr>
        <w:tc>
          <w:tcPr>
            <w:tcW w:w="1361" w:type="dxa"/>
          </w:tcPr>
          <w:p>
            <w:pPr/>
            <w:r>
              <w:t xml:space="preserve">Archivos de ejemplo de los anexos de SUNAT</w:t>
            </w:r>
          </w:p>
        </w:tc>
        <w:tc>
          <w:tcPr>
            <w:tcW w:w="2307" w:type="dxa"/>
          </w:tcPr>
          <w:p>
            <w:pPr/>
            <w:r>
              <w:t xml:space="preserve">Estructuras de comprobante válidas e inválidas, y respuestas de aceptación y de rechazo</w:t>
            </w:r>
          </w:p>
        </w:tc>
        <w:tc>
          <w:tcPr>
            <w:tcW w:w="5692" w:type="dxa"/>
          </w:tcPr>
          <w:p>
            <w:pPr/>
            <w:r>
              <w:t xml:space="preserve">El contrato de archivos con el Facturador, incluidos los casos de rechazo</w:t>
            </w:r>
          </w:p>
        </w:tc>
      </w:tr>
    </w:tbl>
    <w:p>
      <w:pPr/>
      <w:r>
        <w:t xml:space="preserve">Dos reglas sobre los datos, ninguna negociable:</w:t>
      </w:r>
    </w:p>
    <w:p>
      <w:pPr>
        <w:pStyle w:val="ListParagraph"/>
        <w:numPr>
          <w:ilvl w:val="0"/>
          <w:numId w:val="2"/>
        </w:numPr>
      </w:pPr>
      <w:r>
        <w:rPr>
          <w:b/>
        </w:rPr>
        <w:t xml:space="preserve">Toda prueba se ejecuta sobre una copia.</w:t>
      </w:r>
      <w:r>
        <w:t xml:space="preserve"> La carpeta de datos de producción del sistema actual no se usa como entorno de pruebas en ningún caso.</w:t>
      </w:r>
    </w:p>
    <w:p>
      <w:pPr>
        <w:pStyle w:val="ListParagraph"/>
        <w:numPr>
          <w:ilvl w:val="0"/>
          <w:numId w:val="2"/>
        </w:numPr>
      </w:pPr>
      <w:r>
        <w:rPr>
          <w:b/>
        </w:rPr>
        <w:t xml:space="preserve">Las contraseñas no se migran y no se escriben en este documento.</w:t>
      </w:r>
      <w:r>
        <w:t xml:space="preserve"> El sistema actual guarda contraseñas que se satisfacen con un prefijo de un carácter, y una credencial maestra en claro dentro del ejecutable; esas credenciales se tratan como comprometidas. El sistema nuevo arranca con contraseñas nuevas.</w:t>
      </w:r>
    </w:p>
    <w:p>
      <w:pPr>
        <w:pStyle w:val="Heading2"/>
      </w:pPr>
      <w:r>
        <w:t xml:space="preserve">6. Criterios de entrada y de salida</w:t>
      </w:r>
    </w:p>
    <w:p>
      <w:pPr/>
      <w:r>
        <w:t xml:space="preserve">Los criterios dicen cuándo se puede empezar a probar y cuándo se puede dar por terminado el trabajo; sin ellos, "terminamos" es una opinión.</w:t>
      </w:r>
    </w:p>
    <w:p>
      <w:pPr/>
      <w:r>
        <w:t xml:space="preserve">Criterios de entrada (para empezar a ejecutar casos)</w:t>
      </w:r>
    </w:p>
    <w:p>
      <w:pPr>
        <w:pStyle w:val="ListParagraph"/>
        <w:numPr>
          <w:ilvl w:val="0"/>
          <w:numId w:val="3"/>
        </w:numPr>
      </w:pPr>
      <w:r>
        <w:t xml:space="preserve">Este documento de alcance está emitido y revisado.</w:t>
      </w:r>
    </w:p>
    <w:p>
      <w:pPr>
        <w:pStyle w:val="ListParagraph"/>
        <w:numPr>
          <w:ilvl w:val="0"/>
          <w:numId w:val="3"/>
        </w:numPr>
      </w:pPr>
      <w:r>
        <w:rPr>
          <w:b/>
        </w:rPr>
        <w:t xml:space="preserve">El respaldo externo de los datos de producción está hecho y verificado.</w:t>
      </w:r>
      <w:r>
        <w:t xml:space="preserve"> Es la precondición de todo: once años de ventas sin respaldo desde 2013.</w:t>
      </w:r>
    </w:p>
    <w:p>
      <w:pPr>
        <w:pStyle w:val="ListParagraph"/>
        <w:numPr>
          <w:ilvl w:val="0"/>
          <w:numId w:val="3"/>
        </w:numPr>
      </w:pPr>
      <w:r>
        <w:t xml:space="preserve">Las decisiones bloqueantes están cerradas. </w:t>
      </w:r>
      <w:r>
        <w:rPr>
          <w:b/>
        </w:rPr>
        <w:t xml:space="preserve">Las quince lo están</w:t>
      </w:r>
      <w:r>
        <w:t xml:space="preserve">, incluido el número de cajas —2— y el canal de emisión. Lo que sigue abierto está declarado al final de la nota de decisiones del proyecto y </w:t>
      </w:r>
      <w:r>
        <w:rPr>
          <w:b/>
        </w:rPr>
        <w:t xml:space="preserve">nada de ello bloquea el diseño de casos</w:t>
      </w:r>
      <w:r>
        <w:t xml:space="preserve">, con una excepción: los plazos de la nota de crédito y de la comunicación de baja (riesgo R16).</w:t>
      </w:r>
    </w:p>
    <w:p>
      <w:pPr>
        <w:pStyle w:val="ListParagraph"/>
        <w:numPr>
          <w:ilvl w:val="0"/>
          <w:numId w:val="3"/>
        </w:numPr>
      </w:pPr>
      <w:r>
        <w:t xml:space="preserve">La prueba de impresión del ticket pasó. </w:t>
      </w:r>
      <w:r>
        <w:rPr>
          <w:b/>
        </w:rPr>
        <w:t xml:space="preserve">Ya no fija la tecnología de escritorio</w:t>
      </w:r>
      <w:r>
        <w:t xml:space="preserve"> —WPF está elegido y no hay plan B— sino cuál de los dos caminos de la impresora se usa, USB o Ethernet, que es lo que los casos de M03 necesitan saber.</w:t>
      </w:r>
    </w:p>
    <w:p>
      <w:pPr>
        <w:pStyle w:val="ListParagraph"/>
        <w:numPr>
          <w:ilvl w:val="0"/>
          <w:numId w:val="3"/>
        </w:numPr>
      </w:pPr>
      <w:r>
        <w:rPr>
          <w:b/>
        </w:rPr>
        <w:t xml:space="preserve">El Facturador acepta la serie y el número que la caja asigna</w:t>
      </w:r>
      <w:r>
        <w:t xml:space="preserve">, verificado. Si no fuera así, M03 se rediseña entero antes de escribir un caso.</w:t>
      </w:r>
    </w:p>
    <w:p>
      <w:pPr>
        <w:pStyle w:val="ListParagraph"/>
        <w:numPr>
          <w:ilvl w:val="0"/>
          <w:numId w:val="3"/>
        </w:numPr>
      </w:pPr>
      <w:r>
        <w:t xml:space="preserve">El </w:t>
      </w:r>
      <w:r>
        <w:rPr>
          <w:b/>
        </w:rPr>
        <w:t xml:space="preserve">Facturador SUNAT está instalado y corriendo</w:t>
      </w:r>
      <w:r>
        <w:t xml:space="preserve"> en el equipo de prueba, con el certificado cargado. Mientras no haya certificado, se entra solo a las pruebas de </w:t>
      </w:r>
      <w:r>
        <w:rPr>
          <w:b/>
        </w:rPr>
        <w:t xml:space="preserve">nuestro lado del contrato</w:t>
      </w:r>
      <w:r>
        <w:t xml:space="preserve">: que el archivo se escriba bien y que la respuesta se interprete bien, con respuestas simuladas.</w:t>
      </w:r>
    </w:p>
    <w:p>
      <w:pPr>
        <w:pStyle w:val="ListParagraph"/>
        <w:numPr>
          <w:ilvl w:val="0"/>
          <w:numId w:val="3"/>
        </w:numPr>
      </w:pPr>
      <w:r>
        <w:t xml:space="preserve">Existe un ambiente de pruebas, un repositorio y una integración continua que ejecuta las pruebas automatizadas.</w:t>
      </w:r>
    </w:p>
    <w:p>
      <w:pPr>
        <w:pStyle w:val="ListParagraph"/>
        <w:numPr>
          <w:ilvl w:val="0"/>
          <w:numId w:val="3"/>
        </w:numPr>
      </w:pPr>
      <w:r>
        <w:t xml:space="preserve">Existe la lista de requisitos contra la cual trazar los casos. En este proyecto es el documento de requisitos de la migración, por no existir otra especificación.</w:t>
      </w:r>
    </w:p>
    <w:p>
      <w:pPr/>
      <w:r>
        <w:t xml:space="preserve">Criterios de salida (para cerrar el trabajo de pruebas)</w:t>
      </w:r>
    </w:p>
    <w:p>
      <w:pPr>
        <w:pStyle w:val="ListParagraph"/>
        <w:numPr>
          <w:ilvl w:val="0"/>
          <w:numId w:val="4"/>
        </w:numPr>
      </w:pPr>
      <w:r>
        <w:t xml:space="preserve">El 100 % de los módulos de prioridad alta tiene casos de prueba diseñados y ejecutados.</w:t>
      </w:r>
    </w:p>
    <w:p>
      <w:pPr>
        <w:pStyle w:val="ListParagraph"/>
        <w:numPr>
          <w:ilvl w:val="0"/>
          <w:numId w:val="4"/>
        </w:numPr>
      </w:pPr>
      <w:r>
        <w:t xml:space="preserve">Cada requisito del documento de requisitos está vinculado a al menos un caso en la matriz de trazabilidad.</w:t>
      </w:r>
    </w:p>
    <w:p>
      <w:pPr>
        <w:pStyle w:val="ListParagraph"/>
        <w:numPr>
          <w:ilvl w:val="0"/>
          <w:numId w:val="4"/>
        </w:numPr>
      </w:pPr>
      <w:r>
        <w:t xml:space="preserve">El dominio y el motor de sincronización tienen pruebas automatizadas en verde, con </w:t>
      </w:r>
      <w:r>
        <w:rPr>
          <w:b/>
        </w:rPr>
        <w:t xml:space="preserve">95 % de cobertura como mínimo</w:t>
      </w:r>
      <w:r>
        <w:t xml:space="preserve">, </w:t>
      </w:r>
      <w:r>
        <w:rPr>
          <w:b/>
        </w:rPr>
        <w:t xml:space="preserve">en los dos lenguajes</w:t>
      </w:r>
      <w:r>
        <w:t xml:space="preserve"> donde viven las reglas. No hay umbral numérico en interfaz ni en reportes, donde la cobertura mide poco; ahí el criterio es la </w:t>
      </w:r>
      <w:r>
        <w:rPr>
          <w:b/>
        </w:rPr>
        <w:t xml:space="preserve">lista de casos obligatorios</w:t>
      </w:r>
      <w:r>
        <w:t xml:space="preserve">: los dieciséis hallazgos, los trece casos límite de sincronización, el importe en letras de 200 a 800, los casos de rechazo del contrato de archivos, los 48 pares que no deben fusionarse y las descripciones de medicamento que no deben salir de su categoría.</w:t>
      </w:r>
    </w:p>
    <w:p>
      <w:pPr>
        <w:pStyle w:val="ListParagraph"/>
        <w:numPr>
          <w:ilvl w:val="0"/>
          <w:numId w:val="4"/>
        </w:numPr>
      </w:pPr>
      <w:r>
        <w:rPr>
          <w:b/>
        </w:rPr>
        <w:t xml:space="preserve">Las dos implementaciones del dominio dan el mismo resultado</w:t>
      </w:r>
      <w:r>
        <w:t xml:space="preserve"> sobre el conjunto de vectores que comparten —redondeo, derivación de stock, validación de cantidades—: coinciden al céntimo entre </w:t>
      </w:r>
      <w:r>
        <w:rPr>
          <w:b/>
        </w:rPr>
        <w:t xml:space="preserve">C# y Dart</w:t>
      </w:r>
      <w:r>
        <w:t xml:space="preserve">.</w:t>
      </w:r>
    </w:p>
    <w:p>
      <w:pPr>
        <w:pStyle w:val="ListParagraph"/>
        <w:numPr>
          <w:ilvl w:val="0"/>
          <w:numId w:val="4"/>
        </w:numPr>
      </w:pPr>
      <w:r>
        <w:rPr>
          <w:b/>
        </w:rPr>
        <w:t xml:space="preserve">Ninguna caja de las dos sedes recibió una serie ya asignada a otra</w:t>
      </w:r>
      <w:r>
        <w:t xml:space="preserve">, y la consolidación de las dos sedes cuadra contra la suma de lo que cada una emitió.</w:t>
      </w:r>
    </w:p>
    <w:p>
      <w:pPr>
        <w:pStyle w:val="ListParagraph"/>
        <w:numPr>
          <w:ilvl w:val="0"/>
          <w:numId w:val="4"/>
        </w:numPr>
      </w:pPr>
      <w:r>
        <w:t xml:space="preserve">Los trece casos límite de sincronización están cubiertos y pasan, incluido el más peligroso: una base local restaurada de una copia antigua, que debe quedar bloqueada y no reemitir números ya usados.</w:t>
      </w:r>
    </w:p>
    <w:p>
      <w:pPr>
        <w:pStyle w:val="ListParagraph"/>
        <w:numPr>
          <w:ilvl w:val="0"/>
          <w:numId w:val="4"/>
        </w:numPr>
      </w:pPr>
      <w:r>
        <w:t xml:space="preserve">Los dieciséis hallazgos del sistema actual tienen un caso de regresión que demuestra que no se reproducen.</w:t>
      </w:r>
    </w:p>
    <w:p>
      <w:pPr>
        <w:pStyle w:val="ListParagraph"/>
        <w:numPr>
          <w:ilvl w:val="0"/>
          <w:numId w:val="4"/>
        </w:numPr>
      </w:pPr>
      <w:r>
        <w:t xml:space="preserve">Las comprobaciones de la migración pasan de forma automatizada: </w:t>
      </w:r>
      <w:r>
        <w:rPr>
          <w:b/>
        </w:rPr>
        <w:t xml:space="preserve">los 1,736 productos llegaron con su código interno intacto</w:t>
      </w:r>
      <w:r>
        <w:t xml:space="preserve">, el stock total migrado coincide con el del origen, ninguna fusión perdió ni duplicó existencias, y </w:t>
      </w:r>
      <w:r>
        <w:rPr>
          <w:b/>
        </w:rPr>
        <w:t xml:space="preserve">ninguno de los 48 pares de productos distintos quedó fusionado</w:t>
      </w:r>
      <w:r>
        <w:t xml:space="preserve">.</w:t>
      </w:r>
    </w:p>
    <w:p>
      <w:pPr>
        <w:pStyle w:val="ListParagraph"/>
        <w:numPr>
          <w:ilvl w:val="0"/>
          <w:numId w:val="4"/>
        </w:numPr>
      </w:pPr>
      <w:r>
        <w:rPr>
          <w:b/>
        </w:rPr>
        <w:t xml:space="preserve">Todo saldo y todo vencimiento heredado está marcado como tal</w:t>
      </w:r>
      <w:r>
        <w:t xml:space="preserve">, y se distingue a la vista de uno verificado en la caja, el panel y los reportes. Las alertas de vencimiento </w:t>
      </w:r>
      <w:r>
        <w:rPr>
          <w:b/>
        </w:rPr>
        <w:t xml:space="preserve">no suenan</w:t>
      </w:r>
      <w:r>
        <w:t xml:space="preserve"> por datos sin verificar.</w:t>
      </w:r>
    </w:p>
    <w:p>
      <w:pPr>
        <w:pStyle w:val="ListParagraph"/>
        <w:numPr>
          <w:ilvl w:val="0"/>
          <w:numId w:val="4"/>
        </w:numPr>
      </w:pPr>
      <w:r>
        <w:rPr>
          <w:b/>
        </w:rPr>
        <w:t xml:space="preserve">Los 1,736 productos están clasificados en las 7 categorías</w:t>
      </w:r>
      <w:r>
        <w:t xml:space="preserve">, todo lo marcado como medicamento fue revisado por el negocio, y cada producto conserva si lo clasificó la IA o una persona.</w:t>
      </w:r>
    </w:p>
    <w:p>
      <w:pPr>
        <w:pStyle w:val="ListParagraph"/>
        <w:numPr>
          <w:ilvl w:val="0"/>
          <w:numId w:val="4"/>
        </w:numPr>
      </w:pPr>
      <w:r>
        <w:rPr>
          <w:b/>
        </w:rPr>
        <w:t xml:space="preserve">Los 341 precios por debajo del costo fueron actualizados por el negocio</w:t>
      </w:r>
      <w:r>
        <w:t xml:space="preserve">, o están señalados como margen negativo en el reporte de rentabilidad. Lo que no se admite es que pasen inadvertidos.</w:t>
      </w:r>
    </w:p>
    <w:p>
      <w:pPr>
        <w:pStyle w:val="ListParagraph"/>
        <w:numPr>
          <w:ilvl w:val="0"/>
          <w:numId w:val="4"/>
        </w:numPr>
      </w:pPr>
      <w:r>
        <w:rPr>
          <w:b/>
        </w:rPr>
        <w:t xml:space="preserve">Un ticket real se imprimió</w:t>
      </w:r>
      <w:r>
        <w:t xml:space="preserve"> en la impresora que usará la botica.</w:t>
      </w:r>
    </w:p>
    <w:p>
      <w:pPr>
        <w:pStyle w:val="ListParagraph"/>
        <w:numPr>
          <w:ilvl w:val="0"/>
          <w:numId w:val="4"/>
        </w:numPr>
      </w:pPr>
      <w:r>
        <w:rPr>
          <w:b/>
        </w:rPr>
        <w:t xml:space="preserve">Una boleta y una factura fueron aceptadas por SUNAT</w:t>
      </w:r>
      <w:r>
        <w:t xml:space="preserve">, con su constancia de recepción, emitidas a través del Facturador desde una venta real de la caja. Y el </w:t>
      </w:r>
      <w:r>
        <w:rPr>
          <w:b/>
        </w:rPr>
        <w:t xml:space="preserve">resumen diario de boletas</w:t>
      </w:r>
      <w:r>
        <w:t xml:space="preserve"> fue aceptado.</w:t>
      </w:r>
    </w:p>
    <w:p>
      <w:pPr>
        <w:pStyle w:val="ListParagraph"/>
        <w:numPr>
          <w:ilvl w:val="0"/>
          <w:numId w:val="4"/>
        </w:numPr>
      </w:pPr>
      <w:r>
        <w:rPr>
          <w:b/>
        </w:rPr>
        <w:t xml:space="preserve">La reconciliación entre la base de la caja y la del Facturador no muestra diferencias</w:t>
      </w:r>
      <w:r>
        <w:t xml:space="preserve">: ni un comprobante emitido que falte allí, ni uno allí que la caja no conozca.</w:t>
      </w:r>
    </w:p>
    <w:p>
      <w:pPr>
        <w:pStyle w:val="ListParagraph"/>
        <w:numPr>
          <w:ilvl w:val="0"/>
          <w:numId w:val="4"/>
        </w:numPr>
      </w:pPr>
      <w:r>
        <w:rPr>
          <w:b/>
        </w:rPr>
        <w:t xml:space="preserve">Una restauración de respaldo se ejecutó y se verificó.</w:t>
      </w:r>
      <w:r>
        <w:t xml:space="preserve"> Un respaldo que no se ha restaurado no es un respaldo.</w:t>
      </w:r>
    </w:p>
    <w:p>
      <w:pPr>
        <w:pStyle w:val="ListParagraph"/>
        <w:numPr>
          <w:ilvl w:val="0"/>
          <w:numId w:val="4"/>
        </w:numPr>
      </w:pPr>
      <w:r>
        <w:rPr>
          <w:b/>
        </w:rPr>
        <w:t xml:space="preserve">La capacitación y las pruebas de aceptación de un turno completo se ejecutaron con el personal que opera la caja hoy</w:t>
      </w:r>
      <w:r>
        <w:t xml:space="preserve">, y sus observaciones están registradas y resueltas o aceptadas.</w:t>
      </w:r>
    </w:p>
    <w:p>
      <w:pPr/>
      <w:r>
        <w:t xml:space="preserve">&gt; [!warning] Este criterio sustituye a uno que se retira, y conviene saber qué se pierde</w:t>
      </w:r>
    </w:p>
    <w:p>
      <w:pPr/>
      <w:r>
        <w:t xml:space="preserve">&gt; Hasta la v1.3 el último criterio de salida era que </w:t>
      </w:r>
      <w:r>
        <w:rPr>
          <w:b/>
        </w:rPr>
        <w:t xml:space="preserve">las ventas del día coincidieran entre los dos sistemas</w:t>
      </w:r>
      <w:r>
        <w:t xml:space="preserve"> durante unos días de operación en paralelo. La decisión del 20-oct lo hace imposible: </w:t>
      </w:r>
      <w:r>
        <w:rPr>
          <w:b/>
        </w:rPr>
        <w:t xml:space="preserve">no habrá convivencia</w:t>
      </w:r>
      <w:r>
        <w:t xml:space="preserve">, el sistema viejo deja de funcionar en cuanto entre el nuevo.</w:t>
      </w:r>
    </w:p>
    <w:p>
      <w:pPr/>
      <w:r>
        <w:t xml:space="preserve">&gt;</w:t>
      </w:r>
    </w:p>
    <w:p>
      <w:pPr/>
      <w:r>
        <w:t xml:space="preserve">&gt; Con el histórico sin migrar y sin operación en paralelo, </w:t>
      </w:r>
      <w:r>
        <w:rPr>
          <w:b/>
        </w:rPr>
        <w:t xml:space="preserve">no queda ninguna comprobación que contraste el sistema nuevo contra el viejo</w:t>
      </w:r>
      <w:r>
        <w:t xml:space="preserve">. Nada de lo que se ejecute después del corte puede descubrir un error de cálculo comparándolo con el comportamiento anterior.</w:t>
      </w:r>
    </w:p>
    <w:p>
      <w:pPr/>
      <w:r>
        <w:t xml:space="preserve">&gt;</w:t>
      </w:r>
    </w:p>
    <w:p>
      <w:pPr/>
      <w:r>
        <w:t xml:space="preserve">&gt; Eso traslada todo el peso a lo que se puede probar </w:t>
      </w:r>
      <w:r>
        <w:rPr>
          <w:b/>
        </w:rPr>
        <w:t xml:space="preserve">antes</w:t>
      </w:r>
      <w:r>
        <w:t xml:space="preserve">: las pruebas de aceptación de un turno completo, la suite de regresión de los dieciséis hallazgos, y la conformidad del dominio entre C# y Dart. No es una pérdida que se pueda compensar con más pruebas de otro tipo; es una red de seguridad que desaparece y hay que decirlo.</w:t>
      </w:r>
    </w:p>
    <w:p>
      <w:pPr>
        <w:pStyle w:val="ListParagraph"/>
        <w:numPr>
          <w:ilvl w:val="0"/>
          <w:numId w:val="5"/>
        </w:numPr>
      </w:pPr>
      <w:r>
        <w:t xml:space="preserve">No quedan defectos de severidad crítica abiertos, y los conocidos no corregidos están documentados con su justificación.</w:t>
      </w:r>
    </w:p>
    <w:p>
      <w:pPr>
        <w:pStyle w:val="Heading2"/>
      </w:pPr>
      <w:r>
        <w:t xml:space="preserve">7. Riesgos y supuestos</w:t>
      </w:r>
    </w:p>
    <w:p>
      <w:pPr/>
      <w:r>
        <w:t xml:space="preserve">Riesgos del trabajo de pruebas</w:t>
      </w:r>
    </w:p>
    <w:tbl>
      <w:tblPr>
        <w:tblStyle w:val="TableGrid"/>
        <w:tblW w:w="0" w:type="auto"/>
        <w:tblLayout w:type="fixed"/>
        <w:tblLook w:val="04A0" w:firstRow="1" w:lastRow="0" w:firstColumn="0" w:lastColumn="0" w:noHBand="0" w:noVBand="1"/>
      </w:tblPr>
      <w:tblGrid>
        <w:gridCol w:w="850"/>
        <w:gridCol w:w="1493"/>
        <w:gridCol w:w="850"/>
        <w:gridCol w:w="850"/>
        <w:gridCol w:w="5317"/>
      </w:tblGrid>
      <w:tr>
        <w:trPr>
          <w:tblHeader/>
        </w:trPr>
        <w:tc>
          <w:tcPr>
            <w:tcW w:w="850" w:type="dxa"/>
            <w:shd w:val="clear" w:color="auto" w:fill="F2F2F2"/>
          </w:tcPr>
          <w:p>
            <w:pPr/>
            <w:r>
              <w:t xml:space="preserve">Código</w:t>
            </w:r>
          </w:p>
        </w:tc>
        <w:tc>
          <w:tcPr>
            <w:tcW w:w="1493" w:type="dxa"/>
            <w:shd w:val="clear" w:color="auto" w:fill="F2F2F2"/>
          </w:tcPr>
          <w:p>
            <w:pPr/>
            <w:r>
              <w:t xml:space="preserve">Riesgo</w:t>
            </w:r>
          </w:p>
        </w:tc>
        <w:tc>
          <w:tcPr>
            <w:tcW w:w="850" w:type="dxa"/>
            <w:shd w:val="clear" w:color="auto" w:fill="F2F2F2"/>
          </w:tcPr>
          <w:p>
            <w:pPr/>
            <w:r>
              <w:t xml:space="preserve">Probabilidad</w:t>
            </w:r>
          </w:p>
        </w:tc>
        <w:tc>
          <w:tcPr>
            <w:tcW w:w="850" w:type="dxa"/>
            <w:shd w:val="clear" w:color="auto" w:fill="F2F2F2"/>
          </w:tcPr>
          <w:p>
            <w:pPr/>
            <w:r>
              <w:t xml:space="preserve">Impacto</w:t>
            </w:r>
          </w:p>
        </w:tc>
        <w:tc>
          <w:tcPr>
            <w:tcW w:w="5317" w:type="dxa"/>
            <w:shd w:val="clear" w:color="auto" w:fill="F2F2F2"/>
          </w:tcPr>
          <w:p>
            <w:pPr/>
            <w:r>
              <w:t xml:space="preserve">Mitigación</w:t>
            </w:r>
          </w:p>
        </w:tc>
      </w:tr>
      <w:tr>
        <w:tc>
          <w:tcPr>
            <w:tcW w:w="850" w:type="dxa"/>
          </w:tcPr>
          <w:p>
            <w:pPr/>
            <w:r>
              <w:t xml:space="preserve">R01</w:t>
            </w:r>
          </w:p>
        </w:tc>
        <w:tc>
          <w:tcPr>
            <w:tcW w:w="1493" w:type="dxa"/>
          </w:tcPr>
          <w:p>
            <w:pPr/>
            <w:r>
              <w:t xml:space="preserve">No hay nada que ejecutar al inicio: el sistema está en diseño</w:t>
            </w:r>
          </w:p>
        </w:tc>
        <w:tc>
          <w:tcPr>
            <w:tcW w:w="850" w:type="dxa"/>
          </w:tcPr>
          <w:p>
            <w:pPr/>
            <w:r>
              <w:t xml:space="preserve">Alta</w:t>
            </w:r>
          </w:p>
        </w:tc>
        <w:tc>
          <w:tcPr>
            <w:tcW w:w="850" w:type="dxa"/>
          </w:tcPr>
          <w:p>
            <w:pPr/>
            <w:r>
              <w:t xml:space="preserve">Alto</w:t>
            </w:r>
          </w:p>
        </w:tc>
        <w:tc>
          <w:tcPr>
            <w:tcW w:w="5317" w:type="dxa"/>
          </w:tcPr>
          <w:p>
            <w:pPr/>
            <w:r>
              <w:t xml:space="preserve">Empezar por lo que sí se puede probar sin aplicación: el dominio, el importador de datos y el protocolo de sincronización, todos ellos automatizables</w:t>
            </w:r>
          </w:p>
        </w:tc>
      </w:tr>
      <w:tr>
        <w:tc>
          <w:tcPr>
            <w:tcW w:w="850" w:type="dxa"/>
          </w:tcPr>
          <w:p>
            <w:pPr/>
            <w:r>
              <w:t xml:space="preserve">R02</w:t>
            </w:r>
          </w:p>
        </w:tc>
        <w:tc>
          <w:tcPr>
            <w:tcW w:w="1493" w:type="dxa"/>
          </w:tcPr>
          <w:p>
            <w:pPr/>
            <w:r>
              <w:t xml:space="preserve">La impresora y el lector, ya elegidos, </w:t>
            </w:r>
            <w:r>
              <w:rPr>
                <w:b/>
              </w:rPr>
              <w:t xml:space="preserve">no están físicamente disponibles</w:t>
            </w:r>
            <w:r>
              <w:t xml:space="preserve"> para probar</w:t>
            </w:r>
          </w:p>
        </w:tc>
        <w:tc>
          <w:tcPr>
            <w:tcW w:w="850" w:type="dxa"/>
          </w:tcPr>
          <w:p>
            <w:pPr/>
            <w:r>
              <w:t xml:space="preserve">Media</w:t>
            </w:r>
          </w:p>
        </w:tc>
        <w:tc>
          <w:tcPr>
            <w:tcW w:w="850" w:type="dxa"/>
          </w:tcPr>
          <w:p>
            <w:pPr/>
            <w:r>
              <w:t xml:space="preserve">Alto</w:t>
            </w:r>
          </w:p>
        </w:tc>
        <w:tc>
          <w:tcPr>
            <w:tcW w:w="5317" w:type="dxa"/>
          </w:tcPr>
          <w:p>
            <w:pPr/>
            <w:r>
              <w:t xml:space="preserve">La elección está cerrada: 3nSTAR RPT004 y 3nStar SC310. Lo que falta es tenerlos en mano. Ya </w:t>
            </w:r>
            <w:r>
              <w:rPr>
                <w:b/>
              </w:rPr>
              <w:t xml:space="preserve">no decide la tecnología de escritorio</w:t>
            </w:r>
            <w:r>
              <w:t xml:space="preserve">, pero sí bloquea los casos de M03 y de compatibilidad de hardware. Confirmar la disponibilidad al inicio de la primera fase, y probar los dos caminos de la impresora</w:t>
            </w:r>
          </w:p>
        </w:tc>
      </w:tr>
      <w:tr>
        <w:tc>
          <w:tcPr>
            <w:tcW w:w="850" w:type="dxa"/>
          </w:tcPr>
          <w:p>
            <w:pPr/>
            <w:r>
              <w:t xml:space="preserve">R03</w:t>
            </w:r>
          </w:p>
        </w:tc>
        <w:tc>
          <w:tcPr>
            <w:tcW w:w="1493" w:type="dxa"/>
          </w:tcPr>
          <w:p>
            <w:pPr/>
            <w:r>
              <w:t xml:space="preserve">El certificado digital no está tramitado, y sin él M08 no se prueba de extremo a extremo</w:t>
            </w:r>
          </w:p>
        </w:tc>
        <w:tc>
          <w:tcPr>
            <w:tcW w:w="850" w:type="dxa"/>
          </w:tcPr>
          <w:p>
            <w:pPr/>
            <w:r>
              <w:t xml:space="preserve">Alta</w:t>
            </w:r>
          </w:p>
        </w:tc>
        <w:tc>
          <w:tcPr>
            <w:tcW w:w="850" w:type="dxa"/>
          </w:tcPr>
          <w:p>
            <w:pPr/>
            <w:r>
              <w:t xml:space="preserve">Alto</w:t>
            </w:r>
          </w:p>
        </w:tc>
        <w:tc>
          <w:tcPr>
            <w:tcW w:w="5317" w:type="dxa"/>
          </w:tcPr>
          <w:p>
            <w:pPr/>
            <w:r>
              <w:t xml:space="preserve">Iniciar el trámite del CDT en la primera fase: es gratuito pero tiene evaluación propia y varios requisitos sobre el estado del RUC. Mientras no esté, probar contra el ambiente de pruebas de SUNAT y con respuestas simuladas</w:t>
            </w:r>
          </w:p>
        </w:tc>
      </w:tr>
      <w:tr>
        <w:tc>
          <w:tcPr>
            <w:tcW w:w="850" w:type="dxa"/>
          </w:tcPr>
          <w:p>
            <w:pPr/>
            <w:r>
              <w:t xml:space="preserve">R04</w:t>
            </w:r>
          </w:p>
        </w:tc>
        <w:tc>
          <w:tcPr>
            <w:tcW w:w="1493" w:type="dxa"/>
          </w:tcPr>
          <w:p>
            <w:pPr/>
            <w:r>
              <w:t xml:space="preserve">~~Una decisión pendiente cambia la arquitectura y con ella el alcance~~ — </w:t>
            </w:r>
            <w:r>
              <w:rPr>
                <w:b/>
              </w:rPr>
              <w:t xml:space="preserve">el riesgo se materializó</w:t>
            </w:r>
          </w:p>
        </w:tc>
        <w:tc>
          <w:tcPr>
            <w:tcW w:w="850" w:type="dxa"/>
          </w:tcPr>
          <w:p>
            <w:pPr/>
            <w:r>
              <w:t xml:space="preserve">—</w:t>
            </w:r>
          </w:p>
        </w:tc>
        <w:tc>
          <w:tcPr>
            <w:tcW w:w="850" w:type="dxa"/>
          </w:tcPr>
          <w:p>
            <w:pPr/>
            <w:r>
              <w:t xml:space="preserve">—</w:t>
            </w:r>
          </w:p>
        </w:tc>
        <w:tc>
          <w:tcPr>
            <w:tcW w:w="5317" w:type="dxa"/>
          </w:tcPr>
          <w:p>
            <w:pPr/>
            <w:r>
              <w:t xml:space="preserve">Ocurrió lo previsto: cambiaron el stack de la caja y el número de locales, las dos cosas que este riesgo señalaba. </w:t>
            </w:r>
            <w:r>
              <w:rPr>
                <w:b/>
              </w:rPr>
              <w:t xml:space="preserve">Esta versión 1.3 es la reemisión</w:t>
            </w:r>
            <w:r>
              <w:t xml:space="preserve"> que la mitigación exigía. El riesgo se cierra porque las quince decisiones están cerradas; lo que queda abierto en el proyecto ya no afecta a la arquitectura. La lección se conserva: no diseñar casos sobre algo que todavía se está decidiendo</w:t>
            </w:r>
          </w:p>
        </w:tc>
      </w:tr>
      <w:tr>
        <w:tc>
          <w:tcPr>
            <w:tcW w:w="850" w:type="dxa"/>
          </w:tcPr>
          <w:p>
            <w:pPr/>
            <w:r>
              <w:t xml:space="preserve">R05</w:t>
            </w:r>
          </w:p>
        </w:tc>
        <w:tc>
          <w:tcPr>
            <w:tcW w:w="1493" w:type="dxa"/>
          </w:tcPr>
          <w:p>
            <w:pPr/>
            <w:r>
              <w:t xml:space="preserve">El stock negativo entre dos cajas desconectadas se reporta como defecto</w:t>
            </w:r>
          </w:p>
        </w:tc>
        <w:tc>
          <w:tcPr>
            <w:tcW w:w="850" w:type="dxa"/>
          </w:tcPr>
          <w:p>
            <w:pPr/>
            <w:r>
              <w:t xml:space="preserve">Alta</w:t>
            </w:r>
          </w:p>
        </w:tc>
        <w:tc>
          <w:tcPr>
            <w:tcW w:w="850" w:type="dxa"/>
          </w:tcPr>
          <w:p>
            <w:pPr/>
            <w:r>
              <w:t xml:space="preserve">Bajo</w:t>
            </w:r>
          </w:p>
        </w:tc>
        <w:tc>
          <w:tcPr>
            <w:tcW w:w="5317" w:type="dxa"/>
          </w:tcPr>
          <w:p>
            <w:pPr/>
            <w:r>
              <w:rPr>
                <w:b/>
              </w:rPr>
              <w:t xml:space="preserve">Es comportamiento declarado, no defecto.</w:t>
            </w:r>
            <w:r>
              <w:t xml:space="preserve"> Operar sin red y garantizar el stock son objetivos incompatibles; está documentado como límite del diseño y el sistema debe señalarlo, no evitarlo</w:t>
            </w:r>
          </w:p>
        </w:tc>
      </w:tr>
      <w:tr>
        <w:tc>
          <w:tcPr>
            <w:tcW w:w="850" w:type="dxa"/>
          </w:tcPr>
          <w:p>
            <w:pPr/>
            <w:r>
              <w:t xml:space="preserve">R06</w:t>
            </w:r>
          </w:p>
        </w:tc>
        <w:tc>
          <w:tcPr>
            <w:tcW w:w="1493" w:type="dxa"/>
          </w:tcPr>
          <w:p>
            <w:pPr/>
            <w:r>
              <w:t xml:space="preserve">Los casos límite de sincronización no se reproducen a mano de forma fiable</w:t>
            </w:r>
          </w:p>
        </w:tc>
        <w:tc>
          <w:tcPr>
            <w:tcW w:w="850" w:type="dxa"/>
          </w:tcPr>
          <w:p>
            <w:pPr/>
            <w:r>
              <w:t xml:space="preserve">Alta</w:t>
            </w:r>
          </w:p>
        </w:tc>
        <w:tc>
          <w:tcPr>
            <w:tcW w:w="850" w:type="dxa"/>
          </w:tcPr>
          <w:p>
            <w:pPr/>
            <w:r>
              <w:t xml:space="preserve">Alto</w:t>
            </w:r>
          </w:p>
        </w:tc>
        <w:tc>
          <w:tcPr>
            <w:tcW w:w="5317" w:type="dxa"/>
          </w:tcPr>
          <w:p>
            <w:pPr/>
            <w:r>
              <w:t xml:space="preserve">Automatizarlos. El conjunto de diez casos documentado es la especificación de pruebas del motor, no una lista de ideas</w:t>
            </w:r>
          </w:p>
        </w:tc>
      </w:tr>
      <w:tr>
        <w:tc>
          <w:tcPr>
            <w:tcW w:w="850" w:type="dxa"/>
          </w:tcPr>
          <w:p>
            <w:pPr/>
            <w:r>
              <w:t xml:space="preserve">R07</w:t>
            </w:r>
          </w:p>
        </w:tc>
        <w:tc>
          <w:tcPr>
            <w:tcW w:w="1493" w:type="dxa"/>
          </w:tcPr>
          <w:p>
            <w:pPr/>
            <w:r>
              <w:t xml:space="preserve">Una fusión de duplicados destruye productos legítimos</w:t>
            </w:r>
          </w:p>
        </w:tc>
        <w:tc>
          <w:tcPr>
            <w:tcW w:w="850" w:type="dxa"/>
          </w:tcPr>
          <w:p>
            <w:pPr/>
            <w:r>
              <w:t xml:space="preserve">Media</w:t>
            </w:r>
          </w:p>
        </w:tc>
        <w:tc>
          <w:tcPr>
            <w:tcW w:w="850" w:type="dxa"/>
          </w:tcPr>
          <w:p>
            <w:pPr/>
            <w:r>
              <w:rPr>
                <w:b/>
              </w:rPr>
              <w:t xml:space="preserve">Muy alto</w:t>
            </w:r>
          </w:p>
        </w:tc>
        <w:tc>
          <w:tcPr>
            <w:tcW w:w="5317" w:type="dxa"/>
          </w:tcPr>
          <w:p>
            <w:pPr/>
            <w:r>
              <w:t xml:space="preserve">Fusionar dos dosis distintas de un medicamento es un riesgo sanitario, no un error de catálogo. Nada se fusiona de forma automática: los 3 grupos reales se revisan con el negocio, y los 48 pares parecidos son la prueba negativa permanente</w:t>
            </w:r>
          </w:p>
        </w:tc>
      </w:tr>
      <w:tr>
        <w:tc>
          <w:tcPr>
            <w:tcW w:w="850" w:type="dxa"/>
          </w:tcPr>
          <w:p>
            <w:pPr/>
            <w:r>
              <w:t xml:space="preserve">R08</w:t>
            </w:r>
          </w:p>
        </w:tc>
        <w:tc>
          <w:tcPr>
            <w:tcW w:w="1493" w:type="dxa"/>
          </w:tcPr>
          <w:p>
            <w:pPr/>
            <w:r>
              <w:t xml:space="preserve">El catálogo sin reclasificar y los precios dudosos ensucian los reportes</w:t>
            </w:r>
          </w:p>
        </w:tc>
        <w:tc>
          <w:tcPr>
            <w:tcW w:w="850" w:type="dxa"/>
          </w:tcPr>
          <w:p>
            <w:pPr/>
            <w:r>
              <w:t xml:space="preserve">Alta</w:t>
            </w:r>
          </w:p>
        </w:tc>
        <w:tc>
          <w:tcPr>
            <w:tcW w:w="850" w:type="dxa"/>
          </w:tcPr>
          <w:p>
            <w:pPr/>
            <w:r>
              <w:t xml:space="preserve">Medio</w:t>
            </w:r>
          </w:p>
        </w:tc>
        <w:tc>
          <w:tcPr>
            <w:tcW w:w="5317" w:type="dxa"/>
          </w:tcPr>
          <w:p>
            <w:pPr/>
            <w:r>
              <w:t xml:space="preserve">Probar los reportes de rentabilidad con datos ya revisados por el negocio, o declarar la entrada como sucia en el propio reporte</w:t>
            </w:r>
          </w:p>
        </w:tc>
      </w:tr>
      <w:tr>
        <w:tc>
          <w:tcPr>
            <w:tcW w:w="850" w:type="dxa"/>
          </w:tcPr>
          <w:p>
            <w:pPr/>
            <w:r>
              <w:t xml:space="preserve">R09</w:t>
            </w:r>
          </w:p>
        </w:tc>
        <w:tc>
          <w:tcPr>
            <w:tcW w:w="1493" w:type="dxa"/>
          </w:tcPr>
          <w:p>
            <w:pPr/>
            <w:r>
              <w:t xml:space="preserve">No alcanza el tiempo para cubrir todos los módulos</w:t>
            </w:r>
          </w:p>
        </w:tc>
        <w:tc>
          <w:tcPr>
            <w:tcW w:w="850" w:type="dxa"/>
          </w:tcPr>
          <w:p>
            <w:pPr/>
            <w:r>
              <w:t xml:space="preserve">Media</w:t>
            </w:r>
          </w:p>
        </w:tc>
        <w:tc>
          <w:tcPr>
            <w:tcW w:w="850" w:type="dxa"/>
          </w:tcPr>
          <w:p>
            <w:pPr/>
            <w:r>
              <w:t xml:space="preserve">Alto</w:t>
            </w:r>
          </w:p>
        </w:tc>
        <w:tc>
          <w:tcPr>
            <w:tcW w:w="5317" w:type="dxa"/>
          </w:tcPr>
          <w:p>
            <w:pPr/>
            <w:r>
              <w:t xml:space="preserve">Cubrir primero los de prioridad alta y </w:t>
            </w:r>
            <w:r>
              <w:rPr>
                <w:b/>
              </w:rPr>
              <w:t xml:space="preserve">declarar expresamente lo no cubierto</w:t>
            </w:r>
            <w:r>
              <w:t xml:space="preserve">, módulo por módulo</w:t>
            </w:r>
          </w:p>
        </w:tc>
      </w:tr>
      <w:tr>
        <w:tc>
          <w:tcPr>
            <w:tcW w:w="850" w:type="dxa"/>
          </w:tcPr>
          <w:p>
            <w:pPr/>
            <w:r>
              <w:t xml:space="preserve">R10</w:t>
            </w:r>
          </w:p>
        </w:tc>
        <w:tc>
          <w:tcPr>
            <w:tcW w:w="1493" w:type="dxa"/>
          </w:tcPr>
          <w:p>
            <w:pPr/>
            <w:r>
              <w:t xml:space="preserve">Los casos quedan sin vincular a un requisito</w:t>
            </w:r>
          </w:p>
        </w:tc>
        <w:tc>
          <w:tcPr>
            <w:tcW w:w="850" w:type="dxa"/>
          </w:tcPr>
          <w:p>
            <w:pPr/>
            <w:r>
              <w:t xml:space="preserve">Media</w:t>
            </w:r>
          </w:p>
        </w:tc>
        <w:tc>
          <w:tcPr>
            <w:tcW w:w="850" w:type="dxa"/>
          </w:tcPr>
          <w:p>
            <w:pPr/>
            <w:r>
              <w:t xml:space="preserve">Alto</w:t>
            </w:r>
          </w:p>
        </w:tc>
        <w:tc>
          <w:tcPr>
            <w:tcW w:w="5317" w:type="dxa"/>
          </w:tcPr>
          <w:p>
            <w:pPr/>
            <w:r>
              <w:t xml:space="preserve">Construir la matriz de trazabilidad mientras se diseñan los casos, no al final</w:t>
            </w:r>
          </w:p>
        </w:tc>
      </w:tr>
      <w:tr>
        <w:tc>
          <w:tcPr>
            <w:tcW w:w="850" w:type="dxa"/>
          </w:tcPr>
          <w:p>
            <w:pPr/>
            <w:r>
              <w:t xml:space="preserve">R11</w:t>
            </w:r>
          </w:p>
        </w:tc>
        <w:tc>
          <w:tcPr>
            <w:tcW w:w="1493" w:type="dxa"/>
          </w:tcPr>
          <w:p>
            <w:pPr/>
            <w:r>
              <w:t xml:space="preserve">Alguien ejecuta una prueba sobre los datos de producción</w:t>
            </w:r>
          </w:p>
        </w:tc>
        <w:tc>
          <w:tcPr>
            <w:tcW w:w="850" w:type="dxa"/>
          </w:tcPr>
          <w:p>
            <w:pPr/>
            <w:r>
              <w:t xml:space="preserve">Baja</w:t>
            </w:r>
          </w:p>
        </w:tc>
        <w:tc>
          <w:tcPr>
            <w:tcW w:w="850" w:type="dxa"/>
          </w:tcPr>
          <w:p>
            <w:pPr/>
            <w:r>
              <w:t xml:space="preserve">Muy alto</w:t>
            </w:r>
          </w:p>
        </w:tc>
        <w:tc>
          <w:tcPr>
            <w:tcW w:w="5317" w:type="dxa"/>
          </w:tcPr>
          <w:p>
            <w:pPr/>
            <w:r>
              <w:t xml:space="preserve">Prohibido por la regla de la sección 5. El respaldo externo verificado es precondición de entrada precisamente por esto</w:t>
            </w:r>
          </w:p>
        </w:tc>
      </w:tr>
      <w:tr>
        <w:tc>
          <w:tcPr>
            <w:tcW w:w="850" w:type="dxa"/>
          </w:tcPr>
          <w:p>
            <w:pPr/>
            <w:r>
              <w:t xml:space="preserve">R12</w:t>
            </w:r>
          </w:p>
        </w:tc>
        <w:tc>
          <w:tcPr>
            <w:tcW w:w="1493" w:type="dxa"/>
          </w:tcPr>
          <w:p>
            <w:pPr/>
            <w:r>
              <w:t xml:space="preserve">Se prueba contra el documento de requisitos y no contra lo que el negocio espera</w:t>
            </w:r>
          </w:p>
        </w:tc>
        <w:tc>
          <w:tcPr>
            <w:tcW w:w="850" w:type="dxa"/>
          </w:tcPr>
          <w:p>
            <w:pPr/>
            <w:r>
              <w:t xml:space="preserve">Media</w:t>
            </w:r>
          </w:p>
        </w:tc>
        <w:tc>
          <w:tcPr>
            <w:tcW w:w="850" w:type="dxa"/>
          </w:tcPr>
          <w:p>
            <w:pPr/>
            <w:r>
              <w:t xml:space="preserve">Medio</w:t>
            </w:r>
          </w:p>
        </w:tc>
        <w:tc>
          <w:tcPr>
            <w:tcW w:w="5317" w:type="dxa"/>
          </w:tcPr>
          <w:p>
            <w:pPr/>
            <w:r>
              <w:t xml:space="preserve">Las pruebas de aceptación las recorre el personal que opera la caja hoy, no quien escribió los requisitos</w:t>
            </w:r>
          </w:p>
        </w:tc>
      </w:tr>
      <w:tr>
        <w:tc>
          <w:tcPr>
            <w:tcW w:w="850" w:type="dxa"/>
          </w:tcPr>
          <w:p>
            <w:pPr/>
            <w:r>
              <w:t xml:space="preserve">R13</w:t>
            </w:r>
          </w:p>
        </w:tc>
        <w:tc>
          <w:tcPr>
            <w:tcW w:w="1493" w:type="dxa"/>
          </w:tcPr>
          <w:p>
            <w:pPr/>
            <w:r>
              <w:t xml:space="preserve">El servidor Java del Facturador compite por recursos con la caja en hardware antiguo</w:t>
            </w:r>
          </w:p>
        </w:tc>
        <w:tc>
          <w:tcPr>
            <w:tcW w:w="850" w:type="dxa"/>
          </w:tcPr>
          <w:p>
            <w:pPr/>
            <w:r>
              <w:t xml:space="preserve">Media</w:t>
            </w:r>
          </w:p>
        </w:tc>
        <w:tc>
          <w:tcPr>
            <w:tcW w:w="850" w:type="dxa"/>
          </w:tcPr>
          <w:p>
            <w:pPr/>
            <w:r>
              <w:t xml:space="preserve">Alto</w:t>
            </w:r>
          </w:p>
        </w:tc>
        <w:tc>
          <w:tcPr>
            <w:tcW w:w="5317" w:type="dxa"/>
          </w:tcPr>
          <w:p>
            <w:pPr/>
            <w:r>
              <w:rPr>
                <w:b/>
              </w:rPr>
              <w:t xml:space="preserve">Vuelve a estar vivo.</w:t>
            </w:r>
            <w:r>
              <w:t xml:space="preserve"> Se consideró moverlo al VPS y se descartó, porque con varios clientes el proveedor tendría que custodiar el certificado de cada contribuyente. </w:t>
            </w:r>
            <w:r>
              <w:rPr>
                <w:b/>
              </w:rPr>
              <w:t xml:space="preserve">Medirlo en la primera fase</w:t>
            </w:r>
            <w:r>
              <w:t xml:space="preserve">, no suponerlo: consumo de memoria y tiempo de cobro con el Facturador corriendo. Si no cabe, se mueve a </w:t>
            </w:r>
            <w:r>
              <w:rPr>
                <w:b/>
              </w:rPr>
              <w:t xml:space="preserve">otro equipo de la red local del cliente</w:t>
            </w:r>
            <w:r>
              <w:t xml:space="preserve"> — nunca al VPS</w:t>
            </w:r>
          </w:p>
        </w:tc>
      </w:tr>
      <w:tr>
        <w:tc>
          <w:tcPr>
            <w:tcW w:w="850" w:type="dxa"/>
          </w:tcPr>
          <w:p>
            <w:pPr/>
            <w:r>
              <w:t xml:space="preserve">R14</w:t>
            </w:r>
          </w:p>
        </w:tc>
        <w:tc>
          <w:tcPr>
            <w:tcW w:w="1493" w:type="dxa"/>
          </w:tcPr>
          <w:p>
            <w:pPr/>
            <w:r>
              <w:t xml:space="preserve">La base de la caja y la del Facturador divergen sin que nadie lo note</w:t>
            </w:r>
          </w:p>
        </w:tc>
        <w:tc>
          <w:tcPr>
            <w:tcW w:w="850" w:type="dxa"/>
          </w:tcPr>
          <w:p>
            <w:pPr/>
            <w:r>
              <w:t xml:space="preserve">Media</w:t>
            </w:r>
          </w:p>
        </w:tc>
        <w:tc>
          <w:tcPr>
            <w:tcW w:w="850" w:type="dxa"/>
          </w:tcPr>
          <w:p>
            <w:pPr/>
            <w:r>
              <w:t xml:space="preserve">Alto</w:t>
            </w:r>
          </w:p>
        </w:tc>
        <w:tc>
          <w:tcPr>
            <w:tcW w:w="5317" w:type="dxa"/>
          </w:tcPr>
          <w:p>
            <w:pPr/>
            <w:r>
              <w:t xml:space="preserve">M17 existe por esto: reconciliación automática y visible en el panel, no una revisión manual que alguien recuerde hacer</w:t>
            </w:r>
          </w:p>
        </w:tc>
      </w:tr>
      <w:tr>
        <w:tc>
          <w:tcPr>
            <w:tcW w:w="850" w:type="dxa"/>
          </w:tcPr>
          <w:p>
            <w:pPr/>
            <w:r>
              <w:t xml:space="preserve">R15</w:t>
            </w:r>
          </w:p>
        </w:tc>
        <w:tc>
          <w:tcPr>
            <w:tcW w:w="1493" w:type="dxa"/>
          </w:tcPr>
          <w:p>
            <w:pPr/>
            <w:r>
              <w:t xml:space="preserve">El Facturador es una dependencia de SUNAT: cambia de versión, se rompe o se descontinúa, y no lo controlamos</w:t>
            </w:r>
          </w:p>
        </w:tc>
        <w:tc>
          <w:tcPr>
            <w:tcW w:w="850" w:type="dxa"/>
          </w:tcPr>
          <w:p>
            <w:pPr/>
            <w:r>
              <w:t xml:space="preserve">Media</w:t>
            </w:r>
          </w:p>
        </w:tc>
        <w:tc>
          <w:tcPr>
            <w:tcW w:w="850" w:type="dxa"/>
          </w:tcPr>
          <w:p>
            <w:pPr/>
            <w:r>
              <w:t xml:space="preserve">Medio</w:t>
            </w:r>
          </w:p>
        </w:tc>
        <w:tc>
          <w:tcPr>
            <w:tcW w:w="5317" w:type="dxa"/>
          </w:tcPr>
          <w:p>
            <w:pPr/>
            <w:r>
              <w:rPr>
                <w:b/>
              </w:rPr>
              <w:t xml:space="preserve">Aislar la integración detrás de una interfaz propia</w:t>
            </w:r>
            <w:r>
              <w:t xml:space="preserve">, de modo que pasar a emisión propia no obligue a tocar la caja. Es una decisión de diseño que se toma ahora y cuesta poco</w:t>
            </w:r>
          </w:p>
        </w:tc>
      </w:tr>
      <w:tr>
        <w:tc>
          <w:tcPr>
            <w:tcW w:w="850" w:type="dxa"/>
          </w:tcPr>
          <w:p>
            <w:pPr/>
            <w:r>
              <w:t xml:space="preserve">R16</w:t>
            </w:r>
          </w:p>
        </w:tc>
        <w:tc>
          <w:tcPr>
            <w:tcW w:w="1493" w:type="dxa"/>
          </w:tcPr>
          <w:p>
            <w:pPr/>
            <w:r>
              <w:t xml:space="preserve">Los plazos de nota de crédito y de comunicación de baja se tomaron de fuentes comerciales que se contradicen</w:t>
            </w:r>
          </w:p>
        </w:tc>
        <w:tc>
          <w:tcPr>
            <w:tcW w:w="850" w:type="dxa"/>
          </w:tcPr>
          <w:p>
            <w:pPr/>
            <w:r>
              <w:t xml:space="preserve">Alta</w:t>
            </w:r>
          </w:p>
        </w:tc>
        <w:tc>
          <w:tcPr>
            <w:tcW w:w="850" w:type="dxa"/>
          </w:tcPr>
          <w:p>
            <w:pPr/>
            <w:r>
              <w:t xml:space="preserve">Alto</w:t>
            </w:r>
          </w:p>
        </w:tc>
        <w:tc>
          <w:tcPr>
            <w:tcW w:w="5317" w:type="dxa"/>
          </w:tcPr>
          <w:p>
            <w:pPr/>
            <w:r>
              <w:rPr>
                <w:b/>
              </w:rPr>
              <w:t xml:space="preserve">No diseñar casos con esas cifras.</w:t>
            </w:r>
            <w:r>
              <w:t xml:space="preserve"> Confirmar cada plazo en el portal de SUNAT o con un contador antes de escribir el caso de prueba</w:t>
            </w:r>
          </w:p>
        </w:tc>
      </w:tr>
      <w:tr>
        <w:tc>
          <w:tcPr>
            <w:tcW w:w="850" w:type="dxa"/>
          </w:tcPr>
          <w:p>
            <w:pPr/>
            <w:r>
              <w:t xml:space="preserve">R17</w:t>
            </w:r>
          </w:p>
        </w:tc>
        <w:tc>
          <w:tcPr>
            <w:tcW w:w="1493" w:type="dxa"/>
          </w:tcPr>
          <w:p>
            <w:pPr/>
            <w:r>
              <w:t xml:space="preserve">Las reglas de negocio, escritas en </w:t>
            </w:r>
            <w:r>
              <w:rPr>
                <w:b/>
              </w:rPr>
              <w:t xml:space="preserve">C# y en Dart</w:t>
            </w:r>
            <w:r>
              <w:t xml:space="preserve">, divergen entre sí</w:t>
            </w:r>
          </w:p>
        </w:tc>
        <w:tc>
          <w:tcPr>
            <w:tcW w:w="850" w:type="dxa"/>
          </w:tcPr>
          <w:p>
            <w:pPr/>
            <w:r>
              <w:rPr>
                <w:b/>
              </w:rPr>
              <w:t xml:space="preserve">Media</w:t>
            </w:r>
          </w:p>
        </w:tc>
        <w:tc>
          <w:tcPr>
            <w:tcW w:w="850" w:type="dxa"/>
          </w:tcPr>
          <w:p>
            <w:pPr/>
            <w:r>
              <w:t xml:space="preserve">Alto</w:t>
            </w:r>
          </w:p>
        </w:tc>
        <w:tc>
          <w:tcPr>
            <w:tcW w:w="5317" w:type="dxa"/>
          </w:tcPr>
          <w:p>
            <w:pPr/>
            <w:r>
              <w:t xml:space="preserve">Es la causa raíz que hundió al sistema anterior, donde la misma regla difería entre formularios y vistas. Baja de alta a media con el stack definitivo: la caja y el servidor </w:t>
            </w:r>
            <w:r>
              <w:rPr>
                <w:b/>
              </w:rPr>
              <w:t xml:space="preserve">comparten</w:t>
            </w:r>
            <w:r>
              <w:t xml:space="preserve"> el proyecto de dominio en C#, así que solo el móvil reimplementa, y no emite ni cobra. Mitigación: vectores en formato neutral ejecutados en los dos lenguajes, comparados al céntimo, y la regla de que ninguna regla compartida se da por terminada hasta estar en los dos</w:t>
            </w:r>
          </w:p>
        </w:tc>
      </w:tr>
      <w:tr>
        <w:tc>
          <w:tcPr>
            <w:tcW w:w="850" w:type="dxa"/>
          </w:tcPr>
          <w:p>
            <w:pPr/>
            <w:r>
              <w:t xml:space="preserve">R18</w:t>
            </w:r>
          </w:p>
        </w:tc>
        <w:tc>
          <w:tcPr>
            <w:tcW w:w="1493" w:type="dxa"/>
          </w:tcPr>
          <w:p>
            <w:pPr/>
            <w:r>
              <w:t xml:space="preserve">El ambiente de prueba es Windows 11 y el de producción será más antiguo</w:t>
            </w:r>
          </w:p>
        </w:tc>
        <w:tc>
          <w:tcPr>
            <w:tcW w:w="850" w:type="dxa"/>
          </w:tcPr>
          <w:p>
            <w:pPr/>
            <w:r>
              <w:t xml:space="preserve">Media</w:t>
            </w:r>
          </w:p>
        </w:tc>
        <w:tc>
          <w:tcPr>
            <w:tcW w:w="850" w:type="dxa"/>
          </w:tcPr>
          <w:p>
            <w:pPr/>
            <w:r>
              <w:t xml:space="preserve">Medio</w:t>
            </w:r>
          </w:p>
        </w:tc>
        <w:tc>
          <w:tcPr>
            <w:tcW w:w="5317" w:type="dxa"/>
          </w:tcPr>
          <w:p>
            <w:pPr/>
            <w:r>
              <w:t xml:space="preserve">Lo que va fluido en el equipo de prueba puede no ir en el de la tienda, sobre todo con el servidor Java del Facturador al lado. La prueba de consumo de recursos </w:t>
            </w:r>
            <w:r>
              <w:rPr>
                <w:b/>
              </w:rPr>
              <w:t xml:space="preserve">se repite sobre el equipo real</w:t>
            </w:r>
            <w:r>
              <w:t xml:space="preserve"> antes del corte</w:t>
            </w:r>
          </w:p>
        </w:tc>
      </w:tr>
      <w:tr>
        <w:tc>
          <w:tcPr>
            <w:tcW w:w="850" w:type="dxa"/>
          </w:tcPr>
          <w:p>
            <w:pPr/>
            <w:r>
              <w:t xml:space="preserve">R19</w:t>
            </w:r>
          </w:p>
        </w:tc>
        <w:tc>
          <w:tcPr>
            <w:tcW w:w="1493" w:type="dxa"/>
          </w:tcPr>
          <w:p>
            <w:pPr/>
            <w:r>
              <w:t xml:space="preserve">Las alertas de vencimiento nacen gritando, por los datos heredados de 2019</w:t>
            </w:r>
          </w:p>
        </w:tc>
        <w:tc>
          <w:tcPr>
            <w:tcW w:w="850" w:type="dxa"/>
          </w:tcPr>
          <w:p>
            <w:pPr/>
            <w:r>
              <w:rPr>
                <w:b/>
              </w:rPr>
              <w:t xml:space="preserve">Alta</w:t>
            </w:r>
          </w:p>
        </w:tc>
        <w:tc>
          <w:tcPr>
            <w:tcW w:w="850" w:type="dxa"/>
          </w:tcPr>
          <w:p>
            <w:pPr/>
            <w:r>
              <w:t xml:space="preserve">Alto</w:t>
            </w:r>
          </w:p>
        </w:tc>
        <w:tc>
          <w:tcPr>
            <w:tcW w:w="5317" w:type="dxa"/>
          </w:tcPr>
          <w:p>
            <w:pPr/>
            <w:r>
              <w:t xml:space="preserve">1,719 de 1,736 vencimientos vienen de un relleno en bloque. Una alerta que siempre suena se aprende a ignorar, y entonces no sirve cuando importa. El sistema </w:t>
            </w:r>
            <w:r>
              <w:rPr>
                <w:b/>
              </w:rPr>
              <w:t xml:space="preserve">no debe alertar sobre lotes sin verificar</w:t>
            </w:r>
            <w:r>
              <w:t xml:space="preserve">: solo sobre los que el conteo físico confirmó</w:t>
            </w:r>
          </w:p>
        </w:tc>
      </w:tr>
      <w:tr>
        <w:tc>
          <w:tcPr>
            <w:tcW w:w="850" w:type="dxa"/>
          </w:tcPr>
          <w:p>
            <w:pPr/>
            <w:r>
              <w:t xml:space="preserve">R20</w:t>
            </w:r>
          </w:p>
        </w:tc>
        <w:tc>
          <w:tcPr>
            <w:tcW w:w="1493" w:type="dxa"/>
          </w:tcPr>
          <w:p>
            <w:pPr/>
            <w:r>
              <w:t xml:space="preserve">La clasificación automática del catálogo </w:t>
            </w:r>
            <w:r>
              <w:rPr>
                <w:b/>
              </w:rPr>
              <w:t xml:space="preserve">saca un medicamento de su categoría</w:t>
            </w:r>
          </w:p>
        </w:tc>
        <w:tc>
          <w:tcPr>
            <w:tcW w:w="850" w:type="dxa"/>
          </w:tcPr>
          <w:p>
            <w:pPr/>
            <w:r>
              <w:t xml:space="preserve">Media</w:t>
            </w:r>
          </w:p>
        </w:tc>
        <w:tc>
          <w:tcPr>
            <w:tcW w:w="850" w:type="dxa"/>
          </w:tcPr>
          <w:p>
            <w:pPr/>
            <w:r>
              <w:rPr>
                <w:b/>
              </w:rPr>
              <w:t xml:space="preserve">Muy alto</w:t>
            </w:r>
          </w:p>
        </w:tc>
        <w:tc>
          <w:tcPr>
            <w:tcW w:w="5317" w:type="dxa"/>
          </w:tcPr>
          <w:p>
            <w:pPr/>
            <w:r>
              <w:t xml:space="preserve">Un medicamento clasificado como artículo de cuidado personal pierde la exigencia de lote y vencimiento, que es una obligación sanitaria. No se mide la precisión del clasificador: se acota su peor error. Todo lo clasificado como medicamento se </w:t>
            </w:r>
            <w:r>
              <w:rPr>
                <w:b/>
              </w:rPr>
              <w:t xml:space="preserve">revisa a mano</w:t>
            </w:r>
            <w:r>
              <w:t xml:space="preserve">, y un conjunto de descripciones de medicamentos conocidos es la </w:t>
            </w:r>
            <w:r>
              <w:rPr>
                <w:b/>
              </w:rPr>
              <w:t xml:space="preserve">prueba negativa permanente</w:t>
            </w:r>
            <w:r>
              <w:t xml:space="preserve">. Cada producto conserva si lo clasificó la IA o una persona</w:t>
            </w:r>
          </w:p>
        </w:tc>
      </w:tr>
      <w:tr>
        <w:tc>
          <w:tcPr>
            <w:tcW w:w="850" w:type="dxa"/>
          </w:tcPr>
          <w:p>
            <w:pPr/>
            <w:r>
              <w:t xml:space="preserve">R21</w:t>
            </w:r>
          </w:p>
        </w:tc>
        <w:tc>
          <w:tcPr>
            <w:tcW w:w="1493" w:type="dxa"/>
          </w:tcPr>
          <w:p>
            <w:pPr/>
            <w:r>
              <w:t xml:space="preserve">La continuidad del stock se apoya en una </w:t>
            </w:r>
            <w:r>
              <w:rPr>
                <w:b/>
              </w:rPr>
              <w:t xml:space="preserve">LAN entre cajas que no tiene protocolo</w:t>
            </w:r>
          </w:p>
        </w:tc>
        <w:tc>
          <w:tcPr>
            <w:tcW w:w="850" w:type="dxa"/>
          </w:tcPr>
          <w:p>
            <w:pPr/>
            <w:r>
              <w:t xml:space="preserve">Alta</w:t>
            </w:r>
          </w:p>
        </w:tc>
        <w:tc>
          <w:tcPr>
            <w:tcW w:w="850" w:type="dxa"/>
          </w:tcPr>
          <w:p>
            <w:pPr/>
            <w:r>
              <w:t xml:space="preserve">Medio</w:t>
            </w:r>
          </w:p>
        </w:tc>
        <w:tc>
          <w:tcPr>
            <w:tcW w:w="5317" w:type="dxa"/>
          </w:tcPr>
          <w:p>
            <w:pPr/>
            <w:r>
              <w:t xml:space="preserve">La decisión del proyecto adopta la LAN como el mecanismo que cubre el corte de internet, pero no hay protocolo, transporte, formato ni descubrimiento definidos. </w:t>
            </w:r>
            <w:r>
              <w:rPr>
                <w:b/>
              </w:rPr>
              <w:t xml:space="preserve">No se diseña ningún caso que dependa de ella</w:t>
            </w:r>
            <w:r>
              <w:t xml:space="preserve">, y se prueba que el sistema funcione </w:t>
            </w:r>
            <w:r>
              <w:rPr>
                <w:b/>
              </w:rPr>
              <w:t xml:space="preserve">sin</w:t>
            </w:r>
            <w:r>
              <w:t xml:space="preserve"> LAN: cada caja vende igual y el stock negativo entre ellas queda señalado, según R05. Escalado a desarrollo</w:t>
            </w:r>
          </w:p>
        </w:tc>
      </w:tr>
      <w:tr>
        <w:tc>
          <w:tcPr>
            <w:tcW w:w="850" w:type="dxa"/>
          </w:tcPr>
          <w:p>
            <w:pPr/>
            <w:r>
              <w:t xml:space="preserve">R22</w:t>
            </w:r>
          </w:p>
        </w:tc>
        <w:tc>
          <w:tcPr>
            <w:tcW w:w="1493" w:type="dxa"/>
          </w:tcPr>
          <w:p>
            <w:pPr/>
            <w:r>
              <w:t xml:space="preserve">~~Dos sedes significan dos bases del Facturador que reconciliar~~ — </w:t>
            </w:r>
            <w:r>
              <w:rPr>
                <w:b/>
              </w:rPr>
              <w:t xml:space="preserve">cerrado, y asumido</w:t>
            </w:r>
          </w:p>
        </w:tc>
        <w:tc>
          <w:tcPr>
            <w:tcW w:w="850" w:type="dxa"/>
          </w:tcPr>
          <w:p>
            <w:pPr/>
            <w:r>
              <w:t xml:space="preserve">Alta</w:t>
            </w:r>
          </w:p>
        </w:tc>
        <w:tc>
          <w:tcPr>
            <w:tcW w:w="850" w:type="dxa"/>
          </w:tcPr>
          <w:p>
            <w:pPr/>
            <w:r>
              <w:t xml:space="preserve">Medio</w:t>
            </w:r>
          </w:p>
        </w:tc>
        <w:tc>
          <w:tcPr>
            <w:tcW w:w="5317" w:type="dxa"/>
          </w:tcPr>
          <w:p>
            <w:pPr/>
            <w:r>
              <w:t xml:space="preserve">Hay </w:t>
            </w:r>
            <w:r>
              <w:rPr>
                <w:b/>
              </w:rPr>
              <w:t xml:space="preserve">una instalación por sede</w:t>
            </w:r>
            <w:r>
              <w:t xml:space="preserve">, así que sí hay dos bases del Facturador que reconciliar, y con N clientes son más. Es el costo aceptado de que cada cliente emita desde su local con su propio certificado. M17 cubre la reconciliación y hay que ejecutarla </w:t>
            </w:r>
            <w:r>
              <w:rPr>
                <w:b/>
              </w:rPr>
              <w:t xml:space="preserve">por sede</w:t>
            </w:r>
            <w:r>
              <w:t xml:space="preserve">, no una vez</w:t>
            </w:r>
          </w:p>
        </w:tc>
      </w:tr>
      <w:tr>
        <w:tc>
          <w:tcPr>
            <w:tcW w:w="850" w:type="dxa"/>
          </w:tcPr>
          <w:p>
            <w:pPr/>
            <w:r>
              <w:t xml:space="preserve">R23</w:t>
            </w:r>
          </w:p>
        </w:tc>
        <w:tc>
          <w:tcPr>
            <w:tcW w:w="1493" w:type="dxa"/>
          </w:tcPr>
          <w:p>
            <w:pPr/>
            <w:r>
              <w:t xml:space="preserve">~~El VPS es el único camino a SUNAT~~ — </w:t>
            </w:r>
            <w:r>
              <w:rPr>
                <w:b/>
              </w:rPr>
              <w:t xml:space="preserve">retirado</w:t>
            </w:r>
          </w:p>
        </w:tc>
        <w:tc>
          <w:tcPr>
            <w:tcW w:w="850" w:type="dxa"/>
          </w:tcPr>
          <w:p>
            <w:pPr/>
            <w:r>
              <w:t xml:space="preserve">—</w:t>
            </w:r>
          </w:p>
        </w:tc>
        <w:tc>
          <w:tcPr>
            <w:tcW w:w="850" w:type="dxa"/>
          </w:tcPr>
          <w:p>
            <w:pPr/>
            <w:r>
              <w:t xml:space="preserve">—</w:t>
            </w:r>
          </w:p>
        </w:tc>
        <w:tc>
          <w:tcPr>
            <w:tcW w:w="5317" w:type="dxa"/>
          </w:tcPr>
          <w:p>
            <w:pPr/>
            <w:r>
              <w:t xml:space="preserve">Existió un día, mientras el Facturador se dibujó en el VPS. Al volver a las cajas del cliente, el camino a SUNAT no pasa por el servidor: una caída del VPS no impide declarar. Se conserva la fila porque la propiedad que lo retira es deliberada y conviene no perderla de vista: </w:t>
            </w:r>
            <w:r>
              <w:rPr>
                <w:b/>
              </w:rPr>
              <w:t xml:space="preserve">el proveedor del servicio no es punto único de fallo del negocio de ningún cliente</w:t>
            </w:r>
          </w:p>
        </w:tc>
      </w:tr>
      <w:tr>
        <w:tc>
          <w:tcPr>
            <w:tcW w:w="850" w:type="dxa"/>
          </w:tcPr>
          <w:p>
            <w:pPr/>
            <w:r>
              <w:t xml:space="preserve">R24</w:t>
            </w:r>
          </w:p>
        </w:tc>
        <w:tc>
          <w:tcPr>
            <w:tcW w:w="1493" w:type="dxa"/>
          </w:tcPr>
          <w:p>
            <w:pPr/>
            <w:r>
              <w:rPr>
                <w:b/>
              </w:rPr>
              <w:t xml:space="preserve">Un cliente separado divergirá del producto hasta volverse otro producto</w:t>
            </w:r>
          </w:p>
        </w:tc>
        <w:tc>
          <w:tcPr>
            <w:tcW w:w="850" w:type="dxa"/>
          </w:tcPr>
          <w:p>
            <w:pPr/>
            <w:r>
              <w:t xml:space="preserve">Alta</w:t>
            </w:r>
          </w:p>
        </w:tc>
        <w:tc>
          <w:tcPr>
            <w:tcW w:w="850" w:type="dxa"/>
          </w:tcPr>
          <w:p>
            <w:pPr/>
            <w:r>
              <w:t xml:space="preserve">Alto</w:t>
            </w:r>
          </w:p>
        </w:tc>
        <w:tc>
          <w:tcPr>
            <w:tcW w:w="5317" w:type="dxa"/>
          </w:tcPr>
          <w:p>
            <w:pPr/>
            <w:r>
              <w:t xml:space="preserve">Es el riesgo estructural del modelo híbrido, y se acepta a cambio de poder atender peticiones particulares. Es exactamente la divergencia que hundió al sistema anterior, donde la misma regla difería entre formularios y vistas, así que no se puede tratar con ligereza. Mitigación: la </w:t>
            </w:r>
            <w:r>
              <w:rPr>
                <w:b/>
              </w:rPr>
              <w:t xml:space="preserve">política de congelado</w:t>
            </w:r>
            <w:r>
              <w:t xml:space="preserve"> —el cliente separado no recibe lo compartido salvo que lo pida—, la evaluación previa que decide si la petición es realmente particular, y mantener </w:t>
            </w:r>
            <w:r>
              <w:rPr>
                <w:b/>
              </w:rPr>
              <w:t xml:space="preserve">una sola base de código</w:t>
            </w:r>
            <w:r>
              <w:t xml:space="preserve"> con ramas de ejecución en lugar de copias del proyecto</w:t>
            </w:r>
          </w:p>
        </w:tc>
      </w:tr>
      <w:tr>
        <w:tc>
          <w:tcPr>
            <w:tcW w:w="850" w:type="dxa"/>
          </w:tcPr>
          <w:p>
            <w:pPr/>
            <w:r>
              <w:t xml:space="preserve">R25</w:t>
            </w:r>
          </w:p>
        </w:tc>
        <w:tc>
          <w:tcPr>
            <w:tcW w:w="1493" w:type="dxa"/>
          </w:tcPr>
          <w:p>
            <w:pPr/>
            <w:r>
              <w:rPr>
                <w:b/>
              </w:rPr>
              <w:t xml:space="preserve">Una consulta mal filtrada expone los datos de otra botica</w:t>
            </w:r>
          </w:p>
        </w:tc>
        <w:tc>
          <w:tcPr>
            <w:tcW w:w="850" w:type="dxa"/>
          </w:tcPr>
          <w:p>
            <w:pPr/>
            <w:r>
              <w:t xml:space="preserve">Media</w:t>
            </w:r>
          </w:p>
        </w:tc>
        <w:tc>
          <w:tcPr>
            <w:tcW w:w="850" w:type="dxa"/>
          </w:tcPr>
          <w:p>
            <w:pPr/>
            <w:r>
              <w:rPr>
                <w:b/>
              </w:rPr>
              <w:t xml:space="preserve">Muy alto</w:t>
            </w:r>
          </w:p>
        </w:tc>
        <w:tc>
          <w:tcPr>
            <w:tcW w:w="5317" w:type="dxa"/>
          </w:tcPr>
          <w:p>
            <w:pPr/>
            <w:r>
              <w:t xml:space="preserve">Es el fallo que termina con el servicio: un cliente que ve el margen de un competidor. No se mitiga con cuidado al escribir código, sino con el aislamiento verificado donde se ejecuta la operación (requisito S8) y con </w:t>
            </w:r>
            <w:r>
              <w:rPr>
                <w:b/>
              </w:rPr>
              <w:t xml:space="preserve">M22 probado por el lado negativo</w:t>
            </w:r>
            <w:r>
              <w:t xml:space="preserve">: dos clientes cargados, y ninguna operación de uno devuelve nada del otro</w:t>
            </w:r>
          </w:p>
        </w:tc>
      </w:tr>
      <w:tr>
        <w:tc>
          <w:tcPr>
            <w:tcW w:w="850" w:type="dxa"/>
          </w:tcPr>
          <w:p>
            <w:pPr/>
            <w:r>
              <w:t xml:space="preserve">R26</w:t>
            </w:r>
          </w:p>
        </w:tc>
        <w:tc>
          <w:tcPr>
            <w:tcW w:w="1493" w:type="dxa"/>
          </w:tcPr>
          <w:p>
            <w:pPr/>
            <w:r>
              <w:rPr>
                <w:b/>
              </w:rPr>
              <w:t xml:space="preserve">Un cliente congelado deja de poder declarar cuando SUNAT cambia la norma</w:t>
            </w:r>
          </w:p>
        </w:tc>
        <w:tc>
          <w:tcPr>
            <w:tcW w:w="850" w:type="dxa"/>
          </w:tcPr>
          <w:p>
            <w:pPr/>
            <w:r>
              <w:t xml:space="preserve">Media</w:t>
            </w:r>
          </w:p>
        </w:tc>
        <w:tc>
          <w:tcPr>
            <w:tcW w:w="850" w:type="dxa"/>
          </w:tcPr>
          <w:p>
            <w:pPr/>
            <w:r>
              <w:rPr>
                <w:b/>
              </w:rPr>
              <w:t xml:space="preserve">Muy alto</w:t>
            </w:r>
          </w:p>
        </w:tc>
        <w:tc>
          <w:tcPr>
            <w:tcW w:w="5317" w:type="dxa"/>
          </w:tcPr>
          <w:p>
            <w:pPr/>
            <w:r>
              <w:t xml:space="preserve">La política de congelado es razonable para una mejora funcional y </w:t>
            </w:r>
            <w:r>
              <w:rPr>
                <w:b/>
              </w:rPr>
              <w:t xml:space="preserve">no lo es para una obligación legal</w:t>
            </w:r>
            <w:r>
              <w:t xml:space="preserve">. Si cambia la estructura de los archivos planos o los plazos, un cliente separado deja de cumplir sin saberlo. Falta decidir la excepción y quién la paga; está declarado como pendiente en la nota de decisiones del proyecto. </w:t>
            </w:r>
            <w:r>
              <w:rPr>
                <w:b/>
              </w:rPr>
              <w:t xml:space="preserve">No se diseñan casos que supongan que la norma llega a todos</w:t>
            </w:r>
            <w:r>
              <w:t xml:space="preserve"> hasta que exista esa política</w:t>
            </w:r>
          </w:p>
        </w:tc>
      </w:tr>
    </w:tbl>
    <w:p>
      <w:pPr/>
      <w:r>
        <w:t xml:space="preserve">Supuestos</w:t>
      </w:r>
    </w:p>
    <w:p>
      <w:pPr>
        <w:pStyle w:val="ListParagraph"/>
        <w:numPr>
          <w:ilvl w:val="0"/>
          <w:numId w:val="6"/>
        </w:numPr>
      </w:pPr>
      <w:r>
        <w:rPr>
          <w:b/>
        </w:rPr>
        <w:t xml:space="preserve">El sistema bajo prueba aún no existe.</w:t>
      </w:r>
      <w:r>
        <w:t xml:space="preserve"> Este documento define el alcance de calidad de un sistema en diseño; no es un plan de ejecución inmediata sobre una aplicación en línea.</w:t>
      </w:r>
    </w:p>
    <w:p>
      <w:pPr>
        <w:pStyle w:val="ListParagraph"/>
        <w:numPr>
          <w:ilvl w:val="0"/>
          <w:numId w:val="6"/>
        </w:numPr>
      </w:pPr>
      <w:r>
        <w:rPr>
          <w:b/>
        </w:rPr>
        <w:t xml:space="preserve">Dos sedes de venta y un almacén central: confirmado.</w:t>
      </w:r>
      <w:r>
        <w:t xml:space="preserve"> Dejó de ser supuesto, y en contra de lo que la versión 1.2 daba por cerrado. La consolidación entre locales pasó de estar fuera de alcance a tener módulo propio.</w:t>
      </w:r>
    </w:p>
    <w:p>
      <w:pPr>
        <w:pStyle w:val="ListParagraph"/>
        <w:numPr>
          <w:ilvl w:val="0"/>
          <w:numId w:val="6"/>
        </w:numPr>
      </w:pPr>
      <w:r>
        <w:rPr>
          <w:b/>
        </w:rPr>
        <w:t xml:space="preserve">El histórico de ventas no se conserva: decisión tomada.</w:t>
      </w:r>
      <w:r>
        <w:t xml:space="preserve"> Era el supuesto 2 del proyecto y queda cancelado. El sistema viejo se guarda en solo lectura como referencia de consulta, no como fuente de datos.</w:t>
      </w:r>
    </w:p>
    <w:p>
      <w:pPr>
        <w:pStyle w:val="ListParagraph"/>
        <w:numPr>
          <w:ilvl w:val="0"/>
          <w:numId w:val="6"/>
        </w:numPr>
      </w:pPr>
      <w:r>
        <w:rPr>
          <w:b/>
        </w:rPr>
        <w:t xml:space="preserve">El stock heredado es un punto de partida, no una verdad.</w:t>
      </w:r>
      <w:r>
        <w:t xml:space="preserve"> Entra marcado como sin verificar y el conteo físico lo corrige. El supuesto que hay que vigilar es que </w:t>
      </w:r>
      <w:r>
        <w:rPr>
          <w:b/>
        </w:rPr>
        <w:t xml:space="preserve">esa marca sea visible de verdad</w:t>
      </w:r>
      <w:r>
        <w:t xml:space="preserve"> y no un campo que nadie mira.</w:t>
      </w:r>
    </w:p>
    <w:p>
      <w:pPr>
        <w:pStyle w:val="ListParagraph"/>
        <w:numPr>
          <w:ilvl w:val="0"/>
          <w:numId w:val="6"/>
        </w:numPr>
      </w:pPr>
      <w:r>
        <w:rPr>
          <w:b/>
        </w:rPr>
        <w:t xml:space="preserve">Que el sistema actual siga operando durante la migración: resuelto, y en contra.</w:t>
      </w:r>
      <w:r>
        <w:t xml:space="preserve"> No habrá convivencia: el sistema viejo deja de funcionar en cuanto entre el nuevo. Era el supuesto del que dependía el criterio de salida que comparaba las ventas del día, y por eso ese criterio se retira en esta versión. El sistema viejo se conserva </w:t>
      </w:r>
      <w:r>
        <w:rPr>
          <w:b/>
        </w:rPr>
        <w:t xml:space="preserve">en solo lectura</w:t>
      </w:r>
      <w:r>
        <w:t xml:space="preserve">, porque es el único sitio donde vive el histórico y el insumo de un posible proyecto futuro que lo migre.</w:t>
      </w:r>
    </w:p>
    <w:p>
      <w:pPr>
        <w:pStyle w:val="ListParagraph"/>
        <w:numPr>
          <w:ilvl w:val="0"/>
          <w:numId w:val="6"/>
        </w:numPr>
      </w:pPr>
      <w:r>
        <w:rPr>
          <w:b/>
        </w:rPr>
        <w:t xml:space="preserve">Que el negocio no sea solo farmacia: confirmado, y con detalle.</w:t>
      </w:r>
      <w:r>
        <w:t xml:space="preserve"> De las siete categorías del catálogo nuevo, cuatro no son sanitarias. Los atributos de medicamento aplican a una de siete, lo que es exactamente lo que M21 tiene que proteger.</w:t>
      </w:r>
    </w:p>
    <w:p>
      <w:pPr>
        <w:pStyle w:val="ListParagraph"/>
        <w:numPr>
          <w:ilvl w:val="0"/>
          <w:numId w:val="6"/>
        </w:numPr>
      </w:pPr>
      <w:r>
        <w:rPr>
          <w:b/>
        </w:rPr>
        <w:t xml:space="preserve">Que el Facturador acepte la serie y el número que la caja ya asignó.</w:t>
      </w:r>
      <w:r>
        <w:t xml:space="preserve"> El diseño se apoya en una serie por terminal y un correlativo que la caja lleva sola, sin consultar a nadie. Si el Facturador asignara él la numeración, ese principio se rompe y habría que rediseñar M03. </w:t>
      </w:r>
      <w:r>
        <w:rPr>
          <w:b/>
        </w:rPr>
        <w:t xml:space="preserve">Hay que verificarlo en la primera fase</w:t>
      </w:r>
      <w:r>
        <w:t xml:space="preserve">, antes de escribir código de caja.</w:t>
      </w:r>
    </w:p>
    <w:p>
      <w:pPr>
        <w:pStyle w:val="ListParagraph"/>
        <w:numPr>
          <w:ilvl w:val="0"/>
          <w:numId w:val="6"/>
        </w:numPr>
      </w:pPr>
      <w:r>
        <w:rPr>
          <w:b/>
        </w:rPr>
        <w:t xml:space="preserve">Que las boticas acepten que sus datos de venta vivan en una base operada por el desarrollo.</w:t>
      </w:r>
      <w:r>
        <w:t xml:space="preserve"> Es el supuesto del que depende el modelo entero, y no es técnico: si un cliente exige su propia infraestructura, para él no hay producto multicliente que ofrecer. Va aquí porque ningún diseño lo resuelve.</w:t>
      </w:r>
    </w:p>
    <w:p>
      <w:pPr>
        <w:pStyle w:val="ListParagraph"/>
        <w:numPr>
          <w:ilvl w:val="0"/>
          <w:numId w:val="6"/>
        </w:numPr>
      </w:pPr>
      <w:r>
        <w:rPr>
          <w:b/>
        </w:rPr>
        <w:t xml:space="preserve">Que la titularidad del software permita ofrecerlo a varios clientes.</w:t>
      </w:r>
      <w:r>
        <w:t xml:space="preserve"> La fija el contrato, no el código. Sin una cláusula que la reserve, el modelo no es viable por mucho que el sistema esté preparado.</w:t>
      </w:r>
    </w:p>
    <w:p>
      <w:pPr>
        <w:pStyle w:val="ListParagraph"/>
        <w:numPr>
          <w:ilvl w:val="0"/>
          <w:numId w:val="6"/>
        </w:numPr>
      </w:pPr>
      <w:r>
        <w:t xml:space="preserve">Una sola persona cubre el rol de QA, y es responsable de todos sus artefactos.</w:t>
      </w:r>
    </w:p>
    <w:p>
      <w:pPr>
        <w:pStyle w:val="Heading2"/>
      </w:pPr>
      <w:r>
        <w:t xml:space="preserve">8. Roles y responsabilidades</w:t>
      </w:r>
    </w:p>
    <w:p>
      <w:pPr/>
      <w:r>
        <w:t xml:space="preserve">En este proyecto una misma persona puede cubrir varios roles; el documento los nombra para que se sepa quién decide qué.</w:t>
      </w:r>
    </w:p>
    <w:tbl>
      <w:tblPr>
        <w:tblStyle w:val="TableGrid"/>
        <w:tblW w:w="0" w:type="auto"/>
        <w:tblLayout w:type="fixed"/>
        <w:tblLook w:val="04A0" w:firstRow="1" w:lastRow="0" w:firstColumn="0" w:lastColumn="0" w:noHBand="0" w:noVBand="1"/>
      </w:tblPr>
      <w:tblGrid>
        <w:gridCol w:w="850"/>
        <w:gridCol w:w="1108"/>
        <w:gridCol w:w="7402"/>
      </w:tblGrid>
      <w:tr>
        <w:trPr>
          <w:tblHeader/>
        </w:trPr>
        <w:tc>
          <w:tcPr>
            <w:tcW w:w="850" w:type="dxa"/>
            <w:shd w:val="clear" w:color="auto" w:fill="F2F2F2"/>
          </w:tcPr>
          <w:p>
            <w:pPr/>
            <w:r>
              <w:t xml:space="preserve">Rol</w:t>
            </w:r>
          </w:p>
        </w:tc>
        <w:tc>
          <w:tcPr>
            <w:tcW w:w="1108" w:type="dxa"/>
            <w:shd w:val="clear" w:color="auto" w:fill="F2F2F2"/>
          </w:tcPr>
          <w:p>
            <w:pPr/>
            <w:r>
              <w:t xml:space="preserve">Responsable</w:t>
            </w:r>
          </w:p>
        </w:tc>
        <w:tc>
          <w:tcPr>
            <w:tcW w:w="7402" w:type="dxa"/>
            <w:shd w:val="clear" w:color="auto" w:fill="F2F2F2"/>
          </w:tcPr>
          <w:p>
            <w:pPr/>
            <w:r>
              <w:t xml:space="preserve">Responsabilidades</w:t>
            </w:r>
          </w:p>
        </w:tc>
      </w:tr>
      <w:tr>
        <w:tc>
          <w:tcPr>
            <w:tcW w:w="850" w:type="dxa"/>
          </w:tcPr>
          <w:p>
            <w:pPr/>
            <w:r>
              <w:t xml:space="preserve">QA (autor)</w:t>
            </w:r>
          </w:p>
        </w:tc>
        <w:tc>
          <w:tcPr>
            <w:tcW w:w="1108" w:type="dxa"/>
          </w:tcPr>
          <w:p>
            <w:pPr/>
            <w:r>
              <w:t xml:space="preserve">Vladimir De La Cruz</w:t>
            </w:r>
          </w:p>
        </w:tc>
        <w:tc>
          <w:tcPr>
            <w:tcW w:w="7402" w:type="dxa"/>
          </w:tcPr>
          <w:p>
            <w:pPr/>
            <w:r>
              <w:t xml:space="preserve">Redactar este documento, diseñar y ejecutar casos, reportar defectos, mantener la matriz de trazabilidad y el repositorio de evidencias</w:t>
            </w:r>
          </w:p>
        </w:tc>
      </w:tr>
      <w:tr>
        <w:tc>
          <w:tcPr>
            <w:tcW w:w="850" w:type="dxa"/>
          </w:tcPr>
          <w:p>
            <w:pPr/>
            <w:r>
              <w:t xml:space="preserve">Desarrollo</w:t>
            </w:r>
          </w:p>
        </w:tc>
        <w:tc>
          <w:tcPr>
            <w:tcW w:w="1108" w:type="dxa"/>
          </w:tcPr>
          <w:p>
            <w:pPr/>
            <w:r>
              <w:t xml:space="preserve">Imtery</w:t>
            </w:r>
          </w:p>
        </w:tc>
        <w:tc>
          <w:tcPr>
            <w:tcW w:w="7402" w:type="dxa"/>
          </w:tcPr>
          <w:p>
            <w:pPr/>
            <w:r>
              <w:t xml:space="preserve">Pruebas unitarias del dominio </w:t>
            </w:r>
            <w:r>
              <w:rPr>
                <w:b/>
              </w:rPr>
              <w:t xml:space="preserve">en C# y en Dart</w:t>
            </w:r>
            <w:r>
              <w:t xml:space="preserve">, del motor de sincronización, corrección de defectos, la prueba técnica de impresión de la primera fase, y cerrar los huecos de contrato que QA dejó escalados</w:t>
            </w:r>
          </w:p>
        </w:tc>
      </w:tr>
      <w:tr>
        <w:tc>
          <w:tcPr>
            <w:tcW w:w="850" w:type="dxa"/>
          </w:tcPr>
          <w:p>
            <w:pPr/>
            <w:r>
              <w:t xml:space="preserve">Dueño del negocio</w:t>
            </w:r>
          </w:p>
        </w:tc>
        <w:tc>
          <w:tcPr>
            <w:tcW w:w="1108" w:type="dxa"/>
          </w:tcPr>
          <w:p>
            <w:pPr/>
            <w:r>
              <w:t xml:space="preserve">MiFarma</w:t>
            </w:r>
          </w:p>
        </w:tc>
        <w:tc>
          <w:tcPr>
            <w:tcW w:w="7402" w:type="dxa"/>
          </w:tcPr>
          <w:p>
            <w:pPr/>
            <w:r>
              <w:rPr>
                <w:b/>
              </w:rPr>
              <w:t xml:space="preserve">Actualizar los 341 precios</w:t>
            </w:r>
            <w:r>
              <w:t xml:space="preserve"> de la hoja Excel que se le entrega, </w:t>
            </w:r>
            <w:r>
              <w:rPr>
                <w:b/>
              </w:rPr>
              <w:t xml:space="preserve">revisar la clasificación automática de todo lo marcado como medicamento</w:t>
            </w:r>
            <w:r>
              <w:t xml:space="preserve">, validar las pruebas de aceptación y </w:t>
            </w:r>
            <w:r>
              <w:rPr>
                <w:b/>
              </w:rPr>
              <w:t xml:space="preserve">decidir sobre los 3 grupos de fichas repetidas</w:t>
            </w:r>
            <w:r>
              <w:t xml:space="preserve">. Las decisiones del proyecto ya las cerró: lo que queda es ejecución</w:t>
            </w:r>
          </w:p>
        </w:tc>
      </w:tr>
      <w:tr>
        <w:tc>
          <w:tcPr>
            <w:tcW w:w="850" w:type="dxa"/>
          </w:tcPr>
          <w:p>
            <w:pPr/>
            <w:r>
              <w:t xml:space="preserve">Personal de caja</w:t>
            </w:r>
          </w:p>
        </w:tc>
        <w:tc>
          <w:tcPr>
            <w:tcW w:w="1108" w:type="dxa"/>
          </w:tcPr>
          <w:p>
            <w:pPr/>
            <w:r>
              <w:t xml:space="preserve">MiFarma (personal en turno)</w:t>
            </w:r>
          </w:p>
        </w:tc>
        <w:tc>
          <w:tcPr>
            <w:tcW w:w="7402" w:type="dxa"/>
          </w:tcPr>
          <w:p>
            <w:pPr/>
            <w:r>
              <w:t xml:space="preserve">Recorrer las pruebas de aceptación de un turno completo, </w:t>
            </w:r>
            <w:r>
              <w:rPr>
                <w:b/>
              </w:rPr>
              <w:t xml:space="preserve">ejecutar el conteo físico</w:t>
            </w:r>
            <w:r>
              <w:t xml:space="preserve"> que convierte el stock heredado en stock verificado, y señalar la fricción del cambio</w:t>
            </w:r>
          </w:p>
        </w:tc>
      </w:tr>
      <w:tr>
        <w:tc>
          <w:tcPr>
            <w:tcW w:w="850" w:type="dxa"/>
          </w:tcPr>
          <w:p>
            <w:pPr/>
            <w:r>
              <w:t xml:space="preserve">Líder de QA (revisor)</w:t>
            </w:r>
          </w:p>
        </w:tc>
        <w:tc>
          <w:tcPr>
            <w:tcW w:w="1108" w:type="dxa"/>
          </w:tcPr>
          <w:p>
            <w:pPr/>
            <w:r>
              <w:t xml:space="preserve">Instructor del curso (entregable académico)</w:t>
            </w:r>
          </w:p>
        </w:tc>
        <w:tc>
          <w:tcPr>
            <w:tcW w:w="7402" w:type="dxa"/>
          </w:tcPr>
          <w:p>
            <w:pPr/>
            <w:r>
              <w:t xml:space="preserve">Revisar el alcance, validar criterios y dar retroalimentación</w:t>
            </w:r>
          </w:p>
        </w:tc>
      </w:tr>
      <w:tr>
        <w:tc>
          <w:tcPr>
            <w:tcW w:w="850" w:type="dxa"/>
          </w:tcPr>
          <w:p>
            <w:pPr/>
            <w:r>
              <w:t xml:space="preserve">SUNAT</w:t>
            </w:r>
          </w:p>
        </w:tc>
        <w:tc>
          <w:tcPr>
            <w:tcW w:w="1108" w:type="dxa"/>
          </w:tcPr>
          <w:p>
            <w:pPr/>
            <w:r>
              <w:t xml:space="preserve">—</w:t>
            </w:r>
          </w:p>
        </w:tc>
        <w:tc>
          <w:tcPr>
            <w:tcW w:w="7402" w:type="dxa"/>
          </w:tcPr>
          <w:p>
            <w:pPr/>
            <w:r>
              <w:t xml:space="preserve">Provee el Facturador y el certificado, valida el comprobante y emite la constancia de recepción. </w:t>
            </w:r>
            <w:r>
              <w:rPr>
                <w:b/>
              </w:rPr>
              <w:t xml:space="preserve">No es un proveedor contratado: no hay a quién reclamar ni acuerdo de nivel de servicio.</w:t>
            </w:r>
            <w:r>
              <w:t xml:space="preserve"> Si el Facturador falla, es un incidente a reportar, no un defecto a corregir</w:t>
            </w:r>
          </w:p>
        </w:tc>
      </w:tr>
    </w:tbl>
    <w:p>
      <w:pPr/>
      <w:r>
        <w:t xml:space="preserve">Tres responsabilidades de esta tabla </w:t>
      </w:r>
      <w:r>
        <w:rPr>
          <w:b/>
        </w:rPr>
        <w:t xml:space="preserve">no las ejecuta el desarrollo y bloquean fases enteras</w:t>
      </w:r>
      <w:r>
        <w:t xml:space="preserve">: actualizar los precios, revisar la clasificación del catálogo y hacer el conteo físico. Es el riesgo de planificación más frecuente en este tipo de proyecto, y por eso aparecen con responsable propio. El conteo sigue siendo el más pesado: al no migrarse las ventas, </w:t>
      </w:r>
      <w:r>
        <w:rPr>
          <w:b/>
        </w:rPr>
        <w:t xml:space="preserve">es la única fuente fiable de inventario que va a existir</w:t>
      </w:r>
      <w:r>
        <w:t xml:space="preserve">, y ahora hay que recorrer </w:t>
      </w:r>
      <w:r>
        <w:rPr>
          <w:b/>
        </w:rPr>
        <w:t xml:space="preserve">dos sedes y el almacén central</w:t>
      </w:r>
      <w:r>
        <w:t xml:space="preserve">.</w:t>
      </w:r>
    </w:p>
    <w:p>
      <w:pPr/>
      <w:r>
        <w:t xml:space="preserve">Una cuarta, que no es del negocio y también bloquea: </w:t>
      </w:r>
      <w:r>
        <w:rPr>
          <w:b/>
        </w:rPr>
        <w:t xml:space="preserve">el trámite del certificado digital</w:t>
      </w:r>
      <w:r>
        <w:t xml:space="preserve">. Es gratuito pero tiene evaluación propia, y sin él la prueba de extremo a extremo de M08 no se puede ejecutar.</w:t>
      </w:r>
    </w:p>
    <w:p>
      <w:pPr>
        <w:pStyle w:val="Heading2"/>
      </w:pPr>
      <w:r>
        <w:t xml:space="preserve">9. Entregables y cronograma</w:t>
      </w:r>
    </w:p>
    <w:p>
      <w:pPr/>
      <w:r>
        <w:t xml:space="preserve">Dos cronogramas distintos, con propósitos distintos. El primero es el entregable académico del Módulo 1 del curso, con fechas. El segundo es el alcance de calidad del proyecto real, por fases y sin fechas.</w:t>
      </w:r>
    </w:p>
    <w:p>
      <w:pPr/>
      <w:r>
        <w:t xml:space="preserve">Entregables del Módulo 1 del curso</w:t>
      </w:r>
    </w:p>
    <w:tbl>
      <w:tblPr>
        <w:tblStyle w:val="TableGrid"/>
        <w:tblW w:w="0" w:type="auto"/>
        <w:tblLayout w:type="fixed"/>
        <w:tblLook w:val="04A0" w:firstRow="1" w:lastRow="0" w:firstColumn="0" w:lastColumn="0" w:noHBand="0" w:noVBand="1"/>
      </w:tblPr>
      <w:tblGrid>
        <w:gridCol w:w="850"/>
        <w:gridCol w:w="1213"/>
        <w:gridCol w:w="4409"/>
        <w:gridCol w:w="2888"/>
      </w:tblGrid>
      <w:tr>
        <w:trPr>
          <w:tblHeader/>
        </w:trPr>
        <w:tc>
          <w:tcPr>
            <w:tcW w:w="850" w:type="dxa"/>
            <w:shd w:val="clear" w:color="auto" w:fill="F2F2F2"/>
          </w:tcPr>
          <w:p>
            <w:pPr/>
            <w:r>
              <w:t xml:space="preserve">Semana</w:t>
            </w:r>
          </w:p>
        </w:tc>
        <w:tc>
          <w:tcPr>
            <w:tcW w:w="1213" w:type="dxa"/>
            <w:shd w:val="clear" w:color="auto" w:fill="F2F2F2"/>
          </w:tcPr>
          <w:p>
            <w:pPr/>
            <w:r>
              <w:t xml:space="preserve">Fechas</w:t>
            </w:r>
          </w:p>
        </w:tc>
        <w:tc>
          <w:tcPr>
            <w:tcW w:w="4409" w:type="dxa"/>
            <w:shd w:val="clear" w:color="auto" w:fill="F2F2F2"/>
          </w:tcPr>
          <w:p>
            <w:pPr/>
            <w:r>
              <w:t xml:space="preserve">Entregable</w:t>
            </w:r>
          </w:p>
        </w:tc>
        <w:tc>
          <w:tcPr>
            <w:tcW w:w="2888" w:type="dxa"/>
            <w:shd w:val="clear" w:color="auto" w:fill="F2F2F2"/>
          </w:tcPr>
          <w:p>
            <w:pPr/>
            <w:r>
              <w:t xml:space="preserve">Cubre de este documento</w:t>
            </w:r>
          </w:p>
        </w:tc>
      </w:tr>
      <w:tr>
        <w:tc>
          <w:tcPr>
            <w:tcW w:w="850" w:type="dxa"/>
          </w:tcPr>
          <w:p>
            <w:pPr/>
            <w:r>
              <w:t xml:space="preserve">1</w:t>
            </w:r>
          </w:p>
        </w:tc>
        <w:tc>
          <w:tcPr>
            <w:tcW w:w="1213" w:type="dxa"/>
          </w:tcPr>
          <w:p>
            <w:pPr/>
            <w:r>
              <w:t xml:space="preserve">30-sep al 05-oct-2026</w:t>
            </w:r>
          </w:p>
        </w:tc>
        <w:tc>
          <w:tcPr>
            <w:tcW w:w="4409" w:type="dxa"/>
          </w:tcPr>
          <w:p>
            <w:pPr/>
            <w:r>
              <w:t xml:space="preserve">Repositorio inicial del proyecto en Git, con README y documento de alcance de calidad</w:t>
            </w:r>
          </w:p>
        </w:tc>
        <w:tc>
          <w:tcPr>
            <w:tcW w:w="2888" w:type="dxa"/>
          </w:tcPr>
          <w:p>
            <w:pPr/>
            <w:r>
              <w:t xml:space="preserve">Este documento y la estructura del repositorio</w:t>
            </w:r>
          </w:p>
        </w:tc>
      </w:tr>
      <w:tr>
        <w:tc>
          <w:tcPr>
            <w:tcW w:w="850" w:type="dxa"/>
          </w:tcPr>
          <w:p>
            <w:pPr/>
            <w:r>
              <w:t xml:space="preserve">2</w:t>
            </w:r>
          </w:p>
        </w:tc>
        <w:tc>
          <w:tcPr>
            <w:tcW w:w="1213" w:type="dxa"/>
          </w:tcPr>
          <w:p>
            <w:pPr/>
            <w:r>
              <w:t xml:space="preserve">07-oct al 12-oct-2026</w:t>
            </w:r>
          </w:p>
        </w:tc>
        <w:tc>
          <w:tcPr>
            <w:tcW w:w="4409" w:type="dxa"/>
          </w:tcPr>
          <w:p>
            <w:pPr/>
            <w:r>
              <w:t xml:space="preserve">Documento de casos de prueba manuales v1, con los flujos críticos mapeados</w:t>
            </w:r>
          </w:p>
        </w:tc>
        <w:tc>
          <w:tcPr>
            <w:tcW w:w="2888" w:type="dxa"/>
          </w:tcPr>
          <w:p>
            <w:pPr/>
            <w:r>
              <w:t xml:space="preserve">Módulos de prioridad alta, empezando por M01 a M04</w:t>
            </w:r>
          </w:p>
        </w:tc>
      </w:tr>
      <w:tr>
        <w:tc>
          <w:tcPr>
            <w:tcW w:w="850" w:type="dxa"/>
          </w:tcPr>
          <w:p>
            <w:pPr/>
            <w:r>
              <w:t xml:space="preserve">3</w:t>
            </w:r>
          </w:p>
        </w:tc>
        <w:tc>
          <w:tcPr>
            <w:tcW w:w="1213" w:type="dxa"/>
          </w:tcPr>
          <w:p>
            <w:pPr/>
            <w:r>
              <w:t xml:space="preserve">14-oct al 19-oct-2026</w:t>
            </w:r>
          </w:p>
        </w:tc>
        <w:tc>
          <w:tcPr>
            <w:tcW w:w="4409" w:type="dxa"/>
          </w:tcPr>
          <w:p>
            <w:pPr/>
            <w:r>
              <w:t xml:space="preserve">Plan de pruebas, matriz de trazabilidad y reporte de al menos 5 defectos documentados</w:t>
            </w:r>
          </w:p>
        </w:tc>
        <w:tc>
          <w:tcPr>
            <w:tcW w:w="2888" w:type="dxa"/>
          </w:tcPr>
          <w:p>
            <w:pPr/>
            <w:r>
              <w:t xml:space="preserve">Criterios de salida de la sección 6</w:t>
            </w:r>
          </w:p>
        </w:tc>
      </w:tr>
    </w:tbl>
    <w:p>
      <w:pPr/>
      <w:r>
        <w:rPr>
          <w:b/>
        </w:rPr>
        <w:t xml:space="preserve">Sobre los 5 defectos del entregable.</w:t>
      </w:r>
      <w:r>
        <w:t xml:space="preserve"> MiFarma todavía no se puede ejecutar, así que los defectos no se pueden descubrir ejecutándolo. Se documentan sobre los </w:t>
      </w:r>
      <w:r>
        <w:rPr>
          <w:b/>
        </w:rPr>
        <w:t xml:space="preserve">dieciséis hallazgos del sistema actual</w:t>
      </w:r>
      <w:r>
        <w:t xml:space="preserve">, que son defectos reales, con su código, su evidencia medida en los datos de producción y sus pasos para reproducir. Esos mismos dieciséis se convierten después en la suite de regresión del sistema nuevo, de modo que el entregable académico y el proyecto real no se desvían: es el mismo trabajo.</w:t>
      </w:r>
    </w:p>
    <w:p>
      <w:pPr/>
      <w:r>
        <w:t xml:space="preserve">Alcance de calidad por fase del proyecto</w:t>
      </w:r>
    </w:p>
    <w:p>
      <w:pPr/>
      <w:r>
        <w:t xml:space="preserve">Sin fechas, a propósito: la hoja de ruta no las lleva mientras no se sepa quién desarrolla y con qué dedicación. Una cifra sin fundamento se convierte después en un compromiso.</w:t>
      </w:r>
    </w:p>
    <w:tbl>
      <w:tblPr>
        <w:tblStyle w:val="TableGrid"/>
        <w:tblW w:w="0" w:type="auto"/>
        <w:tblLayout w:type="fixed"/>
        <w:tblLook w:val="04A0" w:firstRow="1" w:lastRow="0" w:firstColumn="0" w:lastColumn="0" w:noHBand="0" w:noVBand="1"/>
      </w:tblPr>
      <w:tblGrid>
        <w:gridCol w:w="850"/>
        <w:gridCol w:w="850"/>
        <w:gridCol w:w="6810"/>
        <w:gridCol w:w="850"/>
      </w:tblGrid>
      <w:tr>
        <w:trPr>
          <w:tblHeader/>
        </w:trPr>
        <w:tc>
          <w:tcPr>
            <w:tcW w:w="850" w:type="dxa"/>
            <w:shd w:val="clear" w:color="auto" w:fill="F2F2F2"/>
          </w:tcPr>
          <w:p>
            <w:pPr/>
            <w:r>
              <w:t xml:space="preserve">Fase</w:t>
            </w:r>
          </w:p>
        </w:tc>
        <w:tc>
          <w:tcPr>
            <w:tcW w:w="850" w:type="dxa"/>
            <w:shd w:val="clear" w:color="auto" w:fill="F2F2F2"/>
          </w:tcPr>
          <w:p>
            <w:pPr/>
            <w:r>
              <w:t xml:space="preserve">Qué se construye</w:t>
            </w:r>
          </w:p>
        </w:tc>
        <w:tc>
          <w:tcPr>
            <w:tcW w:w="6810" w:type="dxa"/>
            <w:shd w:val="clear" w:color="auto" w:fill="F2F2F2"/>
          </w:tcPr>
          <w:p>
            <w:pPr/>
            <w:r>
              <w:t xml:space="preserve">Qué se prueba</w:t>
            </w:r>
          </w:p>
        </w:tc>
        <w:tc>
          <w:tcPr>
            <w:tcW w:w="850" w:type="dxa"/>
            <w:shd w:val="clear" w:color="auto" w:fill="F2F2F2"/>
          </w:tcPr>
          <w:p>
            <w:pPr/>
            <w:r>
              <w:t xml:space="preserve">Módulos</w:t>
            </w:r>
          </w:p>
        </w:tc>
      </w:tr>
      <w:tr>
        <w:tc>
          <w:tcPr>
            <w:tcW w:w="850" w:type="dxa"/>
          </w:tcPr>
          <w:p>
            <w:pPr/>
            <w:r>
              <w:t xml:space="preserve">0</w:t>
            </w:r>
          </w:p>
        </w:tc>
        <w:tc>
          <w:tcPr>
            <w:tcW w:w="850" w:type="dxa"/>
          </w:tcPr>
          <w:p>
            <w:pPr/>
            <w:r>
              <w:t xml:space="preserve">Respaldo externo de los datos de producción</w:t>
            </w:r>
          </w:p>
        </w:tc>
        <w:tc>
          <w:tcPr>
            <w:tcW w:w="6810" w:type="dxa"/>
          </w:tcPr>
          <w:p>
            <w:pPr/>
            <w:r>
              <w:t xml:space="preserve">Que la copia se puede restaurar y abrir. Es verificación, no trámite</w:t>
            </w:r>
          </w:p>
        </w:tc>
        <w:tc>
          <w:tcPr>
            <w:tcW w:w="850" w:type="dxa"/>
          </w:tcPr>
          <w:p>
            <w:pPr/>
            <w:r>
              <w:t xml:space="preserve">Precondición de todo</w:t>
            </w:r>
          </w:p>
        </w:tc>
      </w:tr>
      <w:tr>
        <w:tc>
          <w:tcPr>
            <w:tcW w:w="850" w:type="dxa"/>
          </w:tcPr>
          <w:p>
            <w:pPr/>
            <w:r>
              <w:t xml:space="preserve">1</w:t>
            </w:r>
          </w:p>
        </w:tc>
        <w:tc>
          <w:tcPr>
            <w:tcW w:w="850" w:type="dxa"/>
          </w:tcPr>
          <w:p>
            <w:pPr/>
            <w:r>
              <w:t xml:space="preserve">Pruebas técnicas</w:t>
            </w:r>
          </w:p>
        </w:tc>
        <w:tc>
          <w:tcPr>
            <w:tcW w:w="6810" w:type="dxa"/>
          </w:tcPr>
          <w:p>
            <w:pPr/>
            <w:r>
              <w:t xml:space="preserve">Impresión de un ticket real en la 3nSTAR RPT004, </w:t>
            </w:r>
            <w:r>
              <w:rPr>
                <w:b/>
              </w:rPr>
              <w:t xml:space="preserve">por USB y por Ethernet</w:t>
            </w:r>
            <w:r>
              <w:t xml:space="preserve">; escaneo del 3nStar SC310 que llega a la aplicación; trámite del certificado iniciado; </w:t>
            </w:r>
            <w:r>
              <w:rPr>
                <w:b/>
              </w:rPr>
              <w:t xml:space="preserve">Facturador instalado en la caja 1</w:t>
            </w:r>
            <w:r>
              <w:t xml:space="preserve"> y emitiendo una boleta contra el ambiente de pruebas de SUNAT; </w:t>
            </w:r>
            <w:r>
              <w:rPr>
                <w:b/>
              </w:rPr>
              <w:t xml:space="preserve">medición de su consumo junto a la caja</w:t>
            </w:r>
            <w:r>
              <w:t xml:space="preserve">; dimensionado del VPS sin Facturador dentro; y verificación de que el Facturador acepta la serie y el número que la caja asigna</w:t>
            </w:r>
          </w:p>
        </w:tc>
        <w:tc>
          <w:tcPr>
            <w:tcW w:w="850" w:type="dxa"/>
          </w:tcPr>
          <w:p>
            <w:pPr/>
            <w:r>
              <w:t xml:space="preserve">M03, M08</w:t>
            </w:r>
          </w:p>
        </w:tc>
      </w:tr>
      <w:tr>
        <w:tc>
          <w:tcPr>
            <w:tcW w:w="850" w:type="dxa"/>
          </w:tcPr>
          <w:p>
            <w:pPr/>
            <w:r>
              <w:t xml:space="preserve">2</w:t>
            </w:r>
          </w:p>
        </w:tc>
        <w:tc>
          <w:tcPr>
            <w:tcW w:w="850" w:type="dxa"/>
          </w:tcPr>
          <w:p>
            <w:pPr/>
            <w:r>
              <w:t xml:space="preserve">Dominio y migración del catálogo</w:t>
            </w:r>
          </w:p>
        </w:tc>
        <w:tc>
          <w:tcPr>
            <w:tcW w:w="6810" w:type="dxa"/>
          </w:tcPr>
          <w:p>
            <w:pPr/>
            <w:r>
              <w:t xml:space="preserve">Pruebas unitarias del dominio </w:t>
            </w:r>
            <w:r>
              <w:rPr>
                <w:b/>
              </w:rPr>
              <w:t xml:space="preserve">en C# y en Dart</w:t>
            </w:r>
            <w:r>
              <w:t xml:space="preserve">, y su conformidad entre sí sobre los vectores que comparten. Comprobaciones automatizadas del catálogo y del stock, reejecutables desde cero, con las pruebas negativas de fusión y de clasificación</w:t>
            </w:r>
          </w:p>
        </w:tc>
        <w:tc>
          <w:tcPr>
            <w:tcW w:w="850" w:type="dxa"/>
          </w:tcPr>
          <w:p>
            <w:pPr/>
            <w:r>
              <w:t xml:space="preserve">M01, M14, M18, M19, M21</w:t>
            </w:r>
          </w:p>
        </w:tc>
      </w:tr>
      <w:tr>
        <w:tc>
          <w:tcPr>
            <w:tcW w:w="850" w:type="dxa"/>
          </w:tcPr>
          <w:p>
            <w:pPr/>
            <w:r>
              <w:t xml:space="preserve">3</w:t>
            </w:r>
          </w:p>
        </w:tc>
        <w:tc>
          <w:tcPr>
            <w:tcW w:w="850" w:type="dxa"/>
          </w:tcPr>
          <w:p>
            <w:pPr/>
            <w:r>
              <w:t xml:space="preserve">La caja</w:t>
            </w:r>
          </w:p>
        </w:tc>
        <w:tc>
          <w:tcPr>
            <w:tcW w:w="6810" w:type="dxa"/>
          </w:tcPr>
          <w:p>
            <w:pPr/>
            <w:r>
              <w:t xml:space="preserve">Casos de sistema y de aceptación de la venta: un turno completo, sin conexión, en un terminal</w:t>
            </w:r>
          </w:p>
        </w:tc>
        <w:tc>
          <w:tcPr>
            <w:tcW w:w="850" w:type="dxa"/>
          </w:tcPr>
          <w:p>
            <w:pPr/>
            <w:r>
              <w:t xml:space="preserve">M02 a M06, M09, M10</w:t>
            </w:r>
          </w:p>
        </w:tc>
      </w:tr>
      <w:tr>
        <w:tc>
          <w:tcPr>
            <w:tcW w:w="850" w:type="dxa"/>
          </w:tcPr>
          <w:p>
            <w:pPr/>
            <w:r>
              <w:t xml:space="preserve">4</w:t>
            </w:r>
          </w:p>
        </w:tc>
        <w:tc>
          <w:tcPr>
            <w:tcW w:w="850" w:type="dxa"/>
          </w:tcPr>
          <w:p>
            <w:pPr/>
            <w:r>
              <w:t xml:space="preserve">Servidor, sincronización y SUNAT</w:t>
            </w:r>
          </w:p>
        </w:tc>
        <w:tc>
          <w:tcPr>
            <w:tcW w:w="6810" w:type="dxa"/>
          </w:tcPr>
          <w:p>
            <w:pPr/>
            <w:r>
              <w:t xml:space="preserve">Los trece casos límite de sincronización; el contrato de archivos con el Facturador y sus casos de rechazo; el resumen diario aceptado; la reconciliación </w:t>
            </w:r>
            <w:r>
              <w:rPr>
                <w:b/>
              </w:rPr>
              <w:t xml:space="preserve">por sede</w:t>
            </w:r>
            <w:r>
              <w:t xml:space="preserve">; la consolidación de las dos sedes y la unicidad de las series; </w:t>
            </w:r>
            <w:r>
              <w:rPr>
                <w:b/>
              </w:rPr>
              <w:t xml:space="preserve">el aislamiento entre clientes probado por el lado negativo</w:t>
            </w:r>
            <w:r>
              <w:t xml:space="preserve">; y una restauración de respaldo efectivamente ejecutada, que incluya las carpetas del Facturador de cada sede</w:t>
            </w:r>
          </w:p>
        </w:tc>
        <w:tc>
          <w:tcPr>
            <w:tcW w:w="850" w:type="dxa"/>
          </w:tcPr>
          <w:p>
            <w:pPr/>
            <w:r>
              <w:t xml:space="preserve">M07, M08, M15, M17, M20, M22</w:t>
            </w:r>
          </w:p>
        </w:tc>
      </w:tr>
      <w:tr>
        <w:tc>
          <w:tcPr>
            <w:tcW w:w="850" w:type="dxa"/>
          </w:tcPr>
          <w:p>
            <w:pPr/>
            <w:r>
              <w:t xml:space="preserve">5</w:t>
            </w:r>
          </w:p>
        </w:tc>
        <w:tc>
          <w:tcPr>
            <w:tcW w:w="850" w:type="dxa"/>
          </w:tcPr>
          <w:p>
            <w:pPr/>
            <w:r>
              <w:t xml:space="preserve">Panel web</w:t>
            </w:r>
          </w:p>
        </w:tc>
        <w:tc>
          <w:tcPr>
            <w:tcW w:w="6810" w:type="dxa"/>
          </w:tcPr>
          <w:p>
            <w:pPr/>
            <w:r>
              <w:t xml:space="preserve">Reportes contra cifras conocidas, rentabilidad reproducible con costo histórico, el escalado de la vigilancia de sincronización, y que los reportes </w:t>
            </w:r>
            <w:r>
              <w:rPr>
                <w:b/>
              </w:rPr>
              <w:t xml:space="preserve">marquen el dato heredado</w:t>
            </w:r>
            <w:r>
              <w:t xml:space="preserve"> en lugar de mezclarlo con el verificado</w:t>
            </w:r>
          </w:p>
        </w:tc>
        <w:tc>
          <w:tcPr>
            <w:tcW w:w="850" w:type="dxa"/>
          </w:tcPr>
          <w:p>
            <w:pPr/>
            <w:r>
              <w:t xml:space="preserve">M11, M12, M16, M19</w:t>
            </w:r>
          </w:p>
        </w:tc>
      </w:tr>
      <w:tr>
        <w:tc>
          <w:tcPr>
            <w:tcW w:w="850" w:type="dxa"/>
          </w:tcPr>
          <w:p>
            <w:pPr/>
            <w:r>
              <w:t xml:space="preserve">6</w:t>
            </w:r>
          </w:p>
        </w:tc>
        <w:tc>
          <w:tcPr>
            <w:tcW w:w="850" w:type="dxa"/>
          </w:tcPr>
          <w:p>
            <w:pPr/>
            <w:r>
              <w:t xml:space="preserve">Móvil e inventario</w:t>
            </w:r>
          </w:p>
        </w:tc>
        <w:tc>
          <w:tcPr>
            <w:tcW w:w="6810" w:type="dxa"/>
          </w:tcPr>
          <w:p>
            <w:pPr/>
            <w:r>
              <w:t xml:space="preserve">Escaneo con dispositivo real, captura masiva de códigos, y el </w:t>
            </w:r>
            <w:r>
              <w:rPr>
                <w:b/>
              </w:rPr>
              <w:t xml:space="preserve">conteo físico que convierte cada saldo heredado en saldo verificado</w:t>
            </w:r>
            <w:r>
              <w:t xml:space="preserve">, con sus diferencias registradas, </w:t>
            </w:r>
            <w:r>
              <w:rPr>
                <w:b/>
              </w:rPr>
              <w:t xml:space="preserve">en las dos sedes y el almacén central</w:t>
            </w:r>
            <w:r>
              <w:t xml:space="preserve">. Al no migrarse las ventas, esta fase deja de ser la última en importancia y pasa a ser la que hace que el inventario signifique algo</w:t>
            </w:r>
          </w:p>
        </w:tc>
        <w:tc>
          <w:tcPr>
            <w:tcW w:w="850" w:type="dxa"/>
          </w:tcPr>
          <w:p>
            <w:pPr/>
            <w:r>
              <w:t xml:space="preserve">M13, M19</w:t>
            </w:r>
          </w:p>
        </w:tc>
      </w:tr>
      <w:tr>
        <w:tc>
          <w:tcPr>
            <w:tcW w:w="850" w:type="dxa"/>
          </w:tcPr>
          <w:p>
            <w:pPr/>
            <w:r>
              <w:t xml:space="preserve">7</w:t>
            </w:r>
          </w:p>
        </w:tc>
        <w:tc>
          <w:tcPr>
            <w:tcW w:w="850" w:type="dxa"/>
          </w:tcPr>
          <w:p>
            <w:pPr/>
            <w:r>
              <w:t xml:space="preserve">Corte</w:t>
            </w:r>
          </w:p>
        </w:tc>
        <w:tc>
          <w:tcPr>
            <w:tcW w:w="6810" w:type="dxa"/>
          </w:tcPr>
          <w:p>
            <w:pPr/>
            <w:r>
              <w:rPr>
                <w:b/>
              </w:rPr>
              <w:t xml:space="preserve">Corte seco, sin convivencia.</w:t>
            </w:r>
            <w:r>
              <w:t xml:space="preserve"> No se comparan históricos, porque no se migró ninguno, ni totales del día, porque el sistema viejo deja de funcionar. Lo que se ejecuta aquí es la capacitación y las pruebas de aceptación de un turno completo, que son lo último que puede detectar un problema antes de que el negocio dependa del sistema nuevo</w:t>
            </w:r>
          </w:p>
        </w:tc>
        <w:tc>
          <w:tcPr>
            <w:tcW w:w="850" w:type="dxa"/>
          </w:tcPr>
          <w:p>
            <w:pPr/>
            <w:r>
              <w:t xml:space="preserve">Aceptación final</w:t>
            </w:r>
          </w:p>
        </w:tc>
      </w:tr>
    </w:tbl>
    <w:p>
      <w:pPr/>
      <w:r>
        <w:t xml:space="preserve">El alcance se revisa al cierre de cada fase: si cambia, se emite una nueva versión de este documento y se anota en el historial de versiones.</w:t>
      </w:r>
    </w:p>
    <w:p>
      <w:pPr>
        <w:pStyle w:val="Heading2"/>
      </w:pPr>
      <w:r>
        <w:t xml:space="preserve">10. Referencias</w:t>
      </w:r>
    </w:p>
    <w:p>
      <w:pPr>
        <w:pStyle w:val="ListParagraph"/>
        <w:numPr>
          <w:ilvl w:val="0"/>
          <w:numId w:val="1"/>
        </w:numPr>
      </w:pPr>
      <w:r>
        <w:t xml:space="preserve">Documentación de la migración, en la bóveda del proyecto: contexto y alcance del sistema actual, hallazgos críticos, calidad de datos, requisitos, arquitectura propuesta, sincronización offline, plan de migración de datos, hoja de ruta por fases y decisiones pendientes. Es la fuente de todos los requisitos y de todas las cifras de este documento.</w:t>
      </w:r>
    </w:p>
    <w:p>
      <w:pPr>
        <w:pStyle w:val="ListParagraph"/>
        <w:numPr>
          <w:ilvl w:val="0"/>
          <w:numId w:val="1"/>
        </w:numPr>
      </w:pPr>
      <w:r>
        <w:t xml:space="preserve">Documento de Alcance de Calidad — Toolshop: documento modelo del curso, del que se toman las secciones y el formato.</w:t>
      </w:r>
    </w:p>
    <w:p>
      <w:pPr>
        <w:pStyle w:val="ListParagraph"/>
        <w:numPr>
          <w:ilvl w:val="0"/>
          <w:numId w:val="1"/>
        </w:numPr>
      </w:pPr>
      <w:r>
        <w:t xml:space="preserve">Script de análisis de datos del proyecto: produce sobre el origen las cifras con las que se verifica la migración, de modo que la comparación es directa y reproducible.</w:t>
      </w:r>
    </w:p>
    <w:p>
      <w:pPr>
        <w:pStyle w:val="ListParagraph"/>
        <w:numPr>
          <w:ilvl w:val="0"/>
          <w:numId w:val="1"/>
        </w:numPr>
      </w:pPr>
      <w:r>
        <w:rPr>
          <w:b/>
        </w:rPr>
        <w:t xml:space="preserve">Medición de duplicados del catálogo</w:t>
      </w:r>
      <w:r>
        <w:t xml:space="preserve">, hecha para esta versión sobre los DBF de producción en modo de solo lectura: 3 grupos con descripción repetida y 48 pares con más del 90 % de similitud que resultan ser productos distintos. Es el origen de las cifras de M18 y de su conjunto de pruebas negativas.</w:t>
      </w:r>
    </w:p>
    <w:p>
      <w:pPr>
        <w:pStyle w:val="ListParagraph"/>
        <w:numPr>
          <w:ilvl w:val="0"/>
          <w:numId w:val="1"/>
        </w:numPr>
      </w:pPr>
      <w:r>
        <w:t xml:space="preserve">Normativa de SUNAT sobre comprobantes de pago electrónicos: plazo de envío de la factura de 3 días calendario, y de la boleta por resumen diario hasta el séptimo día calendario siguiente. </w:t>
      </w:r>
      <w:r>
        <w:rPr>
          <w:b/>
        </w:rPr>
        <w:t xml:space="preserve">Referencia exacta por confirmar</w:t>
      </w:r>
      <w:r>
        <w:t xml:space="preserve">, junto con la condición de emisor electrónico del negocio.</w:t>
      </w:r>
    </w:p>
    <w:p>
      <w:pPr>
        <w:pStyle w:val="ListParagraph"/>
        <w:numPr>
          <w:ilvl w:val="0"/>
          <w:numId w:val="1"/>
        </w:numPr>
      </w:pPr>
      <w:r>
        <w:rPr>
          <w:b/>
        </w:rPr>
        <w:t xml:space="preserve">Plazos de la nota de crédito y de la comunicación de baja: por confirmar.</w:t>
      </w:r>
      <w:r>
        <w:t xml:space="preserve"> Las fuentes consultadas son blogs de proveedores comerciales y </w:t>
      </w:r>
      <w:r>
        <w:rPr>
          <w:b/>
        </w:rPr>
        <w:t xml:space="preserve">se contradicen entre sí</w:t>
      </w:r>
      <w:r>
        <w:t xml:space="preserve">, de modo que no se recogen aquí. Hay que confirmarlos en el portal de SUNAT o con un contador antes de diseñar los casos de M05 y M08.</w:t>
      </w:r>
    </w:p>
    <w:p>
      <w:pPr>
        <w:pStyle w:val="ListParagraph"/>
        <w:numPr>
          <w:ilvl w:val="0"/>
          <w:numId w:val="1"/>
        </w:numPr>
      </w:pPr>
      <w:r>
        <w:t xml:space="preserve">Documentación técnica de SUNAT consultada para esta versión:</w:t>
      </w:r>
    </w:p>
    <w:p>
      <w:pPr>
        <w:pStyle w:val="ListParagraph"/>
        <w:numPr>
          <w:ilvl w:val="0"/>
          <w:numId w:val="1"/>
        </w:numPr>
      </w:pPr>
      <w:r>
        <w:t xml:space="preserve">*Manual del Programador*, servicios web de comprobantes de pago electrónicos: cpe.sunat.gob.pe/sites/default/files/inline-files/manual_programador (1).pdf</w:t>
      </w:r>
    </w:p>
    <w:p>
      <w:pPr>
        <w:pStyle w:val="ListParagraph"/>
        <w:numPr>
          <w:ilvl w:val="0"/>
          <w:numId w:val="1"/>
        </w:numPr>
      </w:pPr>
      <w:r>
        <w:t xml:space="preserve">*Certificado Digital*: cpe.sunat.gob.pe/certificado-digital</w:t>
      </w:r>
    </w:p>
    <w:p>
      <w:pPr>
        <w:pStyle w:val="ListParagraph"/>
        <w:numPr>
          <w:ilvl w:val="0"/>
          <w:numId w:val="1"/>
        </w:numPr>
      </w:pPr>
      <w:r>
        <w:t xml:space="preserve">*Obtener certificado digital tributario*, trámite: gob.pe/26725-obtener-certificado-digital-tributario</w:t>
      </w:r>
    </w:p>
    <w:p>
      <w:pPr>
        <w:pStyle w:val="ListParagraph"/>
        <w:numPr>
          <w:ilvl w:val="0"/>
          <w:numId w:val="1"/>
        </w:numPr>
      </w:pPr>
      <w:r>
        <w:t xml:space="preserve">*Sistema Facturador — Instructivo*: cdn.www.gob.pe/uploads/document/file/1864219/Facturador Sunat - Instructivo.pdf</w:t>
      </w:r>
    </w:p>
    <w:p>
      <w:pPr>
        <w:pStyle w:val="ListParagraph"/>
        <w:numPr>
          <w:ilvl w:val="0"/>
          <w:numId w:val="1"/>
        </w:numPr>
      </w:pPr>
      <w:r>
        <w:t xml:space="preserve">*Especificaciones Técnicas de Instalación* del Sistema Facturador: cpe.sunat.gob.pe/sites/default/files/inline-files/Especificaciones Técnicas de Instalación (1).pdf</w:t>
      </w:r>
    </w:p>
    <w:p>
      <w:pPr>
        <w:pStyle w:val="ListParagraph"/>
        <w:numPr>
          <w:ilvl w:val="0"/>
          <w:numId w:val="1"/>
        </w:numPr>
      </w:pPr>
      <w:r>
        <w:t xml:space="preserve">Orientación de SUNAT, *Requisitos para su uso* y *Operatividad*: orientacion.sunat.gob.pe/6785-03-requisitos-para-su-uso y orientacion.sunat.gob.pe/3529-operatividad</w:t>
      </w:r>
    </w:p>
    <w:p>
      <w:pPr>
        <w:pStyle w:val="ListParagraph"/>
        <w:numPr>
          <w:ilvl w:val="0"/>
          <w:numId w:val="1"/>
        </w:numPr>
      </w:pPr>
      <w:r>
        <w:rPr>
          <w:b/>
        </w:rPr>
        <w:t xml:space="preserve">La versión vigente del Facturador y de su documentación se descarga del portal de SUNAT.</w:t>
      </w:r>
      <w:r>
        <w:t xml:space="preserve"> Varias guías que circulan en internet describen versiones de 2016 a 2019 y no sirven como referencia técnica.</w:t>
      </w:r>
    </w:p>
    <w:p>
      <w:pPr>
        <w:pStyle w:val="ListParagraph"/>
        <w:numPr>
          <w:ilvl w:val="0"/>
          <w:numId w:val="1"/>
        </w:numPr>
      </w:pPr>
      <w:r>
        <w:t xml:space="preserve">Malla curricular del curso QA Automatizador (Tecsup Virtual): objetivos y entregables del Módulo 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pPr>
      <w:jc w:val="both"/>
    </w:pPr>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practicesoftwaretesting.com" TargetMode="External"/><Relationship Id="rId4" Type="http://schemas.openxmlformats.org/officeDocument/2006/relationships/hyperlink" Target="https://api.practicesoftwaretesting.com/api/documentation" TargetMode="External"/><Relationship Id="rId5" Type="http://schemas.openxmlformats.org/officeDocument/2006/relationships/hyperlink" Target="https://github.com/testsmith-io/practice-software-testing"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Documento de Alcance de Calidad — MiFarma</dc:title>
  <cp:revision>1</cp:revision>
</cp:coreProperties>
</file>