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FFFFFF"/>
          <w:highlight w:val="cyan"/>
        </w:rPr>
        <w:t xml:space="preserve"> Laboratorio </w:t>
      </w:r>
    </w:p>
    <w:p>
      <w:pPr>
        <w:pStyle w:val="Title"/>
      </w:pPr>
      <w:r>
        <w:t>Notas de sesión · FC-01 Venta sin conexión</w:t>
      </w:r>
    </w:p>
    <w:p>
      <w:r>
        <w:rPr>
          <w:i w:val="0"/>
          <w:color w:val="555555"/>
        </w:rPr>
        <w:t>MiFarma · Autor: Vladimir De La Cruz · Versión 2.0 · 24-oct-2026</w:t>
      </w:r>
    </w:p>
    <w:tbl>
      <w:tblPr>
        <w:tblStyle w:val="TableGrid"/>
        <w:tblW w:type="auto" w:w="0"/>
        <w:jc w:val="center"/>
        <w:tblLayout w:type="fixed"/>
        <w:tblLook w:firstColumn="1" w:firstRow="1" w:lastColumn="0" w:lastRow="0" w:noHBand="0" w:noVBand="1" w:val="04A0"/>
      </w:tblPr>
      <w:tblGrid>
        <w:gridCol w:w="907"/>
        <w:gridCol w:w="1360"/>
        <w:gridCol w:w="7144"/>
      </w:tblGrid>
      <w:tr>
        <w:tc>
          <w:tcPr>
            <w:tcW w:type="dxa" w:w="907"/>
            <w:shd w:val="clear" w:color="auto" w:fill="1F1F1F"/>
          </w:tcPr>
          <w:p>
            <w:r/>
            <w:r>
              <w:rPr>
                <w:b/>
                <w:color w:val="FFFFFF"/>
              </w:rPr>
              <w:t>Versión</w:t>
            </w:r>
          </w:p>
        </w:tc>
        <w:tc>
          <w:tcPr>
            <w:tcW w:type="dxa" w:w="1361"/>
            <w:shd w:val="clear" w:color="auto" w:fill="1F1F1F"/>
          </w:tcPr>
          <w:p>
            <w:r/>
            <w:r>
              <w:rPr>
                <w:b/>
                <w:color w:val="FFFFFF"/>
              </w:rPr>
              <w:t>Fecha</w:t>
            </w:r>
          </w:p>
        </w:tc>
        <w:tc>
          <w:tcPr>
            <w:tcW w:type="dxa" w:w="7143"/>
            <w:shd w:val="clear" w:color="auto" w:fill="1F1F1F"/>
          </w:tcPr>
          <w:p>
            <w:r/>
            <w:r>
              <w:rPr>
                <w:b/>
                <w:color w:val="FFFFFF"/>
              </w:rPr>
              <w:t>Cambio</w:t>
            </w:r>
          </w:p>
        </w:tc>
      </w:tr>
      <w:tr>
        <w:tc>
          <w:tcPr>
            <w:tcW w:type="dxa" w:w="907"/>
          </w:tcPr>
          <w:p>
            <w:r/>
            <w:r>
              <w:t>1.0</w:t>
            </w:r>
          </w:p>
        </w:tc>
        <w:tc>
          <w:tcPr>
            <w:tcW w:type="dxa" w:w="1361"/>
          </w:tcPr>
          <w:p>
            <w:r/>
            <w:r>
              <w:t>17-oct-2026</w:t>
            </w:r>
          </w:p>
        </w:tc>
        <w:tc>
          <w:tcPr>
            <w:tcW w:type="dxa" w:w="7143"/>
          </w:tcPr>
          <w:p>
            <w:r/>
            <w:r>
              <w:t>Notas sacadas solo del documento de casos QA-CAS-FC01 v1.1.</w:t>
            </w:r>
          </w:p>
        </w:tc>
      </w:tr>
      <w:tr>
        <w:tc>
          <w:tcPr>
            <w:tcW w:type="dxa" w:w="907"/>
          </w:tcPr>
          <w:p>
            <w:r/>
            <w:r>
              <w:t>2.0</w:t>
            </w:r>
          </w:p>
        </w:tc>
        <w:tc>
          <w:tcPr>
            <w:tcW w:type="dxa" w:w="1361"/>
          </w:tcPr>
          <w:p>
            <w:r/>
            <w:r>
              <w:t>24-oct-2026</w:t>
            </w:r>
          </w:p>
        </w:tc>
        <w:tc>
          <w:tcPr>
            <w:tcW w:type="dxa" w:w="7143"/>
          </w:tcPr>
          <w:p>
            <w:r/>
            <w:r>
              <w:t>Reescritas con la documentación del proyecto (carpeta «Sistema de Venta»): el código recuperado y la medición de datos dan a cada defecto su procedimiento de origen; se añaden cuatro defectos del flujo de venta que el documento de casos no recogía; las preguntas ya respondidas por las decisiones del proyecto se cierran con su respuesta; las ideas se alinean con el stack definitivo (C# + WPF + SQLite) y con FC-01 v1.3.</w:t>
            </w:r>
          </w:p>
        </w:tc>
      </w:tr>
    </w:tbl>
    <w:p/>
    <w:p>
      <w:r>
        <w:rPr>
          <w:b/>
        </w:rPr>
        <w:t xml:space="preserve">Alcance de estas notas. </w:t>
      </w:r>
      <w:r>
        <w:rPr>
          <w:i w:val="0"/>
        </w:rPr>
        <w:t>Todo valor sale de la documentación del proyecto, no de una ejecución. MiFarma todavía no se puede ejecutar, así que la sesión que se anota es la exploración del sistema actual, BOT. FARMAVIDA, sobre su código recuperado y sus datos de producción en solo lectura. Lo que la plantilla pide y ningún documento registra (las horas y el balance de tiempo) sigue marcado como pendiente en lugar de inventarse.</w:t>
      </w:r>
    </w:p>
    <w:p>
      <w:pPr>
        <w:pStyle w:val="Heading1"/>
      </w:pPr>
      <w:r>
        <w:t>1. Encabezado de la sesión</w:t>
      </w:r>
    </w:p>
    <w:tbl>
      <w:tblPr>
        <w:tblStyle w:val="TableGrid"/>
        <w:tblW w:type="auto" w:w="0"/>
        <w:jc w:val="center"/>
        <w:tblLayout w:type="fixed"/>
        <w:tblLook w:firstColumn="1" w:firstRow="1" w:lastColumn="0" w:lastRow="0" w:noHBand="0" w:noVBand="1" w:val="04A0"/>
      </w:tblPr>
      <w:tblGrid>
        <w:gridCol w:w="2041"/>
        <w:gridCol w:w="7371"/>
      </w:tblGrid>
      <w:tr>
        <w:tc>
          <w:tcPr>
            <w:tcW w:type="dxa" w:w="2041"/>
            <w:shd w:val="clear" w:color="auto" w:fill="1F1F1F"/>
          </w:tcPr>
          <w:p>
            <w:r/>
            <w:r>
              <w:rPr>
                <w:b/>
                <w:color w:val="FFFFFF"/>
              </w:rPr>
              <w:t>Campo</w:t>
            </w:r>
          </w:p>
        </w:tc>
        <w:tc>
          <w:tcPr>
            <w:tcW w:type="dxa" w:w="7370"/>
            <w:shd w:val="clear" w:color="auto" w:fill="1F1F1F"/>
          </w:tcPr>
          <w:p>
            <w:r/>
            <w:r>
              <w:rPr>
                <w:b/>
                <w:color w:val="FFFFFF"/>
              </w:rPr>
              <w:t>Valor</w:t>
            </w:r>
          </w:p>
        </w:tc>
      </w:tr>
      <w:tr>
        <w:tc>
          <w:tcPr>
            <w:tcW w:type="dxa" w:w="2041"/>
          </w:tcPr>
          <w:p>
            <w:r/>
            <w:r>
              <w:t>Charter</w:t>
            </w:r>
          </w:p>
        </w:tc>
        <w:tc>
          <w:tcPr>
            <w:tcW w:type="dxa" w:w="7370"/>
          </w:tcPr>
          <w:p>
            <w:r/>
            <w:r>
              <w:t>Explora la venta en caja de BOT. FARMAVIDA (formularios frm_boleta_factura y frm_anular_ventas, flujo FC-01 de la apertura al ticket) con el código recuperado del ejecutable y los DBF de producción en solo lectura para descubrir los defectos que la caja nueva no debe heredar, con el procedimiento que los causa y su evidencia en los datos.</w:t>
            </w:r>
          </w:p>
        </w:tc>
      </w:tr>
      <w:tr>
        <w:tc>
          <w:tcPr>
            <w:tcW w:type="dxa" w:w="2041"/>
          </w:tcPr>
          <w:p>
            <w:r/>
            <w:r>
              <w:t>Inicio</w:t>
            </w:r>
          </w:p>
        </w:tc>
        <w:tc>
          <w:tcPr>
            <w:tcW w:type="dxa" w:w="7370"/>
          </w:tcPr>
          <w:p>
            <w:r/>
            <w:r>
              <w:rPr>
                <w:i/>
                <w:color w:val="555555"/>
              </w:rPr>
              <w:t>pendiente</w:t>
            </w:r>
          </w:p>
        </w:tc>
      </w:tr>
      <w:tr>
        <w:tc>
          <w:tcPr>
            <w:tcW w:type="dxa" w:w="2041"/>
          </w:tcPr>
          <w:p>
            <w:r/>
            <w:r>
              <w:t>Fin</w:t>
            </w:r>
          </w:p>
        </w:tc>
        <w:tc>
          <w:tcPr>
            <w:tcW w:type="dxa" w:w="7370"/>
          </w:tcPr>
          <w:p>
            <w:r/>
            <w:r>
              <w:rPr>
                <w:i/>
                <w:color w:val="555555"/>
              </w:rPr>
              <w:t>pendiente</w:t>
            </w:r>
          </w:p>
        </w:tc>
      </w:tr>
      <w:tr>
        <w:tc>
          <w:tcPr>
            <w:tcW w:type="dxa" w:w="2041"/>
          </w:tcPr>
          <w:p>
            <w:r/>
            <w:r>
              <w:t>Duración prevista</w:t>
            </w:r>
          </w:p>
        </w:tc>
        <w:tc>
          <w:tcPr>
            <w:tcW w:type="dxa" w:w="7370"/>
          </w:tcPr>
          <w:p>
            <w:r/>
            <w:r>
              <w:t>60 a 90 minutos, que es lo que el alcance de calidad fija para cada sesión exploratoria (QA-ALC-001, tabla de tipos de prueba). La duración real no consta.</w:t>
            </w:r>
          </w:p>
        </w:tc>
      </w:tr>
      <w:tr>
        <w:tc>
          <w:tcPr>
            <w:tcW w:type="dxa" w:w="2041"/>
          </w:tcPr>
          <w:p>
            <w:r/>
            <w:r>
              <w:t>Sistema explorado</w:t>
            </w:r>
          </w:p>
        </w:tc>
        <w:tc>
          <w:tcPr>
            <w:tcW w:type="dxa" w:w="7370"/>
          </w:tcPr>
          <w:p>
            <w:r/>
            <w:r>
              <w:t>BOT. FARMAVIDA, Visual FoxPro 9. Ejecutable de 1.68 MB compilado el 25-jun-2017, en D:\MiFarma\SISFAR. Datos: 13 tablas DBF y el contenedor limpieza.dbc.</w:t>
            </w:r>
          </w:p>
        </w:tc>
      </w:tr>
      <w:tr>
        <w:tc>
          <w:tcPr>
            <w:tcW w:type="dxa" w:w="2041"/>
          </w:tcPr>
          <w:p>
            <w:r/>
            <w:r>
              <w:t>Entorno y herramientas</w:t>
            </w:r>
          </w:p>
        </w:tc>
        <w:tc>
          <w:tcPr>
            <w:tcW w:type="dxa" w:w="7370"/>
          </w:tcPr>
          <w:p>
            <w:r/>
            <w:r>
              <w:t>extraer_fuente.py reconstruye el fuente desde el EXE: 30 módulos, 238 procedimientos, 27 vistas SQL, 0 módulos sin identificar. analizar_datos.py mide los DBF. Ningún byte de D:\MiFarma\SISFAR se modificó.</w:t>
            </w:r>
          </w:p>
        </w:tc>
      </w:tr>
      <w:tr>
        <w:tc>
          <w:tcPr>
            <w:tcW w:type="dxa" w:w="2041"/>
          </w:tcPr>
          <w:p>
            <w:r/>
            <w:r>
              <w:t>Fuentes</w:t>
            </w:r>
          </w:p>
        </w:tc>
        <w:tc>
          <w:tcPr>
            <w:tcW w:type="dxa" w:w="7370"/>
          </w:tcPr>
          <w:p>
            <w:r/>
            <w:r>
              <w:t>00 Índice; 01 Contexto; 07 Reglas de negocio; 11 Hallazgos críticos; 12 Calidad de datos; 13 Deuda funcional; 21 Decisiones del proyecto; QA-CAS-FC01 v1.3; QA-ALC-001 v1.5 (.md).</w:t>
            </w:r>
          </w:p>
        </w:tc>
      </w:tr>
    </w:tbl>
    <w:p/>
    <w:p>
      <w:pPr>
        <w:pStyle w:val="Heading1"/>
      </w:pPr>
      <w:r>
        <w:t>2. Etiquetas</w:t>
      </w:r>
    </w:p>
    <w:tbl>
      <w:tblPr>
        <w:tblStyle w:val="TableGrid"/>
        <w:tblW w:type="auto" w:w="0"/>
        <w:jc w:val="center"/>
        <w:tblLayout w:type="fixed"/>
        <w:tblLook w:firstColumn="1" w:firstRow="1" w:lastColumn="0" w:lastRow="0" w:noHBand="0" w:noVBand="1" w:val="04A0"/>
      </w:tblPr>
      <w:tblGrid>
        <w:gridCol w:w="680"/>
        <w:gridCol w:w="8731"/>
      </w:tblGrid>
      <w:tr>
        <w:tc>
          <w:tcPr>
            <w:tcW w:type="dxa" w:w="680"/>
            <w:shd w:val="clear" w:color="auto" w:fill="1F1F1F"/>
          </w:tcPr>
          <w:p>
            <w:r/>
            <w:r>
              <w:rPr>
                <w:b/>
                <w:color w:val="FFFFFF"/>
              </w:rPr>
            </w:r>
          </w:p>
        </w:tc>
        <w:tc>
          <w:tcPr>
            <w:tcW w:type="dxa" w:w="8731"/>
            <w:shd w:val="clear" w:color="auto" w:fill="1F1F1F"/>
          </w:tcPr>
          <w:p>
            <w:r/>
            <w:r>
              <w:rPr>
                <w:b/>
                <w:color w:val="FFFFFF"/>
              </w:rPr>
              <w:t>Significado</w:t>
            </w:r>
          </w:p>
        </w:tc>
      </w:tr>
      <w:tr>
        <w:tc>
          <w:tcPr>
            <w:tcW w:type="dxa" w:w="680"/>
          </w:tcPr>
          <w:p>
            <w:pPr>
              <w:jc w:val="center"/>
            </w:pPr>
            <w:r/>
            <w:r>
              <w:rPr>
                <w:b/>
                <w:color w:val="00A3D9"/>
              </w:rPr>
              <w:t>O</w:t>
            </w:r>
          </w:p>
        </w:tc>
        <w:tc>
          <w:tcPr>
            <w:tcW w:type="dxa" w:w="8731"/>
          </w:tcPr>
          <w:p>
            <w:r/>
            <w:r>
              <w:t>Observación. Un hecho sin juicio, con valores concretos.</w:t>
            </w:r>
          </w:p>
        </w:tc>
      </w:tr>
      <w:tr>
        <w:tc>
          <w:tcPr>
            <w:tcW w:type="dxa" w:w="680"/>
          </w:tcPr>
          <w:p>
            <w:pPr>
              <w:jc w:val="center"/>
            </w:pPr>
            <w:r/>
            <w:r>
              <w:rPr>
                <w:b/>
                <w:color w:val="00A3D9"/>
              </w:rPr>
              <w:t>D</w:t>
            </w:r>
          </w:p>
        </w:tc>
        <w:tc>
          <w:tcPr>
            <w:tcW w:type="dxa" w:w="8731"/>
          </w:tcPr>
          <w:p>
            <w:r/>
            <w:r>
              <w:t>Defecto. Algo que no se comporta como se esperaba: pasos y lo observado.</w:t>
            </w:r>
          </w:p>
        </w:tc>
      </w:tr>
      <w:tr>
        <w:tc>
          <w:tcPr>
            <w:tcW w:type="dxa" w:w="680"/>
          </w:tcPr>
          <w:p>
            <w:pPr>
              <w:jc w:val="center"/>
            </w:pPr>
            <w:r/>
            <w:r>
              <w:rPr>
                <w:b/>
                <w:color w:val="00A3D9"/>
              </w:rPr>
              <w:t>P</w:t>
            </w:r>
          </w:p>
        </w:tc>
        <w:tc>
          <w:tcPr>
            <w:tcW w:type="dxa" w:w="8731"/>
          </w:tcPr>
          <w:p>
            <w:r/>
            <w:r>
              <w:t>Pregunta. Algo que no sabes y debe responder el equipo.</w:t>
            </w:r>
          </w:p>
        </w:tc>
      </w:tr>
      <w:tr>
        <w:tc>
          <w:tcPr>
            <w:tcW w:type="dxa" w:w="680"/>
          </w:tcPr>
          <w:p>
            <w:pPr>
              <w:jc w:val="center"/>
            </w:pPr>
            <w:r/>
            <w:r>
              <w:rPr>
                <w:b/>
                <w:color w:val="00A3D9"/>
              </w:rPr>
              <w:t>I</w:t>
            </w:r>
          </w:p>
        </w:tc>
        <w:tc>
          <w:tcPr>
            <w:tcW w:type="dxa" w:w="8731"/>
          </w:tcPr>
          <w:p>
            <w:r/>
            <w:r>
              <w:t>Idea. Una prueba futura para otro charter.</w:t>
            </w:r>
          </w:p>
        </w:tc>
      </w:tr>
    </w:tbl>
    <w:p/>
    <w:p>
      <w:pPr>
        <w:pStyle w:val="Heading1"/>
      </w:pPr>
      <w:r>
        <w:t>3. Notas</w:t>
      </w:r>
    </w:p>
    <w:p>
      <w:r>
        <w:rPr>
          <w:i/>
          <w:color w:val="555555"/>
        </w:rPr>
        <w:t>La hora sigue pendiente en todas las notas porque ningún documento la registra. Van agrupadas por tipo. «Nuevo en v2» marca lo que la versión 1 no tenía.</w:t>
      </w:r>
    </w:p>
    <w:tbl>
      <w:tblPr>
        <w:tblStyle w:val="TableGrid"/>
        <w:tblW w:type="auto" w:w="0"/>
        <w:jc w:val="center"/>
        <w:tblLayout w:type="fixed"/>
        <w:tblLook w:firstColumn="1" w:firstRow="1" w:lastColumn="0" w:lastRow="0" w:noHBand="0" w:noVBand="1" w:val="04A0"/>
      </w:tblPr>
      <w:tblGrid>
        <w:gridCol w:w="1360"/>
        <w:gridCol w:w="680"/>
        <w:gridCol w:w="7371"/>
      </w:tblGrid>
      <w:tr>
        <w:tc>
          <w:tcPr>
            <w:tcW w:type="dxa" w:w="1361"/>
            <w:shd w:val="clear" w:color="auto" w:fill="1F1F1F"/>
          </w:tcPr>
          <w:p>
            <w:r/>
            <w:r>
              <w:rPr>
                <w:b/>
                <w:color w:val="FFFFFF"/>
              </w:rPr>
              <w:t>Hora</w:t>
            </w:r>
          </w:p>
        </w:tc>
        <w:tc>
          <w:tcPr>
            <w:tcW w:type="dxa" w:w="680"/>
            <w:shd w:val="clear" w:color="auto" w:fill="1F1F1F"/>
          </w:tcPr>
          <w:p>
            <w:r/>
            <w:r>
              <w:rPr>
                <w:b/>
                <w:color w:val="FFFFFF"/>
              </w:rPr>
              <w:t>Tipo</w:t>
            </w:r>
          </w:p>
        </w:tc>
        <w:tc>
          <w:tcPr>
            <w:tcW w:type="dxa" w:w="7370"/>
            <w:shd w:val="clear" w:color="auto" w:fill="1F1F1F"/>
          </w:tcPr>
          <w:p>
            <w:r/>
            <w:r>
              <w:rPr>
                <w:b/>
                <w:color w:val="FFFFFF"/>
              </w:rPr>
              <w:t>Nota</w:t>
            </w:r>
          </w:p>
        </w:tc>
      </w:tr>
      <w:tr>
        <w:tc>
          <w:tcPr>
            <w:tcW w:type="dxa" w:w="1361"/>
          </w:tcPr>
          <w:p>
            <w:r/>
            <w:r>
              <w:rPr>
                <w:i/>
                <w:color w:val="555555"/>
              </w:rPr>
              <w:t>[pendiente]</w:t>
            </w:r>
          </w:p>
        </w:tc>
        <w:tc>
          <w:tcPr>
            <w:tcW w:type="dxa" w:w="680"/>
          </w:tcPr>
          <w:p>
            <w:pPr>
              <w:jc w:val="center"/>
            </w:pPr>
            <w:r/>
            <w:r>
              <w:rPr>
                <w:b/>
                <w:color w:val="00A3D9"/>
              </w:rPr>
              <w:t>O</w:t>
            </w:r>
          </w:p>
        </w:tc>
        <w:tc>
          <w:tcPr>
            <w:tcW w:type="dxa" w:w="7370"/>
          </w:tcPr>
          <w:p>
            <w:r/>
            <w:r>
              <w:t>Vida del sistema según las fechas de emisión: 1 venta en 2015, 8,658 en 2016, 16,392 en 2017, 14,235 en 2018, 6,482 en 2019, 0 de 2020 a 2024, 9,507 en 2025 y 3,057 en 2026 hasta el 1 de mayo. Volumen medido: unas 25 boletas diarias; el negocio declara 50. (Nuevo en v2)</w:t>
            </w:r>
          </w:p>
        </w:tc>
      </w:tr>
      <w:tr>
        <w:tc>
          <w:tcPr>
            <w:tcW w:type="dxa" w:w="1361"/>
          </w:tcPr>
          <w:p>
            <w:r/>
            <w:r>
              <w:rPr>
                <w:i/>
                <w:color w:val="555555"/>
              </w:rPr>
              <w:t>[pendiente]</w:t>
            </w:r>
          </w:p>
        </w:tc>
        <w:tc>
          <w:tcPr>
            <w:tcW w:type="dxa" w:w="680"/>
          </w:tcPr>
          <w:p>
            <w:pPr>
              <w:jc w:val="center"/>
            </w:pPr>
            <w:r/>
            <w:r>
              <w:rPr>
                <w:b/>
                <w:color w:val="00A3D9"/>
              </w:rPr>
              <w:t>O</w:t>
            </w:r>
          </w:p>
        </w:tc>
        <w:tc>
          <w:tcPr>
            <w:tcW w:type="dxa" w:w="7370"/>
          </w:tcPr>
          <w:p>
            <w:r/>
            <w:r>
              <w:t>Libro de ventas: 58,332 ventas, 187,155 líneas y 58,333 comprobantes. 25 ventas sin ninguna línea, 23 sin cliente o sin comprobante, 1 comprobante sobrante. Al revés, 0 líneas con venta o producto inexistente, y las 58,307 ventas referidas por el detalle existen todas.</w:t>
            </w:r>
          </w:p>
        </w:tc>
      </w:tr>
      <w:tr>
        <w:tc>
          <w:tcPr>
            <w:tcW w:type="dxa" w:w="1361"/>
          </w:tcPr>
          <w:p>
            <w:r/>
            <w:r>
              <w:rPr>
                <w:i/>
                <w:color w:val="555555"/>
              </w:rPr>
              <w:t>[pendiente]</w:t>
            </w:r>
          </w:p>
        </w:tc>
        <w:tc>
          <w:tcPr>
            <w:tcW w:type="dxa" w:w="680"/>
          </w:tcPr>
          <w:p>
            <w:pPr>
              <w:jc w:val="center"/>
            </w:pPr>
            <w:r/>
            <w:r>
              <w:rPr>
                <w:b/>
                <w:color w:val="00A3D9"/>
              </w:rPr>
              <w:t>O</w:t>
            </w:r>
          </w:p>
        </w:tc>
        <w:tc>
          <w:tcPr>
            <w:tcW w:type="dxa" w:w="7370"/>
          </w:tcPr>
          <w:p>
            <w:r/>
            <w:r>
              <w:t>Comprobantes: 1 sola serie (B001-) en los 58,333; IGV igual a 0 en el 100 por ciento; IMPRESION = .T. en 0; total máximo 1,841.80 frente a un techo de 9,999.99; 6 ventas anuladas y 0 a crédito. (Nuevo en v2)</w:t>
            </w:r>
          </w:p>
        </w:tc>
      </w:tr>
      <w:tr>
        <w:tc>
          <w:tcPr>
            <w:tcW w:type="dxa" w:w="1361"/>
          </w:tcPr>
          <w:p>
            <w:r/>
            <w:r>
              <w:rPr>
                <w:i/>
                <w:color w:val="555555"/>
              </w:rPr>
              <w:t>[pendiente]</w:t>
            </w:r>
          </w:p>
        </w:tc>
        <w:tc>
          <w:tcPr>
            <w:tcW w:type="dxa" w:w="680"/>
          </w:tcPr>
          <w:p>
            <w:pPr>
              <w:jc w:val="center"/>
            </w:pPr>
            <w:r/>
            <w:r>
              <w:rPr>
                <w:b/>
                <w:color w:val="00A3D9"/>
              </w:rPr>
              <w:t>O</w:t>
            </w:r>
          </w:p>
        </w:tc>
        <w:tc>
          <w:tcPr>
            <w:tcW w:type="dxa" w:w="7370"/>
          </w:tcPr>
          <w:p>
            <w:r/>
            <w:r>
              <w:t>Transacciones: 0 BEGIN TRANSACTION en los 238 procedimientos; los TABLEUPDATE() van sueltos y su valor de retorno nunca se comprueba.</w:t>
            </w:r>
          </w:p>
        </w:tc>
      </w:tr>
      <w:tr>
        <w:tc>
          <w:tcPr>
            <w:tcW w:type="dxa" w:w="1361"/>
          </w:tcPr>
          <w:p>
            <w:r/>
            <w:r>
              <w:rPr>
                <w:i/>
                <w:color w:val="555555"/>
              </w:rPr>
              <w:t>[pendiente]</w:t>
            </w:r>
          </w:p>
        </w:tc>
        <w:tc>
          <w:tcPr>
            <w:tcW w:type="dxa" w:w="680"/>
          </w:tcPr>
          <w:p>
            <w:pPr>
              <w:jc w:val="center"/>
            </w:pPr>
            <w:r/>
            <w:r>
              <w:rPr>
                <w:b/>
                <w:color w:val="00A3D9"/>
              </w:rPr>
              <w:t>O</w:t>
            </w:r>
          </w:p>
        </w:tc>
        <w:tc>
          <w:tcPr>
            <w:tcW w:type="dxa" w:w="7370"/>
          </w:tcPr>
          <w:p>
            <w:r/>
            <w:r>
              <w:t>Catálogo: 1,736 productos; 513 con stock 0 (30 por ciento); 341 con precio de venta por debajo del costo (20 por ciento), que dan 18,880 líneas con ganancia negativa (10.1 por ciento de 187,155); 1,719 vencimientos de 2019 o anteriores, repetidos en bloque (por ejemplo 2019-05-02); 0 códigos de barras. (Nuevo en v2)</w:t>
            </w:r>
          </w:p>
        </w:tc>
      </w:tr>
      <w:tr>
        <w:tc>
          <w:tcPr>
            <w:tcW w:type="dxa" w:w="1361"/>
          </w:tcPr>
          <w:p>
            <w:r/>
            <w:r>
              <w:rPr>
                <w:i/>
                <w:color w:val="555555"/>
              </w:rPr>
              <w:t>[pendiente]</w:t>
            </w:r>
          </w:p>
        </w:tc>
        <w:tc>
          <w:tcPr>
            <w:tcW w:type="dxa" w:w="680"/>
          </w:tcPr>
          <w:p>
            <w:pPr>
              <w:jc w:val="center"/>
            </w:pPr>
            <w:r/>
            <w:r>
              <w:rPr>
                <w:b/>
                <w:color w:val="00A3D9"/>
              </w:rPr>
              <w:t>O</w:t>
            </w:r>
          </w:p>
        </w:tc>
        <w:tc>
          <w:tcPr>
            <w:tcW w:type="dxa" w:w="7370"/>
          </w:tcPr>
          <w:p>
            <w:r/>
            <w:r>
              <w:t>Reglas de venta en frm_boleta_factura: la cantidad y el precio se piden con INPUTBOX; el precio unitario es un piso (precio &gt;= precio_unitventa) sin máximo; la tasa es el literal 1.18 en tres lugares y el subtotal se calcula hacia atrás (total / 1.18) sin redondeo. (Nuevo en v2)</w:t>
            </w:r>
          </w:p>
        </w:tc>
      </w:tr>
      <w:tr>
        <w:tc>
          <w:tcPr>
            <w:tcW w:type="dxa" w:w="1361"/>
          </w:tcPr>
          <w:p>
            <w:r/>
            <w:r>
              <w:rPr>
                <w:i/>
                <w:color w:val="555555"/>
              </w:rPr>
              <w:t>[pendiente]</w:t>
            </w:r>
          </w:p>
        </w:tc>
        <w:tc>
          <w:tcPr>
            <w:tcW w:type="dxa" w:w="680"/>
          </w:tcPr>
          <w:p>
            <w:pPr>
              <w:jc w:val="center"/>
            </w:pPr>
            <w:r/>
            <w:r>
              <w:rPr>
                <w:b/>
                <w:color w:val="00A3D9"/>
              </w:rPr>
              <w:t>O</w:t>
            </w:r>
          </w:p>
        </w:tc>
        <w:tc>
          <w:tcPr>
            <w:tcW w:type="dxa" w:w="7370"/>
          </w:tcPr>
          <w:p>
            <w:r/>
            <w:r>
              <w:t>Por qué nunca se imprimió, según el negocio (decisión 3): el sistema se bloquea al intentar imprimir. La boleta se emite por el Portal SOL cuando hay internet y en papel cuando no. (Nuevo en v2)</w:t>
            </w:r>
          </w:p>
        </w:tc>
      </w:tr>
      <w:tr>
        <w:tc>
          <w:tcPr>
            <w:tcW w:type="dxa" w:w="1361"/>
          </w:tcPr>
          <w:p>
            <w:r/>
            <w:r>
              <w:rPr>
                <w:i/>
                <w:color w:val="555555"/>
              </w:rPr>
              <w:t>[pendiente]</w:t>
            </w:r>
          </w:p>
        </w:tc>
        <w:tc>
          <w:tcPr>
            <w:tcW w:type="dxa" w:w="680"/>
          </w:tcPr>
          <w:p>
            <w:pPr>
              <w:jc w:val="center"/>
            </w:pPr>
            <w:r/>
            <w:r>
              <w:rPr>
                <w:b/>
                <w:color w:val="00A3D9"/>
              </w:rPr>
              <w:t>O</w:t>
            </w:r>
          </w:p>
        </w:tc>
        <w:tc>
          <w:tcPr>
            <w:tcW w:type="dxa" w:w="7370"/>
          </w:tcPr>
          <w:p>
            <w:r/>
            <w:r>
              <w:t>Interfaz: el botón de respaldo (cmdlimpiar.Click) es un procedimiento vacío y el último .BAK manual es de 2013; el de imprimir solo muestra un aviso (U3).</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Hallazgo 1 / DEF-01 · No imprime. Origen: frm_boleta_factura.cmdimprimir.Click, con REPORT FORM boleta_ok.frx y replace impresion comentados. Pasos: 1) registrar una venta; 2) pulsar Imprimir. Esperado: sale el ticket y queda marcado como impreso. Observado: MESSAGEBOX «El Comprobante aun no puede ser impreso»; IMPRESION = .F. en 58,331 de 58,331. Crítica / alta. Caso: TC-FC01-016.</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Hallazgo 3 / DEF-02 · Anular una línea pone en cero el comprobante. Origen: DblClick de la grilla de frm_anular_ventas. Pasos: 1) abrir la anulación con un comprobante de varias líneas; 2) doble clic en una línea. Esperado: confirmación y total recalculado. Observado: sin confirmación, la línea queda con cantidad, precio e importe 0, el stock se devuelve, subtotal, IGV y total del comprobante pasan a 0.00, la ganancia no se toca y no hay TABLEUPDATE(). Opera sobre la línea donde esté el puntero, sin verificar que sea del comprobante mostrado. Crítica / alta. Caso: TC-FC01-007.</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Hallazgo 7 · Cabeceras huérfanas. Origen: cmdnuevo.Click hace APPEND BLANK en venta y en factura_boleta antes de la primera línea. Pasos: 1) pulsar Nuevo; 2) cerrar sin grabar. Esperado: nada escrito. Observado: la cabecera queda grabada; explica las 25 ventas sin línea y el comprobante sobrante. Alta / alta. Caso: TC-FC01-008.</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Hallazgo 8 · EXIT sin bucle. Origen: el DO WHILE cant&lt;=0 OR cant &gt; cStock quedó comentado y el EXIT sobrevivió. Pasos: 1) vender un producto con stock exactamente 0 (con 1 no se reproduce). Esperado: aviso en español. Observado: error en tiempo de ejecución de FoxPro en pantalla y la venta se cae. Alta / alta. Caso: TC-FC01-005.</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Hallazgo 9 · Repetir un producto sustituye la cantidad. Origen: LOCATE sobre DetalleVenta y replace cantidad WITH cant. Pasos: 1) añadir un producto con cantidad 2; 2) añadir el mismo con 3. Esperado: una línea con 5. Observado: la segunda cantidad reemplaza a la primera. El mismo patrón está en el pedido a proveedor. Alta / alta. Caso: TC-FC01-004.</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Hallazgo 10 / DEF-03 · Venta grabada a medias. Origen: cmdgrabar.Click escribe en venta, factura_boleta y detalle_venta_prod y descuenta stock línea a línea, sin transacción. Pasos: 1) grabar una venta de varias líneas; 2) interrumpir a mitad. Esperado: todo o nada. Observado: venta a medias y stock parcialmente descontado, sin error ni rastro. Crítica / alta. Caso: TC-FC01-014.</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Hallazgo 12 · Cientos en dos palabras. Origen: crear_monto, Frase=Frase+N&amp;Cen+" CIENTOS ". Pasos: 1) emitir comprobantes de 362.50 y 298.00. Esperado: TRESCIENTOS SESENTA Y DOS CON 50/100 y DOSCIENTOS NOVENTA Y OCHO CON 00/100. Observado (venta.son): TRES CIENTOS… y DOS CIENTOS…. 146 comprobantes: 100 DOS, 28 TRES, 9 CUATRO, 5 SEIS y 4 OCHO CIENTOS. La macro N&amp;Cen además falla si falta la variable del dígito, y el bucle cubre solo tres grupos de tres cifras. Media / media. Caso: TC-FC01-011.</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Hallazgo 15 · Techo del esquema. Origen: factura_boleta SUBTOTAL, IGV y TOTAL en F(7,2) y detalle_venta_prod.CANTIDAD en N(3). Pasos: 1) vender 1,000 unidades a 12.00. Esperado: 1,000 y 12,000.00. Observado: no reproducido en producción (máximo 1,841.80); el límite es 999 y 9,999.99. Media / baja. Caso: TC-FC01-006.</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Hallazgo 16 · El IGV de la factura no se graba. Origen: cmdgrabar.Click, IF igv != 0.00 sobre el campo recién creado con APPEND BLANK, y actualizar_total asigna la cadena '0.00' a txtIgv. Pasos: 1) emitir una factura con subtotal 200.00. Esperado: IGV 36.00 grabado. Observado: la condición es siempre falsa; corregirla sola grabaría una cadena en un F(7,2). Sin efecto hoy: 0 facturas (hallazgo 2). Media / alta. Caso: TC-FC01-010.</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Contador de productos que nunca baja. Origen: la variable pública nro_productos sube al insertar una línea y no baja al quitarla, y es la guarda IF nro_productos = 0. Pasos: 1) añadir una línea; 2) quitarla; 3) grabar. Esperado: no deja grabar una venta vacía. Observado (por lectura de código): la guarda cree que hay productos. Sin caso en FC-01. (Nuevo en v2)</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Cantidad inválida descartada en silencio. Origen: cant=VAL(INPUTBOX(…)). Pasos: 1) teclear texto en la cantidad. Esperado: mensaje que pida corregir. Observado (por lectura de código): VAL da 0 y la línea se descarta sin aviso. Sin caso en FC-01. (Nuevo en v2)</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Stock validado contra una copia. Origen: IF cant &gt; cStock compara con la copia del stock en la vista, no con el valor vivo. Pasos: 1) con dos cajas, vender a la vez la última unidad. Esperado: la segunda venta ve el stock real. Observado (por lectura de código): las dos validan contra su copia. Relacionado con el hallazgo 6, que es de FC-02. (Nuevo en v2)</w:t>
            </w:r>
          </w:p>
        </w:tc>
      </w:tr>
      <w:tr>
        <w:tc>
          <w:tcPr>
            <w:tcW w:type="dxa" w:w="1361"/>
          </w:tcPr>
          <w:p>
            <w:r/>
            <w:r>
              <w:rPr>
                <w:i/>
                <w:color w:val="555555"/>
              </w:rPr>
              <w:t>[pendiente]</w:t>
            </w:r>
          </w:p>
        </w:tc>
        <w:tc>
          <w:tcPr>
            <w:tcW w:type="dxa" w:w="680"/>
          </w:tcPr>
          <w:p>
            <w:pPr>
              <w:jc w:val="center"/>
            </w:pPr>
            <w:r/>
            <w:r>
              <w:rPr>
                <w:b/>
                <w:color w:val="00A3D9"/>
              </w:rPr>
              <w:t>D</w:t>
            </w:r>
          </w:p>
        </w:tc>
        <w:tc>
          <w:tcPr>
            <w:tcW w:type="dxa" w:w="7370"/>
          </w:tcPr>
          <w:p>
            <w:r/>
            <w:r>
              <w:t>Precio tecleado sin máximo. Origen: IF precio &gt;= cpreciounit, sin tope. Pasos: 1) vender un producto tecleando un precio muy por encima del de lista. Esperado: precio de lista o tope. Observado: se acepta cualquier importe por encima del piso; junto a los 341 precios invertidos explica las 18,880 líneas con ganancia negativa. Sin caso en FC-01. (Nuevo en v2)</w:t>
            </w:r>
          </w:p>
        </w:tc>
      </w:tr>
      <w:tr>
        <w:tc>
          <w:tcPr>
            <w:tcW w:type="dxa" w:w="1361"/>
          </w:tcPr>
          <w:p>
            <w:r/>
            <w:r>
              <w:rPr>
                <w:i/>
                <w:color w:val="555555"/>
              </w:rPr>
              <w:t>[pendiente]</w:t>
            </w:r>
          </w:p>
        </w:tc>
        <w:tc>
          <w:tcPr>
            <w:tcW w:type="dxa" w:w="680"/>
          </w:tcPr>
          <w:p>
            <w:pPr>
              <w:jc w:val="center"/>
            </w:pPr>
            <w:r/>
            <w:r>
              <w:rPr>
                <w:b/>
                <w:color w:val="00A3D9"/>
              </w:rPr>
              <w:t>P</w:t>
            </w:r>
          </w:p>
        </w:tc>
        <w:tc>
          <w:tcPr>
            <w:tcW w:type="dxa" w:w="7370"/>
          </w:tcPr>
          <w:p>
            <w:r/>
            <w:r>
              <w:t>¿Qué IGV lleva la boleta electrónica? Sigue abierta en FC-01 v1.3: confirmar en los anexos de SUNAT o con un contador antes del paso 4 de TC-FC01-010.</w:t>
            </w:r>
          </w:p>
        </w:tc>
      </w:tr>
      <w:tr>
        <w:tc>
          <w:tcPr>
            <w:tcW w:type="dxa" w:w="1361"/>
          </w:tcPr>
          <w:p>
            <w:r/>
            <w:r>
              <w:rPr>
                <w:i/>
                <w:color w:val="555555"/>
              </w:rPr>
              <w:t>[pendiente]</w:t>
            </w:r>
          </w:p>
        </w:tc>
        <w:tc>
          <w:tcPr>
            <w:tcW w:type="dxa" w:w="680"/>
          </w:tcPr>
          <w:p>
            <w:pPr>
              <w:jc w:val="center"/>
            </w:pPr>
            <w:r/>
            <w:r>
              <w:rPr>
                <w:b/>
                <w:color w:val="00A3D9"/>
              </w:rPr>
              <w:t>P</w:t>
            </w:r>
          </w:p>
        </w:tc>
        <w:tc>
          <w:tcPr>
            <w:tcW w:type="dxa" w:w="7370"/>
          </w:tcPr>
          <w:p>
            <w:r/>
            <w:r>
              <w:t>¿Los anexos de SUNAT exigen nombrar la moneda en el importe en letras, o se conserva CON nn/100? Sigue abierta.</w:t>
            </w:r>
          </w:p>
        </w:tc>
      </w:tr>
      <w:tr>
        <w:tc>
          <w:tcPr>
            <w:tcW w:type="dxa" w:w="1361"/>
          </w:tcPr>
          <w:p>
            <w:r/>
            <w:r>
              <w:rPr>
                <w:i/>
                <w:color w:val="555555"/>
              </w:rPr>
              <w:t>[pendiente]</w:t>
            </w:r>
          </w:p>
        </w:tc>
        <w:tc>
          <w:tcPr>
            <w:tcW w:type="dxa" w:w="680"/>
          </w:tcPr>
          <w:p>
            <w:pPr>
              <w:jc w:val="center"/>
            </w:pPr>
            <w:r/>
            <w:r>
              <w:rPr>
                <w:b/>
                <w:color w:val="00A3D9"/>
              </w:rPr>
              <w:t>P</w:t>
            </w:r>
          </w:p>
        </w:tc>
        <w:tc>
          <w:tcPr>
            <w:tcW w:type="dxa" w:w="7370"/>
          </w:tcPr>
          <w:p>
            <w:r/>
            <w:r>
              <w:t>Cerrada: el modelo de impresora. Decisión 15: 3nSTAR RPT004 USB+ETHERNET y lector 3nStar SC310. Abierto: ¿cuándo estará el equipo físicamente disponible y qué ancho de papel usa? (riesgo R02, bloquea TC-FC01-016). (Nuevo en v2)</w:t>
            </w:r>
          </w:p>
        </w:tc>
      </w:tr>
      <w:tr>
        <w:tc>
          <w:tcPr>
            <w:tcW w:type="dxa" w:w="1361"/>
          </w:tcPr>
          <w:p>
            <w:r/>
            <w:r>
              <w:rPr>
                <w:i/>
                <w:color w:val="555555"/>
              </w:rPr>
              <w:t>[pendiente]</w:t>
            </w:r>
          </w:p>
        </w:tc>
        <w:tc>
          <w:tcPr>
            <w:tcW w:type="dxa" w:w="680"/>
          </w:tcPr>
          <w:p>
            <w:pPr>
              <w:jc w:val="center"/>
            </w:pPr>
            <w:r/>
            <w:r>
              <w:rPr>
                <w:b/>
                <w:color w:val="00A3D9"/>
              </w:rPr>
              <w:t>P</w:t>
            </w:r>
          </w:p>
        </w:tc>
        <w:tc>
          <w:tcPr>
            <w:tcW w:type="dxa" w:w="7370"/>
          </w:tcPr>
          <w:p>
            <w:r/>
            <w:r>
              <w:t>¿Cómo se registra en la caja un cobro hecho con el dispositivo tipo IzyPay (Yape, Plin, tarjeta)? La decisión 9 lo saca del sistema, y TC-FC01-012 sigue probando un pago con tarjeta por 10.00. (Nuevo en v2)</w:t>
            </w:r>
          </w:p>
        </w:tc>
      </w:tr>
      <w:tr>
        <w:tc>
          <w:tcPr>
            <w:tcW w:type="dxa" w:w="1361"/>
          </w:tcPr>
          <w:p>
            <w:r/>
            <w:r>
              <w:rPr>
                <w:i/>
                <w:color w:val="555555"/>
              </w:rPr>
              <w:t>[pendiente]</w:t>
            </w:r>
          </w:p>
        </w:tc>
        <w:tc>
          <w:tcPr>
            <w:tcW w:type="dxa" w:w="680"/>
          </w:tcPr>
          <w:p>
            <w:pPr>
              <w:jc w:val="center"/>
            </w:pPr>
            <w:r/>
            <w:r>
              <w:rPr>
                <w:b/>
                <w:color w:val="00A3D9"/>
              </w:rPr>
              <w:t>P</w:t>
            </w:r>
          </w:p>
        </w:tc>
        <w:tc>
          <w:tcPr>
            <w:tcW w:type="dxa" w:w="7370"/>
          </w:tcPr>
          <w:p>
            <w:r/>
            <w:r>
              <w:t>¿Desarrollo confirma los doce endpoints de la frontera A? Siguen como contrato propuesto por QA; desde la v1.1 la frontera es una llamada en proceso desde WPF, sin IPC.</w:t>
            </w:r>
          </w:p>
        </w:tc>
      </w:tr>
      <w:tr>
        <w:tc>
          <w:tcPr>
            <w:tcW w:type="dxa" w:w="1361"/>
          </w:tcPr>
          <w:p>
            <w:r/>
            <w:r>
              <w:rPr>
                <w:i/>
                <w:color w:val="555555"/>
              </w:rPr>
              <w:t>[pendiente]</w:t>
            </w:r>
          </w:p>
        </w:tc>
        <w:tc>
          <w:tcPr>
            <w:tcW w:type="dxa" w:w="680"/>
          </w:tcPr>
          <w:p>
            <w:pPr>
              <w:jc w:val="center"/>
            </w:pPr>
            <w:r/>
            <w:r>
              <w:rPr>
                <w:b/>
                <w:color w:val="00A3D9"/>
              </w:rPr>
              <w:t>P</w:t>
            </w:r>
          </w:p>
        </w:tc>
        <w:tc>
          <w:tcPr>
            <w:tcW w:type="dxa" w:w="7370"/>
          </w:tcPr>
          <w:p>
            <w:r/>
            <w:r>
              <w:t>¿Qué punto de inyección del fallo acuerda desarrollo para TC-FC01-014 sin cortar la energía?</w:t>
            </w:r>
          </w:p>
        </w:tc>
      </w:tr>
      <w:tr>
        <w:tc>
          <w:tcPr>
            <w:tcW w:type="dxa" w:w="1361"/>
          </w:tcPr>
          <w:p>
            <w:r/>
            <w:r>
              <w:rPr>
                <w:i/>
                <w:color w:val="555555"/>
              </w:rPr>
              <w:t>[pendiente]</w:t>
            </w:r>
          </w:p>
        </w:tc>
        <w:tc>
          <w:tcPr>
            <w:tcW w:type="dxa" w:w="680"/>
          </w:tcPr>
          <w:p>
            <w:pPr>
              <w:jc w:val="center"/>
            </w:pPr>
            <w:r/>
            <w:r>
              <w:rPr>
                <w:b/>
                <w:color w:val="00A3D9"/>
              </w:rPr>
              <w:t>P</w:t>
            </w:r>
          </w:p>
        </w:tc>
        <w:tc>
          <w:tcPr>
            <w:tcW w:type="dxa" w:w="7370"/>
          </w:tcPr>
          <w:p>
            <w:r/>
            <w:r>
              <w:t>¿El hallazgo 6 va en FC-01 o en FC-02? La divergencia con QA-CAS-001 sigue declarada en TC-FC01-015.</w:t>
            </w:r>
          </w:p>
        </w:tc>
      </w:tr>
      <w:tr>
        <w:tc>
          <w:tcPr>
            <w:tcW w:type="dxa" w:w="1361"/>
          </w:tcPr>
          <w:p>
            <w:r/>
            <w:r>
              <w:rPr>
                <w:i/>
                <w:color w:val="555555"/>
              </w:rPr>
              <w:t>[pendiente]</w:t>
            </w:r>
          </w:p>
        </w:tc>
        <w:tc>
          <w:tcPr>
            <w:tcW w:type="dxa" w:w="680"/>
          </w:tcPr>
          <w:p>
            <w:pPr>
              <w:jc w:val="center"/>
            </w:pPr>
            <w:r/>
            <w:r>
              <w:rPr>
                <w:b/>
                <w:color w:val="00A3D9"/>
              </w:rPr>
              <w:t>P</w:t>
            </w:r>
          </w:p>
        </w:tc>
        <w:tc>
          <w:tcPr>
            <w:tcW w:type="dxa" w:w="7370"/>
          </w:tcPr>
          <w:p>
            <w:r/>
            <w:r>
              <w:t>¿Qué herramienta de gestión de casos y defectos se usará? Aparcada a propósito hasta que empiece el desarrollo (decisiones, «Lo que sigue abierto»). El marco de automatización sigue «por definir» en las fichas.</w:t>
            </w:r>
          </w:p>
        </w:tc>
      </w:tr>
      <w:tr>
        <w:tc>
          <w:tcPr>
            <w:tcW w:type="dxa" w:w="1361"/>
          </w:tcPr>
          <w:p>
            <w:r/>
            <w:r>
              <w:rPr>
                <w:i/>
                <w:color w:val="555555"/>
              </w:rPr>
              <w:t>[pendiente]</w:t>
            </w:r>
          </w:p>
        </w:tc>
        <w:tc>
          <w:tcPr>
            <w:tcW w:type="dxa" w:w="680"/>
          </w:tcPr>
          <w:p>
            <w:pPr>
              <w:jc w:val="center"/>
            </w:pPr>
            <w:r/>
            <w:r>
              <w:rPr>
                <w:b/>
                <w:color w:val="00A3D9"/>
              </w:rPr>
              <w:t>I</w:t>
            </w:r>
          </w:p>
        </w:tc>
        <w:tc>
          <w:tcPr>
            <w:tcW w:type="dxa" w:w="7370"/>
          </w:tcPr>
          <w:p>
            <w:r/>
            <w:r>
              <w:t>Probar la 3nSTAR RPT004 por los dos caminos, USB y Ethernet al puerto 9100: la Ethernet es la que permite compartir una impresora entre las dos cajas de la sede. (Nuevo en v2)</w:t>
            </w:r>
          </w:p>
        </w:tc>
      </w:tr>
      <w:tr>
        <w:tc>
          <w:tcPr>
            <w:tcW w:type="dxa" w:w="1361"/>
          </w:tcPr>
          <w:p>
            <w:r/>
            <w:r>
              <w:rPr>
                <w:i/>
                <w:color w:val="555555"/>
              </w:rPr>
              <w:t>[pendiente]</w:t>
            </w:r>
          </w:p>
        </w:tc>
        <w:tc>
          <w:tcPr>
            <w:tcW w:type="dxa" w:w="680"/>
          </w:tcPr>
          <w:p>
            <w:pPr>
              <w:jc w:val="center"/>
            </w:pPr>
            <w:r/>
            <w:r>
              <w:rPr>
                <w:b/>
                <w:color w:val="00A3D9"/>
              </w:rPr>
              <w:t>I</w:t>
            </w:r>
          </w:p>
        </w:tc>
        <w:tc>
          <w:tcPr>
            <w:tcW w:type="dxa" w:w="7370"/>
          </w:tcPr>
          <w:p>
            <w:r/>
            <w:r>
              <w:t>Charter de reingreso de las ventas anotadas en el cuaderno durante un corte de energía, con el DNI 00000000 y una fecha de operación distinta de la de registro (decisión 2). (Nuevo en v2)</w:t>
            </w:r>
          </w:p>
        </w:tc>
      </w:tr>
      <w:tr>
        <w:tc>
          <w:tcPr>
            <w:tcW w:type="dxa" w:w="1361"/>
          </w:tcPr>
          <w:p>
            <w:r/>
            <w:r>
              <w:rPr>
                <w:i/>
                <w:color w:val="555555"/>
              </w:rPr>
              <w:t>[pendiente]</w:t>
            </w:r>
          </w:p>
        </w:tc>
        <w:tc>
          <w:tcPr>
            <w:tcW w:type="dxa" w:w="680"/>
          </w:tcPr>
          <w:p>
            <w:pPr>
              <w:jc w:val="center"/>
            </w:pPr>
            <w:r/>
            <w:r>
              <w:rPr>
                <w:b/>
                <w:color w:val="00A3D9"/>
              </w:rPr>
              <w:t>I</w:t>
            </w:r>
          </w:p>
        </w:tc>
        <w:tc>
          <w:tcPr>
            <w:tcW w:type="dxa" w:w="7370"/>
          </w:tcPr>
          <w:p>
            <w:r/>
            <w:r>
              <w:t>Medir el consumo del Facturador SUNAT (servidor Java) corriendo en la caja 1 y el tiempo de cobro a su lado (riesgo R13). (Nuevo en v2)</w:t>
            </w:r>
          </w:p>
        </w:tc>
      </w:tr>
      <w:tr>
        <w:tc>
          <w:tcPr>
            <w:tcW w:type="dxa" w:w="1361"/>
          </w:tcPr>
          <w:p>
            <w:r/>
            <w:r>
              <w:rPr>
                <w:i/>
                <w:color w:val="555555"/>
              </w:rPr>
              <w:t>[pendiente]</w:t>
            </w:r>
          </w:p>
        </w:tc>
        <w:tc>
          <w:tcPr>
            <w:tcW w:type="dxa" w:w="680"/>
          </w:tcPr>
          <w:p>
            <w:pPr>
              <w:jc w:val="center"/>
            </w:pPr>
            <w:r/>
            <w:r>
              <w:rPr>
                <w:b/>
                <w:color w:val="00A3D9"/>
              </w:rPr>
              <w:t>I</w:t>
            </w:r>
          </w:p>
        </w:tc>
        <w:tc>
          <w:tcPr>
            <w:tcW w:type="dxa" w:w="7370"/>
          </w:tcPr>
          <w:p>
            <w:r/>
            <w:r>
              <w:t>Revisar el pedido a proveedor de frm_almacen: repite el reemplazo de cantidad del hallazgo 9.</w:t>
            </w:r>
          </w:p>
        </w:tc>
      </w:tr>
      <w:tr>
        <w:tc>
          <w:tcPr>
            <w:tcW w:type="dxa" w:w="1361"/>
          </w:tcPr>
          <w:p>
            <w:r/>
            <w:r>
              <w:rPr>
                <w:i/>
                <w:color w:val="555555"/>
              </w:rPr>
              <w:t>[pendiente]</w:t>
            </w:r>
          </w:p>
        </w:tc>
        <w:tc>
          <w:tcPr>
            <w:tcW w:type="dxa" w:w="680"/>
          </w:tcPr>
          <w:p>
            <w:pPr>
              <w:jc w:val="center"/>
            </w:pPr>
            <w:r/>
            <w:r>
              <w:rPr>
                <w:b/>
                <w:color w:val="00A3D9"/>
              </w:rPr>
              <w:t>I</w:t>
            </w:r>
          </w:p>
        </w:tc>
        <w:tc>
          <w:tcPr>
            <w:tcW w:type="dxa" w:w="7370"/>
          </w:tcPr>
          <w:p>
            <w:r/>
            <w:r>
              <w:t>Repetir TC-FC01-014 con corte de red y con el Facturador detenido (FC-03).</w:t>
            </w:r>
          </w:p>
        </w:tc>
      </w:tr>
      <w:tr>
        <w:tc>
          <w:tcPr>
            <w:tcW w:type="dxa" w:w="1361"/>
          </w:tcPr>
          <w:p>
            <w:r/>
            <w:r>
              <w:rPr>
                <w:i/>
                <w:color w:val="555555"/>
              </w:rPr>
              <w:t>[pendiente]</w:t>
            </w:r>
          </w:p>
        </w:tc>
        <w:tc>
          <w:tcPr>
            <w:tcW w:type="dxa" w:w="680"/>
          </w:tcPr>
          <w:p>
            <w:pPr>
              <w:jc w:val="center"/>
            </w:pPr>
            <w:r/>
            <w:r>
              <w:rPr>
                <w:b/>
                <w:color w:val="00A3D9"/>
              </w:rPr>
              <w:t>I</w:t>
            </w:r>
          </w:p>
        </w:tc>
        <w:tc>
          <w:tcPr>
            <w:tcW w:type="dxa" w:w="7370"/>
          </w:tcPr>
          <w:p>
            <w:r/>
            <w:r>
              <w:t>Charter en FC-02: dos cajas sobre la LAN vendiendo la última unidad, y base local restaurada de una copia antigua.</w:t>
            </w:r>
          </w:p>
        </w:tc>
      </w:tr>
      <w:tr>
        <w:tc>
          <w:tcPr>
            <w:tcW w:type="dxa" w:w="1361"/>
          </w:tcPr>
          <w:p>
            <w:r/>
            <w:r>
              <w:rPr>
                <w:i/>
                <w:color w:val="555555"/>
              </w:rPr>
              <w:t>[pendiente]</w:t>
            </w:r>
          </w:p>
        </w:tc>
        <w:tc>
          <w:tcPr>
            <w:tcW w:type="dxa" w:w="680"/>
          </w:tcPr>
          <w:p>
            <w:pPr>
              <w:jc w:val="center"/>
            </w:pPr>
            <w:r/>
            <w:r>
              <w:rPr>
                <w:b/>
                <w:color w:val="00A3D9"/>
              </w:rPr>
              <w:t>I</w:t>
            </w:r>
          </w:p>
        </w:tc>
        <w:tc>
          <w:tcPr>
            <w:tcW w:type="dxa" w:w="7370"/>
          </w:tcPr>
          <w:p>
            <w:r/>
            <w:r>
              <w:t>Ejecutar IGV, redondeo e importe en letras con los mismos vectores en C# y en Dart y comparar al céntimo (R17: ahora son dos lenguajes, no tres). (Nuevo en v2)</w:t>
            </w:r>
          </w:p>
        </w:tc>
      </w:tr>
      <w:tr>
        <w:tc>
          <w:tcPr>
            <w:tcW w:type="dxa" w:w="1361"/>
          </w:tcPr>
          <w:p>
            <w:r/>
            <w:r>
              <w:rPr>
                <w:i/>
                <w:color w:val="555555"/>
              </w:rPr>
              <w:t>[pendiente]</w:t>
            </w:r>
          </w:p>
        </w:tc>
        <w:tc>
          <w:tcPr>
            <w:tcW w:type="dxa" w:w="680"/>
          </w:tcPr>
          <w:p>
            <w:pPr>
              <w:jc w:val="center"/>
            </w:pPr>
            <w:r/>
            <w:r>
              <w:rPr>
                <w:b/>
                <w:color w:val="00A3D9"/>
              </w:rPr>
              <w:t>I</w:t>
            </w:r>
          </w:p>
        </w:tc>
        <w:tc>
          <w:tcPr>
            <w:tcW w:type="dxa" w:w="7370"/>
          </w:tcPr>
          <w:p>
            <w:r/>
            <w:r>
              <w:t>Próximos charters exploratorios en los módulos que el alcance asigna a esta técnica: M02, M05, M09 y M13. (Nuevo en v2)</w:t>
            </w:r>
          </w:p>
        </w:tc>
      </w:tr>
      <w:tr>
        <w:tc>
          <w:tcPr>
            <w:tcW w:type="dxa" w:w="1361"/>
          </w:tcPr>
          <w:p>
            <w:r/>
            <w:r>
              <w:rPr>
                <w:i/>
                <w:color w:val="555555"/>
              </w:rPr>
              <w:t>[pendiente]</w:t>
            </w:r>
          </w:p>
        </w:tc>
        <w:tc>
          <w:tcPr>
            <w:tcW w:type="dxa" w:w="680"/>
          </w:tcPr>
          <w:p>
            <w:pPr>
              <w:jc w:val="center"/>
            </w:pPr>
            <w:r/>
            <w:r>
              <w:rPr>
                <w:b/>
                <w:color w:val="00A3D9"/>
              </w:rPr>
              <w:t>I</w:t>
            </w:r>
          </w:p>
        </w:tc>
        <w:tc>
          <w:tcPr>
            <w:tcW w:type="dxa" w:w="7370"/>
          </w:tcPr>
          <w:p>
            <w:r/>
            <w:r>
              <w:t>Operación completa de la venta solo con el lector 3nStar SC310 y el teclado, sin ratón.</w:t>
            </w:r>
          </w:p>
        </w:tc>
      </w:tr>
    </w:tbl>
    <w:p/>
    <w:p>
      <w:pPr>
        <w:pStyle w:val="Heading1"/>
      </w:pPr>
      <w:r>
        <w:t>4. Balance</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118"/>
            <w:shd w:val="clear" w:color="auto" w:fill="1F1F1F"/>
          </w:tcPr>
          <w:p>
            <w:r/>
            <w:r>
              <w:rPr>
                <w:b/>
                <w:color w:val="FFFFFF"/>
              </w:rPr>
              <w:t>Prueba</w:t>
            </w:r>
          </w:p>
        </w:tc>
        <w:tc>
          <w:tcPr>
            <w:tcW w:type="dxa" w:w="3118"/>
            <w:shd w:val="clear" w:color="auto" w:fill="1F1F1F"/>
          </w:tcPr>
          <w:p>
            <w:r/>
            <w:r>
              <w:rPr>
                <w:b/>
                <w:color w:val="FFFFFF"/>
              </w:rPr>
              <w:t>Reporte</w:t>
            </w:r>
          </w:p>
        </w:tc>
        <w:tc>
          <w:tcPr>
            <w:tcW w:type="dxa" w:w="3118"/>
            <w:shd w:val="clear" w:color="auto" w:fill="1F1F1F"/>
          </w:tcPr>
          <w:p>
            <w:r/>
            <w:r>
              <w:rPr>
                <w:b/>
                <w:color w:val="FFFFFF"/>
              </w:rPr>
              <w:t>Entorno</w:t>
            </w:r>
          </w:p>
        </w:tc>
      </w:tr>
      <w:tr>
        <w:tc>
          <w:tcPr>
            <w:tcW w:type="dxa" w:w="3118"/>
          </w:tcPr>
          <w:p>
            <w:r/>
            <w:r>
              <w:rPr>
                <w:i/>
                <w:color w:val="555555"/>
              </w:rPr>
              <w:t>pendiente</w:t>
            </w:r>
          </w:p>
        </w:tc>
        <w:tc>
          <w:tcPr>
            <w:tcW w:type="dxa" w:w="3118"/>
          </w:tcPr>
          <w:p>
            <w:r/>
            <w:r>
              <w:rPr>
                <w:i/>
                <w:color w:val="555555"/>
              </w:rPr>
              <w:t>pendiente</w:t>
            </w:r>
          </w:p>
        </w:tc>
        <w:tc>
          <w:tcPr>
            <w:tcW w:type="dxa" w:w="3118"/>
          </w:tcPr>
          <w:p>
            <w:r/>
            <w:r>
              <w:rPr>
                <w:i/>
                <w:color w:val="555555"/>
              </w:rPr>
              <w:t>pendiente</w:t>
            </w:r>
          </w:p>
        </w:tc>
      </w:tr>
    </w:tbl>
    <w:p/>
    <w:p>
      <w:r>
        <w:rPr>
          <w:i/>
          <w:color w:val="555555"/>
        </w:rPr>
        <w:t>Ningún documento del proyecto registra el reparto del tiempo. Como referencia, la sesión debía durar entre 60 y 90 minutos; el reparto se rellena con los minutos reales.</w:t>
      </w:r>
    </w:p>
    <w:p>
      <w:pPr>
        <w:pStyle w:val="Heading1"/>
      </w:pPr>
      <w:r>
        <w:t>5. No alcancé a probar</w:t>
      </w:r>
    </w:p>
    <w:p>
      <w:pPr>
        <w:pStyle w:val="ListBullet"/>
      </w:pPr>
      <w:r>
        <w:t>Ejecutar los dieciocho casos TC-FC01-001 a TC-FC01-018: MiFarma no tiene todavía código que ejecutar.</w:t>
      </w:r>
    </w:p>
    <w:p>
      <w:pPr>
        <w:pStyle w:val="ListBullet"/>
      </w:pPr>
      <w:r>
        <w:t>TC-FC01-016, ticket real: bloqueado porque la 3nSTAR RPT004 no está en mano (R02); TC-FC01-017 en su pasada con papel real, por lo mismo.</w:t>
      </w:r>
    </w:p>
    <w:p>
      <w:pPr>
        <w:pStyle w:val="ListBullet"/>
      </w:pPr>
      <w:r>
        <w:t>Ejecutar BOT. FARMAVIDA sobre una copia: todo lo anotado sale de leer el código y medir los datos. Los defectos marcados «por lectura de código» no se han visto en pantalla.</w:t>
      </w:r>
    </w:p>
    <w:p>
      <w:pPr>
        <w:pStyle w:val="ListBullet"/>
      </w:pPr>
      <w:r>
        <w:t>Los hallazgos 2, 4, 5, 6, 11, 13 y 14, que caen en otros flujos o en módulos sin flujo.</w:t>
      </w:r>
    </w:p>
    <w:p>
      <w:pPr>
        <w:pStyle w:val="ListBullet"/>
      </w:pPr>
      <w:r>
        <w:t>Fichas de defecto completas para los hallazgos 7, 8, 9, 12, 15 y 16 y para los cuatro nuevos de esta versión.</w:t>
      </w:r>
    </w:p>
    <w:p>
      <w:pPr>
        <w:pStyle w:val="ListBullet"/>
      </w:pPr>
      <w:r>
        <w:t>Accesibilidad (fuera de alcance) y turno completo de caja (aceptación, fase 3).</w:t>
      </w:r>
    </w:p>
    <w:p>
      <w:pPr>
        <w:pStyle w:val="Heading1"/>
      </w:pPr>
      <w:r>
        <w:t>6. Pendiente para completar la plantilla</w:t>
      </w:r>
    </w:p>
    <w:p>
      <w:pPr>
        <w:pStyle w:val="ListBullet"/>
      </w:pPr>
      <w:r>
        <w:t>Hora de inicio y de fin de la sesión.</w:t>
      </w:r>
    </w:p>
    <w:p>
      <w:pPr>
        <w:pStyle w:val="ListBullet"/>
      </w:pPr>
      <w:r>
        <w:t>Hora de cada nota de la sección 3.</w:t>
      </w:r>
    </w:p>
    <w:p>
      <w:pPr>
        <w:pStyle w:val="ListBullet"/>
      </w:pPr>
      <w:r>
        <w:t>Balance prueba, reporte y entorno.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