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cs="Arial" w:eastAsia="Arial"/>
          <w:b/>
          <w:i w:val="0"/>
          <w:color w:val="00B1DF"/>
          <w:sz w:val="16"/>
        </w:rPr>
        <w:t>QA · MIGRACIÓN MIFARMA · FLUJO CRÍTICO FC-01</w:t>
      </w:r>
    </w:p>
    <w:p>
      <w:pPr>
        <w:spacing w:before="0" w:after="40"/>
      </w:pPr>
      <w:r>
        <w:rPr>
          <w:rFonts w:ascii="Arial" w:hAnsi="Arial" w:cs="Arial" w:eastAsia="Arial"/>
          <w:b/>
          <w:i w:val="0"/>
          <w:color w:val="3D4750"/>
          <w:sz w:val="48"/>
        </w:rPr>
        <w:t>Matriz de trazabilidad v1</w:t>
      </w:r>
    </w:p>
    <w:p>
      <w:pPr>
        <w:spacing w:before="0" w:after="240"/>
      </w:pPr>
      <w:r>
        <w:rPr>
          <w:rFonts w:ascii="Arial" w:hAnsi="Arial" w:cs="Arial" w:eastAsia="Arial"/>
          <w:b w:val="0"/>
          <w:i w:val="0"/>
          <w:color w:val="667079"/>
          <w:sz w:val="22"/>
        </w:rPr>
        <w:t>Venta sin conexión hasta el ticket impreso — requisitos, casos, defectos y huecos de cobertura</w:t>
      </w: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type="dxa" w:w="9360"/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color="00B1DF"/>
              <w:bottom w:val="none"/>
              <w:right w:val="none"/>
            </w:tcBorders>
            <w:shd w:fill="E8F6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Qué responde esta matriz. Si cada requisito que toca la venta en caja tiene al menos un caso que lo verifique, en qué estado está ese caso y qué defectos del sistema actual cuelgan de él. Se lee en las dos direcciones: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del requisito al caso y al defecto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(sección 3) y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del caso al requisito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 (sección 4).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Todo sale de la documentación del proyecto (14 - Requisitos, QA-CAS-001, QA-CAS-FC01 v1.3, plan QA-PLA-FC01 y notas de sesión v2.0). MiFarma todavía no se puede ejecutar: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ningún caso tiene resultado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, así que la cobertura que se mide aquí es de diseño, no de ejecución. Lo que falta se marca como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por completar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.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1. Identificación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800"/>
        <w:gridCol w:w="6560"/>
      </w:tblGrid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Proyecto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MiFarma — migración del sistema de punto de venta de botica. Flujo cubierto: FC-01, venta sin conexión hasta el ticket impreso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Código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QA-TRZ-FC01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Autor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Vladimir De La Cruz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Revisor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Instructor del curso (entregable académico)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Versión y fecha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v1 · 24-oct-2026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Estado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Emitido para revisión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Documentos de referencia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14 - Requisitos (bóveda del proyecto) · QA-CAS-001 — Casos de Prueba, sección 7 «Matriz de trazabilidad inicial» · QA-CAS-FC01 — Casos manuales FC-01, v1.3 · QA-PLA-FC01 — Plan de pruebas v1 · Notas de sesión FC-01 v2.0 · QA-DEF-FC01 — Reporte de defectos y hallazgos v1 · QA-TDD-FC01 — Tabla de decisión v1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Entregable que cubre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Semana 3 del Módulo 1 (14 al 19-oct-2026): matriz de trazabilidad con al menos 5 requisitos, huecos marcados y defectos asociados</w:t>
            </w:r>
          </w:p>
        </w:tc>
      </w:tr>
      <w:tr>
        <w:trPr>
          <w:cantSplit w:val="tru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Archivo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docs/matriz-trazabilidad-fc01-v1 (en el repositorio del proyecto)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2. Cómo leer la matriz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Columna o marca</w:t>
            </w:r>
          </w:p>
        </w:tc>
        <w:tc>
          <w:tcPr>
            <w:tcW w:type="dxa" w:w="67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ID del requisito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Código del documento 14 - Requisitos: E (caja), C (cumplimiento tributario), D (datos), F (fiabilidad), T (inventario). NF es un requisito no funcional de la misma nota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Casos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Identificadores TC-FC01-001 a 018 de QA-CAS-FC01. Un caso aparece en todos los requisitos que su ficha declara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Estado de ejecución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No ejecutado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: diseñado, sin resultado.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Bloqueado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: una precondición no se cumple (no es un fallo).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Sin casos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 xml:space="preserve">: hueco de cobertura. </w:t>
            </w:r>
            <w:r>
              <w:rPr>
                <w:rFonts w:ascii="Arial" w:hAnsi="Arial" w:cs="Arial" w:eastAsia="Arial"/>
                <w:b/>
                <w:i w:val="0"/>
                <w:color w:val="222222"/>
                <w:sz w:val="19"/>
              </w:rPr>
              <w:t>Propuesto</w:t>
            </w: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: caso nuevo que esta matriz pide crear; tiene título, le falta la ficha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Defectos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DEF-01 a DEF-09: defectos confirmados del sistema actual que el caso convierte en regresión. DEF-10 a DEF-13: hallazgos por lectura de código, por confirmar. Detalle en QA-DEF-FC01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Fila sombreada en rojo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Hueco: requisito que la venta en caja necesita y que no tiene ningún caso en FC-01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3. Matriz por requisito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Los diecisiete requisitos que QA-CAS-FC01 declara cubrir (la fila FC-01 de QA-CAS-001 tiene dieciséis; la diferencia es E5, ver sección 5), seguidos de los requisitos de la caja que la venta toca y que no tienen caso.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650"/>
        <w:gridCol w:w="3000"/>
        <w:gridCol w:w="2500"/>
        <w:gridCol w:w="1500"/>
        <w:gridCol w:w="1710"/>
      </w:tblGrid>
      <w:tr>
        <w:trPr>
          <w:tblHeader w:val="true"/>
        </w:trPr>
        <w:tc>
          <w:tcPr>
            <w:tcW w:type="dxa" w:w="65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25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Casos</w:t>
            </w:r>
          </w:p>
        </w:tc>
        <w:tc>
          <w:tcPr>
            <w:tcW w:type="dxa" w:w="15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171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Defectos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Vender sin conexión a internet, con toda la funcionalidad de caja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TC-FC01-015. Además, los 18 casos se ejecutan con el equipo desconectado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E3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Emitir el comprobante y entregarlo impreso al cliente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TC-FC01-016, 017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Bloqueado (016, falta la impresora en mano) · No ejecutado (017)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DEF-01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E5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Numerar documentos sin colisión con otra caja, estando desconectada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 (el hallazgo 6, la colisión entre dos cajas, se prueba en FC-02)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E6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Registrar la venta de forma atómica: o completa o nada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TC-FC01-008, 014, 015 · propuesto 021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DEF-03, DEF-04 · DEF-10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E7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Buscar producto por código de barras, descripción o código interno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TC-FC01-002, 004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DEF-06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E8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Sumar cantidades al repetir un producto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TC-FC01-004, 005, 007 · propuestos 019, 020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DEF-02, DEF-05, DEF-06 · DEF-11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E10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Apertura y cierre de caja con arqueo de efectivo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TC-FC01-001, 018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E11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Efectivo y pago digital cobrado en dispositivo externo, con la referencia del recibo; pago mixto con vuelto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TC-FC01-012, 013 · propuesto 022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 (deuda funcional, no defecto)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C3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Serie y correlativo por punto de emisión, sin huecos ni duplicados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TC-FC01-010, 015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DEF-09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C6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Importe en letras correcto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DEF-07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Precio y costo se guardan en la línea, como hecho histórico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TC-FC01-004, 007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DEF-02, DEF-06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D6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Importes sin techo artificial y cantidades por línea sin límite de 999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TC-FC01-006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DEF-08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D7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La tasa de IGV es dato con vigencia, no constante de código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TC-FC01-009, 010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DEF-09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F3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Toda operación de negocio es transaccional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TC-FC01-008, 014 · propuesto 021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DEF-03, DEF-04 · DEF-10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F4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Errores registrados y mostrados en el idioma del usuario, nunca como diálogo del entorno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TC-FC01-002, 005, 017 · propuestos 019, 020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DEF-05 · DEF-11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El stock es un cálculo derivado de un libro de movimientos inmutable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TC-FC01-003, 004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DEF-06 · DEF-12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Todo movimiento registra quién, cuándo, por qué y su documento de origen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TC-FC01-003, 014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ejecutado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DEF-03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E4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Emitir boleta y factura, con serie propia por terminal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SIN CASOS propios. TC-010 solo verifica que el IGV de una factura se grabe; nada verifica elegir el tipo ni sus datos obligatorios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Sin casos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 (hallazgo 2 no entra en la regresión de FC-01)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E13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Reingresar ventas anotadas en papel tras un corte de energía, con fecha de operación distinta de la de registro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SIN CASOS · propuesto 024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Sin casos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E14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Emitir boleta simple con DNI 00000000 cuando el cliente no se identifica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SIN CASOS · propuesto 023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Sin casos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E16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Vender al precio por mayor o por menor según lo configurado en el producto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SIN CASOS · propuesto 025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Sin casos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DEF-13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NF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Cobrar una venta en menos de 2 segundos (latencia en caja)</w:t>
            </w:r>
          </w:p>
        </w:tc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SIN CASOS. Se puede medir al ejecutar TC-012 y 013: por acordar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7"/>
              </w:rPr>
              <w:t>Sin casos</w:t>
            </w:r>
          </w:p>
        </w:tc>
        <w:tc>
          <w:tcPr>
            <w:tcW w:type="dxa" w:w="171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</w:tr>
    </w:tbl>
    <w:p>
      <w:pPr>
        <w:spacing w:before="0" w:after="12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Cobertura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3100"/>
        <w:gridCol w:w="1700"/>
        <w:gridCol w:w="4560"/>
      </w:tblGrid>
      <w:tr>
        <w:trPr>
          <w:tblHeader w:val="true"/>
        </w:trPr>
        <w:tc>
          <w:tcPr>
            <w:tcW w:type="dxa" w:w="31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Medida</w:t>
            </w:r>
          </w:p>
        </w:tc>
        <w:tc>
          <w:tcPr>
            <w:tcW w:type="dxa" w:w="17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Resultado</w:t>
            </w:r>
          </w:p>
        </w:tc>
        <w:tc>
          <w:tcPr>
            <w:tcW w:type="dxa" w:w="45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Lectura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Requisitos de FC-01 con al menos un caso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17 de 17 · 100 %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Toda la fila FC-01 está cubierta en diseño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Requisitos de la caja que la venta toca, con caso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17 de 21 · 81 %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E4, E13, E14 y E16 no tienen caso. El requisito no funcional de latencia tampoco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Casos ejecutados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0 de 18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17 no ejecutados y 1 bloqueado (TC-016). La cobertura de ejecución es 0 %: no hay sistema que ejecutar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Requisitos con defectos asociados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13 de 17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Todos menos E1, E5, E10 y E11. Son los que más riesgo cargan cuando se ejecute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Casos sin requisito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4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9"/>
              </w:rPr>
              <w:t>Los 18 casos declaran al menos un requisito</w:t>
            </w:r>
          </w:p>
        </w:tc>
      </w:tr>
    </w:tbl>
    <w:p>
      <w:pPr>
        <w:spacing w:before="0" w:after="120"/>
      </w:pPr>
    </w:p>
    <w:p>
      <w:pPr>
        <w:spacing w:before="40" w:after="160" w:line="264" w:lineRule="auto"/>
      </w:pPr>
      <w:r>
        <w:rPr>
          <w:rFonts w:ascii="Arial" w:hAnsi="Arial" w:cs="Arial" w:eastAsia="Arial"/>
          <w:b w:val="0"/>
          <w:i/>
          <w:color w:val="667079"/>
          <w:sz w:val="17"/>
        </w:rPr>
        <w:t>La cobertura mide presencia, no calidad: que un requisito tenga un caso no dice que el caso sea suficiente. Por eso la sección 5 anota también las incoherencias entre documentos.</w:t>
      </w: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4. Matriz por caso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La vista inversa: cada caso con el paso del flujo, el endpoint de la frontera A, sus requisitos, el hallazgo del sistema actual que convierte en regresión y su defecto. Los siete propuestos van al final, en gris, sin ficha.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1337"/>
        <w:gridCol w:w="1337"/>
        <w:gridCol w:w="1123"/>
        <w:gridCol w:w="1444"/>
        <w:gridCol w:w="909"/>
        <w:gridCol w:w="963"/>
        <w:gridCol w:w="1016"/>
        <w:gridCol w:w="1230"/>
      </w:tblGrid>
      <w:tr>
        <w:trPr>
          <w:tblHeader w:val="true"/>
        </w:trPr>
        <w:tc>
          <w:tcPr>
            <w:tcW w:type="dxa" w:w="1337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Caso</w:t>
            </w:r>
          </w:p>
        </w:tc>
        <w:tc>
          <w:tcPr>
            <w:tcW w:type="dxa" w:w="1337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Paso del flujo</w:t>
            </w:r>
          </w:p>
        </w:tc>
        <w:tc>
          <w:tcPr>
            <w:tcW w:type="dxa" w:w="1123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Endpoint</w:t>
            </w:r>
          </w:p>
        </w:tc>
        <w:tc>
          <w:tcPr>
            <w:tcW w:type="dxa" w:w="1444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Requisitos</w:t>
            </w:r>
          </w:p>
        </w:tc>
        <w:tc>
          <w:tcPr>
            <w:tcW w:type="dxa" w:w="909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Hallazgo</w:t>
            </w:r>
          </w:p>
        </w:tc>
        <w:tc>
          <w:tcPr>
            <w:tcW w:type="dxa" w:w="963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Defecto</w:t>
            </w:r>
          </w:p>
        </w:tc>
        <w:tc>
          <w:tcPr>
            <w:tcW w:type="dxa" w:w="1016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Prioridad</w:t>
            </w:r>
          </w:p>
        </w:tc>
        <w:tc>
          <w:tcPr>
            <w:tcW w:type="dxa" w:w="123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TC-FC01-001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2 · apertura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A-04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E10, E5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TC-FC01-002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3 · búsqueda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A-06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E7, F4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TC-FC01-003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3 · saldo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A-07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T1, T2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TC-FC01-004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5 · líneas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A-09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E8, E7, D2, T1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9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DEF-06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TC-FC01-005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5 · líneas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A-09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E8, F4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8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DEF-05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TC-FC01-006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5 · líneas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A-09, A-11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D6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15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DEF-08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TC-FC01-007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5 · líneas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A-10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E8, D2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3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DEF-02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TC-FC01-008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4 · borrador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A-08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E6, F3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7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DEF-04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TC-FC01-009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6 · cotización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A-11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D7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TC-FC01-010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8 · confirmación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A-13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D7, C3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16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DEF-09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TC-FC01-011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6 · cotización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A-11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C6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12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DEF-07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TC-FC01-012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7 · cobro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A-12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E11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TC-FC01-013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7 · cobro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A-12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E11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TC-FC01-014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8 · confirmación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A-13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E6, F3, T2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10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DEF-03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TC-FC01-015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8 · confirmación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A-13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C3, E6, E1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TC-FC01-016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9 · impresión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A-15, A-16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E3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1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DEF-01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  <w:shd w:fill="FDECEA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B3261E"/>
                <w:sz w:val="16"/>
              </w:rPr>
              <w:t>Bloqueado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TC-FC01-017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9 · impresión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A-15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F4, E3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Alta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TC-FC01-018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cierre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A-05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E10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Media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6"/>
              </w:rPr>
              <w:t>No ejecutado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TC-FC01-019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5 · líneas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A-09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E8, F4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DEF-11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por asignar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Propuesto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TC-FC01-020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5 · líneas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A-09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E8, F4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por asignar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Propuesto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TC-FC01-021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5 y 8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A-10, A-13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E6, F3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DEF-10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por asignar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Propuesto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TC-FC01-022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7 · cobro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A-12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E11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por asignar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Propuesto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TC-FC01-023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4 a 8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por definir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E14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por asignar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Propuesto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TC-FC01-024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4 a 8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por definir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E13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por asignar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Propuesto</w:t>
            </w:r>
          </w:p>
        </w:tc>
      </w:tr>
      <w:tr>
        <w:trPr>
          <w:cantSplit w:val="true"/>
        </w:trPr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TC-FC01-025</w:t>
            </w:r>
          </w:p>
        </w:tc>
        <w:tc>
          <w:tcPr>
            <w:tcW w:type="dxa" w:w="1337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5 · líneas</w:t>
            </w:r>
          </w:p>
        </w:tc>
        <w:tc>
          <w:tcPr>
            <w:tcW w:type="dxa" w:w="112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A-09</w:t>
            </w:r>
          </w:p>
        </w:tc>
        <w:tc>
          <w:tcPr>
            <w:tcW w:type="dxa" w:w="1444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E16</w:t>
            </w:r>
          </w:p>
        </w:tc>
        <w:tc>
          <w:tcPr>
            <w:tcW w:type="dxa" w:w="909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—</w:t>
            </w:r>
          </w:p>
        </w:tc>
        <w:tc>
          <w:tcPr>
            <w:tcW w:type="dxa" w:w="963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DEF-13</w:t>
            </w:r>
          </w:p>
        </w:tc>
        <w:tc>
          <w:tcPr>
            <w:tcW w:type="dxa" w:w="1016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por asignar</w:t>
            </w:r>
          </w:p>
        </w:tc>
        <w:tc>
          <w:tcPr>
            <w:tcW w:type="dxa" w:w="123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667079"/>
                <w:sz w:val="16"/>
              </w:rPr>
              <w:t>Propuesto</w:t>
            </w:r>
          </w:p>
        </w:tc>
      </w:tr>
    </w:tbl>
    <w:p>
      <w:pPr>
        <w:spacing w:before="0" w:after="120"/>
      </w:pPr>
    </w:p>
    <w:p>
      <w:pPr>
        <w:spacing w:before="40" w:after="160" w:line="264" w:lineRule="auto"/>
      </w:pPr>
      <w:r>
        <w:rPr>
          <w:rFonts w:ascii="Arial" w:hAnsi="Arial" w:cs="Arial" w:eastAsia="Arial"/>
          <w:b w:val="0"/>
          <w:i/>
          <w:color w:val="667079"/>
          <w:sz w:val="17"/>
        </w:rPr>
        <w:t>Paso del flujo: los diez pasos de la sección 2 de QA-CAS-FC01. Los pasos 1 (inicio de sesión, FC-04) y 10 (exportación al Facturador, FC-03) no tienen caso aquí por diseño, no por olvido.</w:t>
      </w: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Casos que esta matriz propone crear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La clase pide marcar los huecos y crear los casos que falten. Estos siete quedan con identificador reservado y título; la ficha completa (precondiciones, datos, pasos y resultado esperado) </w:t>
      </w:r>
      <w:r>
        <w:rPr>
          <w:rFonts w:ascii="Arial" w:hAnsi="Arial" w:cs="Arial" w:eastAsia="Arial"/>
          <w:b/>
          <w:i w:val="0"/>
          <w:color w:val="222222"/>
          <w:sz w:val="20"/>
        </w:rPr>
        <w:t>está por completar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y no se rellena con datos que la documentación no da.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1250"/>
        <w:gridCol w:w="3100"/>
        <w:gridCol w:w="2300"/>
        <w:gridCol w:w="2710"/>
      </w:tblGrid>
      <w:tr>
        <w:trPr>
          <w:tblHeader w:val="true"/>
        </w:trPr>
        <w:tc>
          <w:tcPr>
            <w:tcW w:type="dxa" w:w="125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Caso</w:t>
            </w:r>
          </w:p>
        </w:tc>
        <w:tc>
          <w:tcPr>
            <w:tcW w:type="dxa" w:w="31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Título propuesto</w:t>
            </w:r>
          </w:p>
        </w:tc>
        <w:tc>
          <w:tcPr>
            <w:tcW w:type="dxa" w:w="23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 dónde sale</w:t>
            </w:r>
          </w:p>
        </w:tc>
        <w:tc>
          <w:tcPr>
            <w:tcW w:type="dxa" w:w="271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Lo que falta para escribir la ficha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TC-FC01-019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Una cantidad inválida (0, negativa o texto) se rechaza con CANTIDAD INVALIDA y el borrador queda intacto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Tabla de decisión 1, regla A · DEF-11</w:t>
            </w:r>
          </w:p>
        </w:tc>
        <w:tc>
          <w:tcPr>
            <w:tcW w:type="dxa" w:w="2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Confirmar si se admiten cantidades con decimales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TC-FC01-020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Repetir un producto con saldo cero suma la cantidad y mantiene el aviso SIN EXISTENCIAS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Tabla de decisión 1, regla C</w:t>
            </w:r>
          </w:p>
        </w:tc>
        <w:tc>
          <w:tcPr>
            <w:tcW w:type="dxa" w:w="2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Nada: los datos existen (PR_0000777). Falta redactar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TC-FC01-021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Quitar la única línea del borrador no deja confirmar una venta vacía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DEF-10</w:t>
            </w:r>
          </w:p>
        </w:tc>
        <w:tc>
          <w:tcPr>
            <w:tcW w:type="dxa" w:w="2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El error de negocio que devuelve sales.commit con el borrador vacío no está en el contrato de A-13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TC-FC01-022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Un pago solo con dispositivo externo por encima del total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Tabla de decisión 2, regla D</w:t>
            </w:r>
          </w:p>
        </w:tc>
        <w:tc>
          <w:tcPr>
            <w:tcW w:type="dxa" w:w="2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La regla de negocio: hoy no está definido qué debe pasar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TC-FC01-023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Emitir una boleta simple con DNI 00000000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Requisito E14 · decisión 2</w:t>
            </w:r>
          </w:p>
        </w:tc>
        <w:tc>
          <w:tcPr>
            <w:tcW w:type="dxa" w:w="2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Cómo se elige el cliente genérico en la caja y qué endpoint lo recibe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TC-FC01-024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Reingresar una venta anotada en el cuaderno con fecha de operación distinta de la de registro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Requisito E13 · decisión 2 · idea de charter de las notas v2.0</w:t>
            </w:r>
          </w:p>
        </w:tc>
        <w:tc>
          <w:tcPr>
            <w:tcW w:type="dxa" w:w="2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Endpoint y permisos del reingreso; quién puede hacerlo</w:t>
            </w:r>
          </w:p>
        </w:tc>
      </w:tr>
      <w:tr>
        <w:trPr>
          <w:cantSplit w:val="true"/>
        </w:trPr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TC-FC01-025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Vender un producto habilitado para precio por mayor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Requisito E16 · decisión 13 · DEF-13</w:t>
            </w:r>
          </w:p>
        </w:tc>
        <w:tc>
          <w:tcPr>
            <w:tcW w:type="dxa" w:w="27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La regla de activación del precio por mayor: la decisión 13 la deja sin definir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5. Huecos e incoherencias encontrados</w:t>
      </w: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Huecos de cobertura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E4, boleta y factura.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Ningún caso verifica que el cajero elija el tipo de comprobante ni los datos que exige cada uno. Como el hallazgo 2 (solo se emitía boleta) no está en la regresión de FC-01, el hueco no se veía. Hace falta definir con el negocio qué datos exige la factura antes de escribir el caso.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E13 y E14, el plan de contingencia del corte de energía.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La decisión 2 resuelve el corte con cuaderno y reingreso con DNI 00000000, pero ninguno de los dos pasos tiene caso. Se proponen TC-FC01-023 y 024.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E16, precio por mayor.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Decidido (decisión 13) sin regla de activación, y sin caso. Se propone TC-FC01-025, pendiente de esa regla.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/>
          <w:i w:val="0"/>
          <w:color w:val="222222"/>
          <w:sz w:val="20"/>
        </w:rPr>
        <w:t>Latencia en caja (menos de 2 segundos).</w:t>
      </w:r>
      <w:r>
        <w:rPr>
          <w:rFonts w:ascii="Arial" w:hAnsi="Arial" w:cs="Arial" w:eastAsia="Arial"/>
          <w:b w:val="0"/>
          <w:i w:val="0"/>
          <w:color w:val="222222"/>
          <w:sz w:val="20"/>
        </w:rPr>
        <w:t xml:space="preserve"> Es el único objetivo no funcional del flujo y nadie lo mide. Lo más barato es cronometrar el cobro al ejecutar TC-012 y 013.</w:t>
      </w:r>
    </w:p>
    <w:p>
      <w:pPr>
        <w:spacing w:before="0" w:after="80"/>
      </w:pPr>
    </w:p>
    <w:p>
      <w:pPr>
        <w:keepNext/>
        <w:spacing w:before="200" w:after="100"/>
      </w:pPr>
      <w:r>
        <w:rPr>
          <w:rFonts w:ascii="Arial" w:hAnsi="Arial" w:cs="Arial" w:eastAsia="Arial"/>
          <w:b/>
          <w:i w:val="0"/>
          <w:color w:val="3D4750"/>
          <w:sz w:val="23"/>
        </w:rPr>
        <w:t>Incoherencias entre documentos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2200"/>
        <w:gridCol w:w="4100"/>
        <w:gridCol w:w="3060"/>
      </w:tblGrid>
      <w:tr>
        <w:trPr>
          <w:tblHeader w:val="true"/>
        </w:trPr>
        <w:tc>
          <w:tcPr>
            <w:tcW w:type="dxa" w:w="22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Dónde</w:t>
            </w:r>
          </w:p>
        </w:tc>
        <w:tc>
          <w:tcPr>
            <w:tcW w:type="dxa" w:w="41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Qué no cuadra</w:t>
            </w:r>
          </w:p>
        </w:tc>
        <w:tc>
          <w:tcPr>
            <w:tcW w:type="dxa" w:w="30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Propuesta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Fila FC-01 de QA-CAS-001 y plan QA-PLA-FC01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Hablan de dieciséis requisitos; QA-CAS-FC01 cubre diecisiete. El que falta es E5, que TC-001 sí declara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Añadir E5 a la fila FC-01 de QA-CAS-001 y actualizar el plan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TC-FC01-002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La ficha declara E7 y F4; el resumen de la sección 3 de QA-CAS-FC01 solo E7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Esta matriz usa la ficha. Corregir el resumen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TC-FC01-012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Prueba un pago con tarjeta por 10.00 registrado como medio. La decisión 9 saca el cobro digital del sistema y E11 pide registrar la referencia del recibo del dispositivo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Revisar los datos del caso cuando se responda la pregunta abierta de las notas v2.0 sobre el registro del cobro con dispositivo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TC-FC01-009 y 011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Sus observaciones dicen «en los tres lenguajes del stack»; con el stack decidido, R17 y el plan hablan de dos (C# y Dart)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Cambiar a «los dos lenguajes»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Historial de QA-CAS-FC01 (.md)</w:t>
            </w:r>
          </w:p>
        </w:tc>
        <w:tc>
          <w:tcPr>
            <w:tcW w:type="dxa" w:w="4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La fuente en Markdown solo registra la versión 1.0, aunque el .docx va por la 1.3</w:t>
            </w:r>
          </w:p>
        </w:tc>
        <w:tc>
          <w:tcPr>
            <w:tcW w:type="dxa" w:w="30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Completar el historial en la fuente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6. Defectos asociados</w:t>
      </w:r>
    </w:p>
    <w:p>
      <w:pPr>
        <w:spacing w:before="0" w:after="12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Cada defecto queda atado a su requisito y a su caso de regresión: ahí está la trazabilidad. El detalle (pasos, esperado, obtenido, evidencia) está en QA-DEF-FC01.</w:t>
      </w:r>
    </w:p>
    <w:tbl>
      <w:tblPr>
        <w:tblLook w:firstColumn="1" w:firstRow="1" w:lastColumn="0" w:lastRow="0" w:noHBand="0" w:noVBand="1" w:val="04A0"/>
        <w:tblBorders>
          <w:top w:val="single" w:color="D7DEE4" w:sz="4"/>
          <w:left w:val="single" w:color="D7DEE4" w:sz="4"/>
          <w:bottom w:val="single" w:color="D7DEE4" w:sz="4"/>
          <w:right w:val="single" w:color="D7DEE4" w:sz="4"/>
          <w:insideH w:val="single" w:color="D7DEE4" w:sz="4"/>
          <w:insideV w:val="single" w:color="D7DEE4" w:sz="4"/>
        </w:tblBorders>
        <w:tblW w:type="dxa" w:w="9360"/>
        <w:tblLayout w:type="fixed"/>
      </w:tblPr>
      <w:tblGrid>
        <w:gridCol w:w="900"/>
        <w:gridCol w:w="3000"/>
        <w:gridCol w:w="1000"/>
        <w:gridCol w:w="1500"/>
        <w:gridCol w:w="1500"/>
        <w:gridCol w:w="1460"/>
      </w:tblGrid>
      <w:tr>
        <w:trPr>
          <w:tblHeader w:val="true"/>
        </w:trPr>
        <w:tc>
          <w:tcPr>
            <w:tcW w:type="dxa" w:w="9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Defecto</w:t>
            </w:r>
          </w:p>
        </w:tc>
        <w:tc>
          <w:tcPr>
            <w:tcW w:type="dxa" w:w="3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Título corto</w:t>
            </w:r>
          </w:p>
        </w:tc>
        <w:tc>
          <w:tcPr>
            <w:tcW w:type="dxa" w:w="10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Hallazgo</w:t>
            </w:r>
          </w:p>
        </w:tc>
        <w:tc>
          <w:tcPr>
            <w:tcW w:type="dxa" w:w="15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Requisitos</w:t>
            </w:r>
          </w:p>
        </w:tc>
        <w:tc>
          <w:tcPr>
            <w:tcW w:type="dxa" w:w="150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Caso</w:t>
            </w:r>
          </w:p>
        </w:tc>
        <w:tc>
          <w:tcPr>
            <w:tcW w:type="dxa" w:w="1460"/>
            <w:shd w:fill="00B1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Severidad / prioridad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No imprime el comprobante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TC-016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Crítica / Alta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Anular una línea pone el comprobante en cero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E8, D2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TC-007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Crítica / Alta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DEF-03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Venta grabada a medias, sin transacción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10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E6, F3, T2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TC-014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Crítica / Alta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DEF-04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Pulsar Nuevo deja cabeceras huérfanas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7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E6, F3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TC-008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 / Alta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DEF-05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Error de FoxPro al vender con stock 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8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E8, F4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TC-005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 / Alta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DEF-06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Repetir un producto sustituye la cantidad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9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E8, E7, D2, T1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TC-004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Alta / Alta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DEF-07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Importe en letras con DOS CIENTOS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12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C6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TC-011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Media / Media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DEF-08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Techo de 999 unidades y 9,999.99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15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D6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TC-006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Media / Baja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DEF-09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El IGV de la factura no se graba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16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D7, C3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TC-010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Media / Alta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DEF-10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El contador de productos nunca baja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E6, F3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TC-021 (propuesto)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DEF-11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Cantidad inválida descartada en silencio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E8, F4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TC-019 (propuesto)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DEF-12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Stock validado contra una copia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 (ligado al 6)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T1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FC-02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por confirmar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shd w:fill="F2F4F6" w:color="auto" w:val="clear"/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DEF-13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Precio tecleado sin máximo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E16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TC-025 (propuesto)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cs="Arial" w:eastAsia="Arial"/>
                <w:b w:val="0"/>
                <w:i w:val="0"/>
                <w:color w:val="222222"/>
                <w:sz w:val="17"/>
              </w:rPr>
              <w:t>por confirmar</w:t>
            </w:r>
          </w:p>
        </w:tc>
      </w:tr>
    </w:tbl>
    <w:p>
      <w:pPr>
        <w:spacing w:before="0" w:after="120"/>
      </w:pPr>
    </w:p>
    <w:p>
      <w:pPr>
        <w:keepNext/>
        <w:pBdr>
          <w:bottom w:val="single" w:color="00B1DF" w:sz="12" w:space="4"/>
        </w:pBdr>
        <w:spacing w:before="320" w:after="140"/>
      </w:pPr>
      <w:r>
        <w:rPr>
          <w:rFonts w:ascii="Arial" w:hAnsi="Arial" w:cs="Arial" w:eastAsia="Arial"/>
          <w:b/>
          <w:i w:val="0"/>
          <w:color w:val="00B1DF"/>
          <w:sz w:val="30"/>
        </w:rPr>
        <w:t>7. Por completar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El estado real de cada caso, con quién, cuándo y sobre qué versión, en cuanto haya sistema que ejecutar.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Las fichas de los siete casos propuestos (TC-FC01-019 a 025) y las decisiones de negocio que piden: datos de la factura (E4), regla del precio por mayor (E16) y pago digital por encima del total.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La herramienta de gestión de casos y defectos, aparcada a propósito hasta que empiece el desarrollo; mientras tanto la matriz vive en el repositorio.</w:t>
      </w:r>
    </w:p>
    <w:p>
      <w:pPr>
        <w:pStyle w:val="ListBullet"/>
        <w:spacing w:before="0" w:after="60" w:line="276" w:lineRule="auto"/>
      </w:pPr>
      <w:r>
        <w:rPr>
          <w:rFonts w:ascii="Arial" w:hAnsi="Arial" w:cs="Arial" w:eastAsia="Arial"/>
          <w:b w:val="0"/>
          <w:i w:val="0"/>
          <w:color w:val="222222"/>
          <w:sz w:val="20"/>
        </w:rPr>
        <w:t>Mantener la matriz viva: se actualiza con cada caso nuevo, cada ejecución y cada defecto. Una matriz que se llena una vez y no se toca deja de servir.</w:t>
      </w:r>
    </w:p>
    <w:p>
      <w:pPr>
        <w:spacing w:before="0" w:after="80"/>
      </w:pPr>
    </w:p>
    <w:p>
      <w:pPr>
        <w:spacing w:before="0" w:after="160"/>
      </w:pPr>
    </w:p>
    <w:p>
      <w:pPr>
        <w:pBdr>
          <w:top w:val="single" w:color="D7DEE4" w:sz="6" w:space="6"/>
        </w:pBdr>
        <w:spacing w:before="200" w:after="0"/>
        <w:jc w:val="center"/>
      </w:pPr>
      <w:r>
        <w:rPr>
          <w:rFonts w:ascii="Arial" w:hAnsi="Arial" w:cs="Arial" w:eastAsia="Arial"/>
          <w:b w:val="0"/>
          <w:i w:val="0"/>
          <w:color w:val="9AA4AD"/>
          <w:sz w:val="16"/>
        </w:rPr>
        <w:t>MiFarma · Matriz de trazabilidad FC-01 v1 · Vladimir De La Cruz · 24-oct-2026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