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cs="Arial" w:eastAsia="Arial"/>
          <w:b/>
          <w:i w:val="0"/>
          <w:color w:val="00B1DF"/>
          <w:sz w:val="16"/>
        </w:rPr>
        <w:t>QA · MIGRACIÓN MIFARMA · FLUJO CRÍTICO FC-01</w:t>
      </w:r>
    </w:p>
    <w:p>
      <w:pPr>
        <w:spacing w:before="0" w:after="40"/>
      </w:pPr>
      <w:r>
        <w:rPr>
          <w:rFonts w:ascii="Arial" w:hAnsi="Arial" w:cs="Arial" w:eastAsia="Arial"/>
          <w:b/>
          <w:i w:val="0"/>
          <w:color w:val="3D4750"/>
          <w:sz w:val="48"/>
        </w:rPr>
        <w:t>Tabla de decisión v1</w:t>
      </w:r>
    </w:p>
    <w:p>
      <w:pPr>
        <w:spacing w:before="0" w:after="240"/>
      </w:pPr>
      <w:r>
        <w:rPr>
          <w:rFonts w:ascii="Arial" w:hAnsi="Arial" w:cs="Arial" w:eastAsia="Arial"/>
          <w:b w:val="0"/>
          <w:i w:val="0"/>
          <w:color w:val="667079"/>
          <w:sz w:val="22"/>
        </w:rPr>
        <w:t>Venta sin conexión hasta el ticket impreso — añadir una línea, cobrar e imprimir</w:t>
      </w: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type="dxa" w:w="9360"/>
        <w:tblLayout w:type="fixed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color="00B1DF"/>
              <w:bottom w:val="none"/>
              <w:right w:val="none"/>
            </w:tcBorders>
            <w:shd w:fill="E8F6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Para qué sirve. Tres reglas del flujo FC-01 en las que varias condiciones se combinan: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añadir un producto al borrador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 (paso 5),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cobrar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 (paso 7) e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imprimir el ticket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 (paso 9). Cada tabla lista todas las combinaciones, las simplifica y deriva al menos un caso con datos concretos por regla.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Las condiciones y acciones salen de los contratos de la frontera A (QA-CAS-001, endpoints A-09, A-12 y A-15) y de las fichas de QA-CAS-FC01 v1.3. Los datos son los del juego base del plan (PR_0000123, PR_0000777, total 17.50). Donde la documentación no dice qué debe pasar, la celda queda como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por completar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: la tabla está para que eso se vea.</w:t>
            </w:r>
          </w:p>
        </w:tc>
      </w:tr>
    </w:tbl>
    <w:p>
      <w:pPr>
        <w:spacing w:before="0" w:after="120"/>
      </w:pP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1. Identificación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800"/>
        <w:gridCol w:w="6560"/>
      </w:tblGrid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Proyecto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MiFarma — migración del sistema de punto de venta de botica. Flujo cubierto: FC-01, venta sin conexión hasta el ticket impreso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Código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QA-TDD-FC01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Autor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Vladimir De La Cruz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Revisor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Instructor del curso (entregable académico)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Versión y fecha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v1 · 24-oct-2026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Estado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Emitido para revisión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Documentos de referencia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QA-CAS-001 — contratos A-09, A-12, A-15 · QA-CAS-FC01 v1.3 — TC-FC01-004, 005, 012, 013, 016, 017 · QA-PLA-FC01 v1 — datos base · 14 - Requisitos (E8, E11, E3, F4) · 21 - Decisiones del proyecto (decisión 9) · QA-TRZ-FC01 v1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Entregable que cubre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Semana 3 del Módulo 1: tabla de decisión con todas las combinaciones, simplificación y al menos 3 casos derivados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Archivo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docs/tabla-decision-fc01-v1 (en el repositorio del proyecto)</w:t>
            </w:r>
          </w:p>
        </w:tc>
      </w:tr>
    </w:tbl>
    <w:p>
      <w:pPr>
        <w:spacing w:before="0" w:after="120"/>
      </w:pP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2. Cómo se construyen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color w:val="222222"/>
          <w:sz w:val="20"/>
        </w:rPr>
        <w:t>Condiciones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: preguntas de sí o no que cambian el resultado. </w:t>
      </w:r>
      <w:r>
        <w:rPr>
          <w:rFonts w:ascii="Arial" w:hAnsi="Arial" w:cs="Arial" w:eastAsia="Arial"/>
          <w:b/>
          <w:i w:val="0"/>
          <w:color w:val="222222"/>
          <w:sz w:val="20"/>
        </w:rPr>
        <w:t>Reglas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: cada columna es una combinación. </w:t>
      </w:r>
      <w:r>
        <w:rPr>
          <w:rFonts w:ascii="Arial" w:hAnsi="Arial" w:cs="Arial" w:eastAsia="Arial"/>
          <w:b/>
          <w:i w:val="0"/>
          <w:color w:val="222222"/>
          <w:sz w:val="20"/>
        </w:rPr>
        <w:t>Acciones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>: lo que el sistema debe hacer en cada regla.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>Con n condiciones hay 2 elevado a n combinaciones: 3 condiciones dan 8 y 2 dan 4. Se escriben todas antes de simplificar.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Dos reglas con la misma acción que difieren en una condición se unen, y esa condición se marca con un guion (—). El guion es un </w:t>
      </w:r>
      <w:r>
        <w:rPr>
          <w:rFonts w:ascii="Arial" w:hAnsi="Arial" w:cs="Arial" w:eastAsia="Arial"/>
          <w:b/>
          <w:i w:val="0"/>
          <w:color w:val="222222"/>
          <w:sz w:val="20"/>
        </w:rPr>
        <w:t>supuesto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>: si el sistema trata distinto esa condición, es un defecto y la regla se vuelve a separar.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>De cada regla simplificada sale al menos un caso. Si ya existe en QA-CAS-FC01 se cita; si no, se reserva su identificador como propuesto en la matriz QA-TRZ-FC01.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>No sirve para validar un solo campo: el rango de la cantidad o el céntimo del pago se prueban con valores límite (TC-005, TC-013).</w:t>
      </w:r>
    </w:p>
    <w:p>
      <w:pPr>
        <w:spacing w:before="0" w:after="80"/>
      </w:pP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3. Tabla 1 · Añadir un producto al borrador (sales.addLine, A-09)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222222"/>
          <w:sz w:val="20"/>
        </w:rPr>
        <w:t>Regla.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 La cantidad tiene que ser válida, o se rechaza con CANTIDAD INVALIDA sin tocar el borrador. Si el producto ya está en la venta, la cantidad se </w:t>
      </w:r>
      <w:r>
        <w:rPr>
          <w:rFonts w:ascii="Arial" w:hAnsi="Arial" w:cs="Arial" w:eastAsia="Arial"/>
          <w:b/>
          <w:i w:val="0"/>
          <w:color w:val="222222"/>
          <w:sz w:val="20"/>
        </w:rPr>
        <w:t>suma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 a su línea (E8, hallazgo 9); si no, se crea una línea nueva. Si el saldo derivado del producto no es mayor que cero, aparece el aviso SIN EXISTENCIAS, que </w:t>
      </w:r>
      <w:r>
        <w:rPr>
          <w:rFonts w:ascii="Arial" w:hAnsi="Arial" w:cs="Arial" w:eastAsia="Arial"/>
          <w:b/>
          <w:i w:val="0"/>
          <w:color w:val="222222"/>
          <w:sz w:val="20"/>
        </w:rPr>
        <w:t>no bloquea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 (riesgo R05, TC-005). El producto ya se encontró con catalog.findProduct: PRODUCTO NO ENCONTRADO es de otro endpoint y queda fuera de esta tabla.</w:t>
      </w: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Todas las combinaciones (2 × 2 × 2 = 8)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3960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blHeader w:val="true"/>
        </w:trPr>
        <w:tc>
          <w:tcPr>
            <w:tcW w:type="dxa" w:w="39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Condición / acción</w:t>
            </w:r>
          </w:p>
        </w:tc>
        <w:tc>
          <w:tcPr>
            <w:tcW w:type="dxa" w:w="675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R1</w:t>
            </w:r>
          </w:p>
        </w:tc>
        <w:tc>
          <w:tcPr>
            <w:tcW w:type="dxa" w:w="675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R2</w:t>
            </w:r>
          </w:p>
        </w:tc>
        <w:tc>
          <w:tcPr>
            <w:tcW w:type="dxa" w:w="675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R3</w:t>
            </w:r>
          </w:p>
        </w:tc>
        <w:tc>
          <w:tcPr>
            <w:tcW w:type="dxa" w:w="675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R4</w:t>
            </w:r>
          </w:p>
        </w:tc>
        <w:tc>
          <w:tcPr>
            <w:tcW w:type="dxa" w:w="675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R5</w:t>
            </w:r>
          </w:p>
        </w:tc>
        <w:tc>
          <w:tcPr>
            <w:tcW w:type="dxa" w:w="675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R6</w:t>
            </w:r>
          </w:p>
        </w:tc>
        <w:tc>
          <w:tcPr>
            <w:tcW w:type="dxa" w:w="675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R7</w:t>
            </w:r>
          </w:p>
        </w:tc>
        <w:tc>
          <w:tcPr>
            <w:tcW w:type="dxa" w:w="675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R8</w:t>
            </w:r>
          </w:p>
        </w:tc>
      </w:tr>
      <w:tr>
        <w:trPr>
          <w:cantSplit w:val="true"/>
        </w:trPr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C1 · La cantidad es válida (entero mayor que 0)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</w:tr>
      <w:tr>
        <w:trPr>
          <w:cantSplit w:val="true"/>
        </w:trPr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C2 · El producto ya está en el borrador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</w:tr>
      <w:tr>
        <w:trPr>
          <w:cantSplit w:val="true"/>
        </w:trPr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C3 · El saldo derivado del producto es mayor que 0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</w:tr>
      <w:tr>
        <w:trPr>
          <w:cantSplit w:val="true"/>
        </w:trPr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A1 · Rechaza con CANTIDAD INVALIDA; el borrador queda igual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</w:tr>
      <w:tr>
        <w:trPr>
          <w:cantSplit w:val="true"/>
        </w:trPr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A2 · Crea una línea nueva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A3 · Suma la cantidad a la línea existente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A4 · Muestra el aviso SIN EXISTENCIAS (no bloquea)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</w:tr>
    </w:tbl>
    <w:p>
      <w:pPr>
        <w:spacing w:before="0" w:after="12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Simplificada (8 reglas en 5)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560"/>
        <w:gridCol w:w="1360"/>
        <w:gridCol w:w="1360"/>
        <w:gridCol w:w="1360"/>
        <w:gridCol w:w="1360"/>
        <w:gridCol w:w="1360"/>
      </w:tblGrid>
      <w:tr>
        <w:trPr>
          <w:tblHeader w:val="true"/>
        </w:trPr>
        <w:tc>
          <w:tcPr>
            <w:tcW w:type="dxa" w:w="25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Condición</w:t>
            </w:r>
          </w:p>
        </w:tc>
        <w:tc>
          <w:tcPr>
            <w:tcW w:type="dxa" w:w="13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</w:t>
            </w:r>
          </w:p>
        </w:tc>
        <w:tc>
          <w:tcPr>
            <w:tcW w:type="dxa" w:w="13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</w:t>
            </w:r>
          </w:p>
        </w:tc>
        <w:tc>
          <w:tcPr>
            <w:tcW w:type="dxa" w:w="13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</w:t>
            </w:r>
          </w:p>
        </w:tc>
        <w:tc>
          <w:tcPr>
            <w:tcW w:type="dxa" w:w="13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</w:t>
            </w:r>
          </w:p>
        </w:tc>
        <w:tc>
          <w:tcPr>
            <w:tcW w:type="dxa" w:w="13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</w:t>
            </w:r>
          </w:p>
        </w:tc>
      </w:tr>
      <w:tr>
        <w:trPr>
          <w:cantSplit w:val="true"/>
        </w:trPr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C1 · Cantidad válida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</w:tr>
      <w:tr>
        <w:trPr>
          <w:cantSplit w:val="true"/>
        </w:trPr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C2 · Ya está en el borrador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</w:tr>
      <w:tr>
        <w:trPr>
          <w:cantSplit w:val="true"/>
        </w:trPr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C3 · Saldo mayor que 0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</w:tr>
      <w:tr>
        <w:trPr>
          <w:cantSplit w:val="true"/>
        </w:trPr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Acción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Rechaza CANTIDAD INVALIDA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Suma a la línea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Suma a la línea + aviso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Línea nueva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Línea nueva + aviso</w:t>
            </w:r>
          </w:p>
        </w:tc>
      </w:tr>
      <w:tr>
        <w:trPr>
          <w:cantSplit w:val="true"/>
        </w:trPr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Reglas que une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R5 a R8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R1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R2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R3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R4</w:t>
            </w:r>
          </w:p>
        </w:tc>
      </w:tr>
    </w:tbl>
    <w:p>
      <w:pPr>
        <w:spacing w:before="0" w:after="12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Casos derivados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700"/>
        <w:gridCol w:w="3000"/>
        <w:gridCol w:w="3560"/>
        <w:gridCol w:w="2100"/>
      </w:tblGrid>
      <w:tr>
        <w:trPr>
          <w:tblHeader w:val="true"/>
        </w:trPr>
        <w:tc>
          <w:tcPr>
            <w:tcW w:type="dxa" w:w="7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Regla</w:t>
            </w:r>
          </w:p>
        </w:tc>
        <w:tc>
          <w:tcPr>
            <w:tcW w:type="dxa" w:w="30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Datos concretos</w:t>
            </w:r>
          </w:p>
        </w:tc>
        <w:tc>
          <w:tcPr>
            <w:tcW w:type="dxa" w:w="35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21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Caso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PR_0000123 (saldo 10) con cantidad 0; repetir con -1 y con el texto abc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CANTIDAD INVALIDA en español; el borrador sigue vacío; ningún diálogo del entorno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TC-FC01-019 (propuesto)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PR_0000123, precio 3.50, saldo 10: añadir 2 y luego 3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Una sola línea con cantidad 5 e importe 17.50; sin aviso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TC-FC01-004, pasos 1 y 2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PR_0000777, precio 12.00, saldo 0: añadir 1 y luego 1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Una sola línea con cantidad 2 e importe 24.00, y el aviso SIN EXISTENCIAS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TC-FC01-020 (propuesto)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PR_0000123 con cantidad 2 en un borrador vacío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Línea nueva con cantidad 2 e importe 7.00; sin aviso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TC-FC01-004, paso 1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PR_0000777 (saldo 0) con cantidad 1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Línea nueva y aviso SIN EXISTENCIAS; la venta se puede cobrar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TC-FC01-005</w:t>
            </w:r>
          </w:p>
        </w:tc>
      </w:tr>
    </w:tbl>
    <w:p>
      <w:pPr>
        <w:spacing w:before="0" w:after="12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Bordes y supuestos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color w:val="222222"/>
          <w:sz w:val="20"/>
        </w:rPr>
        <w:t>Saldo exactamente 0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 es el borde de C3: con saldo 1 no hay aviso, y con 0 sí. Es el valor que en el sistema actual dispara el error de FoxPro (DEF-05).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color w:val="222222"/>
          <w:sz w:val="20"/>
        </w:rPr>
        <w:t>Cantidad 1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 es la menor válida y </w:t>
      </w:r>
      <w:r>
        <w:rPr>
          <w:rFonts w:ascii="Arial" w:hAnsi="Arial" w:cs="Arial" w:eastAsia="Arial"/>
          <w:b/>
          <w:i w:val="0"/>
          <w:color w:val="222222"/>
          <w:sz w:val="20"/>
        </w:rPr>
        <w:t>0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 la mayor inválida. Si se admiten decimales (por ejemplo, fracciones de un blíster) está </w:t>
      </w:r>
      <w:r>
        <w:rPr>
          <w:rFonts w:ascii="Arial" w:hAnsi="Arial" w:cs="Arial" w:eastAsia="Arial"/>
          <w:b/>
          <w:i w:val="0"/>
          <w:color w:val="222222"/>
          <w:sz w:val="20"/>
        </w:rPr>
        <w:t>por completar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>: el contrato de A-09 no lo dice.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color w:val="222222"/>
          <w:sz w:val="20"/>
        </w:rPr>
        <w:t>Supuesto del guion en A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>: con cantidad inválida da igual si el producto está en el borrador o tiene saldo. Si el sistema, por ejemplo, suma un 0 a la línea existente, es un defecto.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color w:val="222222"/>
          <w:sz w:val="20"/>
        </w:rPr>
        <w:t>Pregunta abierta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: ¿aparece el aviso cuando el saldo es positivo pero menor que la cantidad (saldo 10, cantidad 11)? La documentación solo define el caso de saldo cero. Se deja </w:t>
      </w:r>
      <w:r>
        <w:rPr>
          <w:rFonts w:ascii="Arial" w:hAnsi="Arial" w:cs="Arial" w:eastAsia="Arial"/>
          <w:b/>
          <w:i w:val="0"/>
          <w:color w:val="222222"/>
          <w:sz w:val="20"/>
        </w:rPr>
        <w:t>por completar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 con desarrollo; si la respuesta es sí, C3 cambia a «la cantidad no supera el saldo» y las reglas se rehacen.</w:t>
      </w:r>
    </w:p>
    <w:p>
      <w:pPr>
        <w:spacing w:before="0" w:after="80"/>
      </w:pP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4. Tabla 2 · Cobrar la venta (sales.registerPayment, A-12)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222222"/>
          <w:sz w:val="20"/>
        </w:rPr>
        <w:t>Regla.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 La venta solo se puede confirmar si los pagos cubren el total; si no, PAGO INSUFICIENTE (TC-013). El vuelto se calcula </w:t>
      </w:r>
      <w:r>
        <w:rPr>
          <w:rFonts w:ascii="Arial" w:hAnsi="Arial" w:cs="Arial" w:eastAsia="Arial"/>
          <w:b/>
          <w:i w:val="0"/>
          <w:color w:val="222222"/>
          <w:sz w:val="20"/>
        </w:rPr>
        <w:t>solo sobre el efectivo entregado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>, nunca sobre lo cobrado con el dispositivo (TC-012). Por la decisión 9, Yape, Plin y tarjeta se cobran en un dispositivo externo tipo IzyPay; el sistema registra el importe con la referencia del recibo (E11). MEDIO NO ADMITIDO se valida pago a pago y queda fuera de la tabla.</w:t>
      </w: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Todas las combinaciones (2 × 2 × 2 = 8)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3960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blHeader w:val="true"/>
        </w:trPr>
        <w:tc>
          <w:tcPr>
            <w:tcW w:type="dxa" w:w="39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Condición / acción</w:t>
            </w:r>
          </w:p>
        </w:tc>
        <w:tc>
          <w:tcPr>
            <w:tcW w:type="dxa" w:w="675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R1</w:t>
            </w:r>
          </w:p>
        </w:tc>
        <w:tc>
          <w:tcPr>
            <w:tcW w:type="dxa" w:w="675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R2</w:t>
            </w:r>
          </w:p>
        </w:tc>
        <w:tc>
          <w:tcPr>
            <w:tcW w:type="dxa" w:w="675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R3</w:t>
            </w:r>
          </w:p>
        </w:tc>
        <w:tc>
          <w:tcPr>
            <w:tcW w:type="dxa" w:w="675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R4</w:t>
            </w:r>
          </w:p>
        </w:tc>
        <w:tc>
          <w:tcPr>
            <w:tcW w:type="dxa" w:w="675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R5</w:t>
            </w:r>
          </w:p>
        </w:tc>
        <w:tc>
          <w:tcPr>
            <w:tcW w:type="dxa" w:w="675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R6</w:t>
            </w:r>
          </w:p>
        </w:tc>
        <w:tc>
          <w:tcPr>
            <w:tcW w:type="dxa" w:w="675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R7</w:t>
            </w:r>
          </w:p>
        </w:tc>
        <w:tc>
          <w:tcPr>
            <w:tcW w:type="dxa" w:w="675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R8</w:t>
            </w:r>
          </w:p>
        </w:tc>
      </w:tr>
      <w:tr>
        <w:trPr>
          <w:cantSplit w:val="true"/>
        </w:trPr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C1 · Los pagos cubren el total (suma ≥ total)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</w:tr>
      <w:tr>
        <w:trPr>
          <w:cantSplit w:val="true"/>
        </w:trPr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C2 · Hay excedente (suma &gt; total)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</w:tr>
      <w:tr>
        <w:trPr>
          <w:cantSplit w:val="true"/>
        </w:trPr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C3 · Hay efectivo entre los pagos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No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</w:tr>
      <w:tr>
        <w:trPr>
          <w:cantSplit w:val="true"/>
        </w:trPr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A1 · Rechaza con PAGO INSUFICIENTE; no se puede confirmar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—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—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</w:tr>
      <w:tr>
        <w:trPr>
          <w:cantSplit w:val="true"/>
        </w:trPr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A2 · Venta pagada; se puede confirmar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?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—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—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A3 · Vuelto = excedente, entregado en efectivo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?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—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—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A4 · Vuelto 0.00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?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—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—</w:t>
            </w: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</w:tr>
    </w:tbl>
    <w:p>
      <w:pPr>
        <w:spacing w:before="0" w:after="120"/>
      </w:pPr>
    </w:p>
    <w:p>
      <w:pPr>
        <w:spacing w:before="40" w:after="160" w:line="264" w:lineRule="auto"/>
      </w:pPr>
      <w:r>
        <w:rPr>
          <w:rFonts w:ascii="Arial" w:hAnsi="Arial" w:cs="Arial" w:eastAsia="Arial"/>
          <w:b w:val="0"/>
          <w:i/>
          <w:color w:val="667079"/>
          <w:sz w:val="17"/>
        </w:rPr>
        <w:t>R5 y R6 son imposibles: no puede haber excedente si los pagos no cubren el total. R2 (en rojo) es una combinación que la documentación no decide: excedente pagado solo con el dispositivo, sin efectivo del que dar vuelto.</w:t>
      </w: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Simplificada (8 reglas en 4)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960"/>
        <w:gridCol w:w="1600"/>
        <w:gridCol w:w="1600"/>
        <w:gridCol w:w="1600"/>
        <w:gridCol w:w="1600"/>
      </w:tblGrid>
      <w:tr>
        <w:trPr>
          <w:tblHeader w:val="true"/>
        </w:trPr>
        <w:tc>
          <w:tcPr>
            <w:tcW w:type="dxa" w:w="29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Condición</w:t>
            </w:r>
          </w:p>
        </w:tc>
        <w:tc>
          <w:tcPr>
            <w:tcW w:type="dxa" w:w="16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</w:t>
            </w:r>
          </w:p>
        </w:tc>
        <w:tc>
          <w:tcPr>
            <w:tcW w:type="dxa" w:w="16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</w:t>
            </w:r>
          </w:p>
        </w:tc>
        <w:tc>
          <w:tcPr>
            <w:tcW w:type="dxa" w:w="16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</w:t>
            </w:r>
          </w:p>
        </w:tc>
        <w:tc>
          <w:tcPr>
            <w:tcW w:type="dxa" w:w="16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</w:t>
            </w:r>
          </w:p>
        </w:tc>
      </w:tr>
      <w:tr>
        <w:trPr>
          <w:cantSplit w:val="true"/>
        </w:trPr>
        <w:tc>
          <w:tcPr>
            <w:tcW w:type="dxa" w:w="2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C1 · Los pagos cubren el total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Sí</w:t>
            </w:r>
          </w:p>
        </w:tc>
      </w:tr>
      <w:tr>
        <w:trPr>
          <w:cantSplit w:val="true"/>
        </w:trPr>
        <w:tc>
          <w:tcPr>
            <w:tcW w:type="dxa" w:w="2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C2 · Hay excedente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Sí</w:t>
            </w:r>
          </w:p>
        </w:tc>
      </w:tr>
      <w:tr>
        <w:trPr>
          <w:cantSplit w:val="true"/>
        </w:trPr>
        <w:tc>
          <w:tcPr>
            <w:tcW w:type="dxa" w:w="2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C3 · Hay efectivo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No</w:t>
            </w:r>
          </w:p>
        </w:tc>
      </w:tr>
      <w:tr>
        <w:trPr>
          <w:cantSplit w:val="true"/>
        </w:trPr>
        <w:tc>
          <w:tcPr>
            <w:tcW w:type="dxa" w:w="2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Acción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PAGO INSUFICIENTE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Pagada, vuelto 0.00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Pagada, vuelto en efectivo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Por completar</w:t>
            </w:r>
          </w:p>
        </w:tc>
      </w:tr>
      <w:tr>
        <w:trPr>
          <w:cantSplit w:val="true"/>
        </w:trPr>
        <w:tc>
          <w:tcPr>
            <w:tcW w:type="dxa" w:w="29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Reglas que une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R7, R8 (R5 y R6 imposibles)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R3, R4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R1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R2</w:t>
            </w:r>
          </w:p>
        </w:tc>
      </w:tr>
    </w:tbl>
    <w:p>
      <w:pPr>
        <w:spacing w:before="0" w:after="12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Casos derivados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700"/>
        <w:gridCol w:w="3000"/>
        <w:gridCol w:w="3560"/>
        <w:gridCol w:w="2100"/>
      </w:tblGrid>
      <w:tr>
        <w:trPr>
          <w:tblHeader w:val="true"/>
        </w:trPr>
        <w:tc>
          <w:tcPr>
            <w:tcW w:type="dxa" w:w="7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Regla</w:t>
            </w:r>
          </w:p>
        </w:tc>
        <w:tc>
          <w:tcPr>
            <w:tcW w:type="dxa" w:w="30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Datos concretos</w:t>
            </w:r>
          </w:p>
        </w:tc>
        <w:tc>
          <w:tcPr>
            <w:tcW w:type="dxa" w:w="35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21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Caso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Total 17.50; efectivo 17.49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PAGO INSUFICIENTE; confirmar se rechaza y no se emite comprobante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TC-FC01-013, pasos 1 y 2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Total 17.50; solo 10.00 con el dispositivo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Quedan 7.50 pendientes y no se puede confirmar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TC-FC01-012, paso 1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Total 17.50; efectivo 17.49 + 0.01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Pagada, vuelto 0.00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TC-FC01-013, paso 3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Total 17.50; 17.50 con el dispositivo y referencia del recibo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 xml:space="preserve">Pagada, vuelto 0.00.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7"/>
              </w:rPr>
              <w:t>Sin caso hoy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: se puede añadir como paso a TC-022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TC-FC01-022 (propuesto)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Total 17.50; 10.00 con el dispositivo + 10.00 en efectivo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Pagada, vuelto 2.50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TC-FC01-012, paso 2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Total 17.50; 20.00 con el dispositivo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222222"/>
                <w:sz w:val="17"/>
              </w:rPr>
              <w:t>Por completar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: ¿se rechaza, se da vuelto en efectivo de la caja o se registra solo 17.50?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TC-FC01-022 (propuesto)</w:t>
            </w:r>
          </w:p>
        </w:tc>
      </w:tr>
    </w:tbl>
    <w:p>
      <w:pPr>
        <w:spacing w:before="0" w:after="12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Bordes y supuestos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color w:val="222222"/>
          <w:sz w:val="20"/>
        </w:rPr>
        <w:t>Un céntimo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 es el borde de C1: 17.49 no cubre y 17.50 sí. Ya lo prueba TC-013 con valores límite.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color w:val="222222"/>
          <w:sz w:val="20"/>
        </w:rPr>
        <w:t>Supuesto dentro de la regla C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>: el efectivo alcanza para el vuelto. Con 17.50 en el dispositivo y 1.00 en efectivo el excedente es 1.00 y cuadra; con 20.00 en el dispositivo y 1.00 en efectivo el excedente es 3.50 y supera al efectivo. Ese subcaso cae en la misma pregunta que la regla D.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color w:val="222222"/>
          <w:sz w:val="20"/>
        </w:rPr>
        <w:t>Choque con los datos de TC-012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>: la ficha registra «tarjeta 10.00» como medio del sistema; con la decisión 9 es un cobro hecho en el dispositivo. Los importes no cambian; la forma de registrarlo sí está abierta (notas de sesión v2.0).</w:t>
      </w:r>
    </w:p>
    <w:p>
      <w:pPr>
        <w:spacing w:before="0" w:after="80"/>
      </w:pP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5. Tabla 3 · Imprimir el ticket (printing.printTicket, A-15)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222222"/>
          <w:sz w:val="20"/>
        </w:rPr>
        <w:t>Regla.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 El comprobante ya es válido al emitirse: un problema de impresora es un incidente de impresión, no una venta fallida (TC-017). Si la impresora responde y tiene papel, el ticket sale y el comprobante queda marcado como impreso; si no, el cajero ve un mensaje en español (F4), el comprobante queda pendiente de imprimir y no se consume otro correlativo.</w:t>
      </w: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Todas las combinaciones (2 × 2 = 4) y simplificación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4560"/>
        <w:gridCol w:w="1200"/>
        <w:gridCol w:w="1200"/>
        <w:gridCol w:w="1200"/>
        <w:gridCol w:w="1200"/>
      </w:tblGrid>
      <w:tr>
        <w:trPr>
          <w:tblHeader w:val="true"/>
        </w:trPr>
        <w:tc>
          <w:tcPr>
            <w:tcW w:type="dxa" w:w="45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Condición / acción</w:t>
            </w:r>
          </w:p>
        </w:tc>
        <w:tc>
          <w:tcPr>
            <w:tcW w:type="dxa" w:w="12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R1</w:t>
            </w:r>
          </w:p>
        </w:tc>
        <w:tc>
          <w:tcPr>
            <w:tcW w:type="dxa" w:w="12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R2</w:t>
            </w:r>
          </w:p>
        </w:tc>
        <w:tc>
          <w:tcPr>
            <w:tcW w:type="dxa" w:w="12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R3</w:t>
            </w:r>
          </w:p>
        </w:tc>
        <w:tc>
          <w:tcPr>
            <w:tcW w:type="dxa" w:w="12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R4</w:t>
            </w:r>
          </w:p>
        </w:tc>
      </w:tr>
      <w:tr>
        <w:trPr>
          <w:cantSplit w:val="true"/>
        </w:trPr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C1 · La impresora responde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</w:tr>
      <w:tr>
        <w:trPr>
          <w:cantSplit w:val="true"/>
        </w:trPr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C2 · La impresora tiene papel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</w:tr>
      <w:tr>
        <w:trPr>
          <w:cantSplit w:val="true"/>
        </w:trPr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A1 · Imprime y marca el comprobante como impreso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A2 · IMPRESORA SIN PAPEL en español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A3 · IMPRESORA NO RESPONDE en español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</w:tr>
      <w:tr>
        <w:trPr>
          <w:cantSplit w:val="true"/>
        </w:trPr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A4 · Venta válida, pendiente de imprimir, mismo correlativo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X</w:t>
            </w:r>
          </w:p>
        </w:tc>
      </w:tr>
    </w:tbl>
    <w:p>
      <w:pPr>
        <w:spacing w:before="0" w:after="120"/>
      </w:pP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3360"/>
        <w:gridCol w:w="2000"/>
        <w:gridCol w:w="2000"/>
        <w:gridCol w:w="2000"/>
      </w:tblGrid>
      <w:tr>
        <w:trPr>
          <w:tblHeader w:val="true"/>
        </w:trPr>
        <w:tc>
          <w:tcPr>
            <w:tcW w:type="dxa" w:w="33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Condición</w:t>
            </w:r>
          </w:p>
        </w:tc>
        <w:tc>
          <w:tcPr>
            <w:tcW w:type="dxa" w:w="20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</w:t>
            </w:r>
          </w:p>
        </w:tc>
        <w:tc>
          <w:tcPr>
            <w:tcW w:type="dxa" w:w="20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</w:t>
            </w:r>
          </w:p>
        </w:tc>
        <w:tc>
          <w:tcPr>
            <w:tcW w:type="dxa" w:w="20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</w:t>
            </w:r>
          </w:p>
        </w:tc>
      </w:tr>
      <w:tr>
        <w:trPr>
          <w:cantSplit w:val="true"/>
        </w:trP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C1 · Responde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</w:tr>
      <w:tr>
        <w:trPr>
          <w:cantSplit w:val="true"/>
        </w:trP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C2 · Tiene papel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Sí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Acción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Imprime y marca impreso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SIN PAPEL; venta válida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RESPONDE; venta válida</w:t>
            </w:r>
          </w:p>
        </w:tc>
      </w:tr>
      <w:tr>
        <w:trPr>
          <w:cantSplit w:val="true"/>
        </w:trP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Reglas que une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R1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R2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R3, R4</w:t>
            </w:r>
          </w:p>
        </w:tc>
      </w:tr>
    </w:tbl>
    <w:p>
      <w:pPr>
        <w:spacing w:before="0" w:after="12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Casos derivados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700"/>
        <w:gridCol w:w="3000"/>
        <w:gridCol w:w="3560"/>
        <w:gridCol w:w="2100"/>
      </w:tblGrid>
      <w:tr>
        <w:trPr>
          <w:tblHeader w:val="true"/>
        </w:trPr>
        <w:tc>
          <w:tcPr>
            <w:tcW w:type="dxa" w:w="7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Regla</w:t>
            </w:r>
          </w:p>
        </w:tc>
        <w:tc>
          <w:tcPr>
            <w:tcW w:type="dxa" w:w="30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Datos concretos</w:t>
            </w:r>
          </w:p>
        </w:tc>
        <w:tc>
          <w:tcPr>
            <w:tcW w:type="dxa" w:w="35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21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Caso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Comprobante de 17.50; 3nSTAR RPT004 conectada por USB y luego por Ethernet (puerto 9100)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Sale el ticket, coincide con el comprobante grabado y queda marcado como impreso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TC-FC01-016 (bloqueado: falta el equipo en mano)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Comprobante de 17.50; sin papel en el rollo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IMPRESORA SIN PAPEL; el comprobante sigue emitido y pendiente de imprimir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TC-FC01-017, pasos 1 y 2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Comprobante de 17.50; impresora desconectada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IMPRESORA NO RESPONDE, distinto del anterior; el comprobante conserva su número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TC-FC01-017, paso 3</w:t>
            </w:r>
          </w:p>
        </w:tc>
      </w:tr>
    </w:tbl>
    <w:p>
      <w:pPr>
        <w:spacing w:before="0" w:after="120"/>
      </w:pP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color w:val="222222"/>
          <w:sz w:val="20"/>
        </w:rPr>
        <w:t>Supuesto del guion en C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: si la impresora no responde, no se puede saber si tiene papel, así que el mensaje es siempre NO RESPONDE. Es un supuesto de esta tabla, </w:t>
      </w:r>
      <w:r>
        <w:rPr>
          <w:rFonts w:ascii="Arial" w:hAnsi="Arial" w:cs="Arial" w:eastAsia="Arial"/>
          <w:b/>
          <w:i w:val="0"/>
          <w:color w:val="222222"/>
          <w:sz w:val="20"/>
        </w:rPr>
        <w:t>a confirmar con desarrollo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>; si el sistema informa otra cosa con la impresora desconectada y sin papel, se separa R4.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>La pasada con papel real de B y la regla A dependen de tener la impresora (riesgo R02). B y C se pueden ejecutar antes con impresora simulada.</w:t>
      </w:r>
    </w:p>
    <w:p>
      <w:pPr>
        <w:spacing w:before="0" w:after="80"/>
      </w:pP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6. Lo que estas tablas dejan a la vista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Hallazgo</w:t>
            </w:r>
          </w:p>
        </w:tc>
        <w:tc>
          <w:tcPr>
            <w:tcW w:type="dxa" w:w="468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Qué hacer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Combinación sin decidir: pago solo con dispositivo por encima del total (tabla 2, regla D)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Llevarla al negocio como pregunta. Hasta tener respuesta, TC-FC01-022 queda sin resultado esperado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Pago exacto solo con dispositivo (tabla 2, regla B) sin ningún caso hoy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Añadirlo como paso de TC-FC01-022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Repetir un producto con saldo cero (tabla 1, regla C) sin caso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Escribir TC-FC01-020: los datos ya existen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Cantidad inválida (tabla 1, regla A) sin caso, y en el sistema actual se descarta en silencio (DEF-11)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Escribir TC-FC01-019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El aviso con saldo positivo pero insuficiente no está definido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Pregunta a desarrollo; puede cambiar la condición C3 de la tabla 1</w:t>
            </w:r>
          </w:p>
        </w:tc>
      </w:tr>
    </w:tbl>
    <w:p>
      <w:pPr>
        <w:spacing w:before="0" w:after="120"/>
      </w:pPr>
    </w:p>
    <w:p>
      <w:pPr>
        <w:spacing w:before="40" w:after="160" w:line="264" w:lineRule="auto"/>
      </w:pPr>
      <w:r>
        <w:rPr>
          <w:rFonts w:ascii="Arial" w:hAnsi="Arial" w:cs="Arial" w:eastAsia="Arial"/>
          <w:b w:val="0"/>
          <w:i/>
          <w:color w:val="667079"/>
          <w:sz w:val="17"/>
        </w:rPr>
        <w:t>Las reglas propuestas se registran en la matriz QA-TRZ-FC01 (sección 4) con su requisito: E8 y F4 para la tabla 1, E11 para la tabla 2 y E3 y F4 para la tabla 3.</w:t>
      </w:r>
    </w:p>
    <w:p>
      <w:pPr>
        <w:spacing w:before="0" w:after="160"/>
      </w:pPr>
    </w:p>
    <w:p>
      <w:pPr>
        <w:pBdr>
          <w:top w:val="single" w:color="D7DEE4" w:sz="6" w:space="6"/>
        </w:pBdr>
        <w:spacing w:before="200" w:after="0"/>
        <w:jc w:val="center"/>
      </w:pPr>
      <w:r>
        <w:rPr>
          <w:rFonts w:ascii="Arial" w:hAnsi="Arial" w:cs="Arial" w:eastAsia="Arial"/>
          <w:b w:val="0"/>
          <w:i w:val="0"/>
          <w:color w:val="9AA4AD"/>
          <w:sz w:val="16"/>
        </w:rPr>
        <w:t>MiFarma · Tabla de decisión FC-01 v1 · Vladimir De La Cruz · 24-oct-2026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