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Documento de Alcance de Calidad — MiFarma</w:t>
      </w:r>
    </w:p>
    <w:p>
      <w:pPr/>
      <w:r>
        <w:t xml:space="preserve">08-oct-2026 — Autor: Vladimir De La Cruz</w:t>
      </w:r>
    </w:p>
    <w:p>
      <w:pPr/>
      <w:r>
        <w:t xml:space="preserve">Este documento define qué se prueba en MiFarma, con qué criterio y con qué límites. Sigue las secciones y el formato del documento modelo del curso, aplicadas a un proyecto propio: la migración del sistema de punto de venta de la botica.</w:t>
      </w:r>
    </w:p>
    <w:p>
      <w:pPr>
        <w:pStyle w:val="Heading2"/>
      </w:pPr>
      <w:r>
        <w:t xml:space="preserve">Control del documento</w:t>
      </w:r>
    </w:p>
    <w:tbl>
      <w:tblPr>
        <w:tblStyle w:val="TableGrid"/>
        <w:tblW w:w="0" w:type="auto"/>
        <w:tblLayout w:type="fixed"/>
        <w:tblLook w:val="04A0" w:firstRow="1" w:lastRow="0" w:firstColumn="0" w:lastColumn="0" w:noHBand="0" w:noVBand="1"/>
      </w:tblPr>
      <w:tblGrid>
        <w:gridCol w:w="1997"/>
        <w:gridCol w:w="7363"/>
      </w:tblGrid>
      <w:tr>
        <w:trPr>
          <w:tblHeader/>
        </w:trPr>
        <w:tc>
          <w:tcPr>
            <w:tcW w:w="1997" w:type="dxa"/>
            <w:shd w:val="clear" w:color="auto" w:fill="F2F2F2"/>
          </w:tcPr>
          <w:p>
            <w:pPr/>
            <w:r>
              <w:t xml:space="preserve">Campo</w:t>
            </w:r>
          </w:p>
        </w:tc>
        <w:tc>
          <w:tcPr>
            <w:tcW w:w="7363" w:type="dxa"/>
            <w:shd w:val="clear" w:color="auto" w:fill="F2F2F2"/>
          </w:tcPr>
          <w:p>
            <w:pPr/>
            <w:r>
              <w:t xml:space="preserve">Detalle</w:t>
            </w:r>
          </w:p>
        </w:tc>
      </w:tr>
      <w:tr>
        <w:tc>
          <w:tcPr>
            <w:tcW w:w="1997" w:type="dxa"/>
          </w:tcPr>
          <w:p>
            <w:pPr/>
            <w:r>
              <w:t xml:space="preserve">Código</w:t>
            </w:r>
          </w:p>
        </w:tc>
        <w:tc>
          <w:tcPr>
            <w:tcW w:w="7363" w:type="dxa"/>
          </w:tcPr>
          <w:p>
            <w:pPr/>
            <w:r>
              <w:t xml:space="preserve">QA-ALC-001</w:t>
            </w:r>
          </w:p>
        </w:tc>
      </w:tr>
      <w:tr>
        <w:tc>
          <w:tcPr>
            <w:tcW w:w="1997" w:type="dxa"/>
          </w:tcPr>
          <w:p>
            <w:pPr/>
            <w:r>
              <w:t xml:space="preserve">Proyecto</w:t>
            </w:r>
          </w:p>
        </w:tc>
        <w:tc>
          <w:tcPr>
            <w:tcW w:w="7363" w:type="dxa"/>
          </w:tcPr>
          <w:p>
            <w:pPr/>
            <w:r>
              <w:t xml:space="preserve">MiFarma — migración del sistema de punto de venta de botica</w:t>
            </w:r>
          </w:p>
        </w:tc>
      </w:tr>
      <w:tr>
        <w:tc>
          <w:tcPr>
            <w:tcW w:w="1997" w:type="dxa"/>
          </w:tcPr>
          <w:p>
            <w:pPr/>
            <w:r>
              <w:t xml:space="preserve">Versión</w:t>
            </w:r>
          </w:p>
        </w:tc>
        <w:tc>
          <w:tcPr>
            <w:tcW w:w="7363" w:type="dxa"/>
          </w:tcPr>
          <w:p>
            <w:pPr/>
            <w:r>
              <w:t xml:space="preserve">1.2</w:t>
            </w:r>
          </w:p>
        </w:tc>
      </w:tr>
      <w:tr>
        <w:tc>
          <w:tcPr>
            <w:tcW w:w="1997" w:type="dxa"/>
          </w:tcPr>
          <w:p>
            <w:pPr/>
            <w:r>
              <w:t xml:space="preserve">Fecha de emisión</w:t>
            </w:r>
          </w:p>
        </w:tc>
        <w:tc>
          <w:tcPr>
            <w:tcW w:w="7363" w:type="dxa"/>
          </w:tcPr>
          <w:p>
            <w:pPr/>
            <w:r>
              <w:t xml:space="preserve">08-oct-2026</w:t>
            </w:r>
          </w:p>
        </w:tc>
      </w:tr>
      <w:tr>
        <w:tc>
          <w:tcPr>
            <w:tcW w:w="1997" w:type="dxa"/>
          </w:tcPr>
          <w:p>
            <w:pPr/>
            <w:r>
              <w:t xml:space="preserve">Autor</w:t>
            </w:r>
          </w:p>
        </w:tc>
        <w:tc>
          <w:tcPr>
            <w:tcW w:w="7363" w:type="dxa"/>
          </w:tcPr>
          <w:p>
            <w:pPr/>
            <w:r>
              <w:t xml:space="preserve">Vladimir De La Cruz</w:t>
            </w:r>
          </w:p>
        </w:tc>
      </w:tr>
      <w:tr>
        <w:tc>
          <w:tcPr>
            <w:tcW w:w="1997" w:type="dxa"/>
          </w:tcPr>
          <w:p>
            <w:pPr/>
            <w:r>
              <w:t xml:space="preserve">Revisor</w:t>
            </w:r>
          </w:p>
        </w:tc>
        <w:tc>
          <w:tcPr>
            <w:tcW w:w="7363" w:type="dxa"/>
          </w:tcPr>
          <w:p>
            <w:pPr/>
            <w:r>
              <w:t xml:space="preserve">Instructor del curso (entregable académico)</w:t>
            </w:r>
          </w:p>
        </w:tc>
      </w:tr>
      <w:tr>
        <w:tc>
          <w:tcPr>
            <w:tcW w:w="1997" w:type="dxa"/>
          </w:tcPr>
          <w:p>
            <w:pPr/>
            <w:r>
              <w:t xml:space="preserve">Estado</w:t>
            </w:r>
          </w:p>
        </w:tc>
        <w:tc>
          <w:tcPr>
            <w:tcW w:w="7363" w:type="dxa"/>
          </w:tcPr>
          <w:p>
            <w:pPr/>
            <w:r>
              <w:t xml:space="preserve">Emitido para revisión</w:t>
            </w:r>
          </w:p>
        </w:tc>
      </w:tr>
      <w:tr>
        <w:tc>
          <w:tcPr>
            <w:tcW w:w="1997" w:type="dxa"/>
          </w:tcPr>
          <w:p>
            <w:pPr/>
            <w:r>
              <w:t xml:space="preserve">Clasificación</w:t>
            </w:r>
          </w:p>
        </w:tc>
        <w:tc>
          <w:tcPr>
            <w:tcW w:w="7363" w:type="dxa"/>
          </w:tcPr>
          <w:p>
            <w:pPr/>
            <w:r>
              <w:t xml:space="preserve">Uso académico y de proyecto</w:t>
            </w:r>
          </w:p>
        </w:tc>
      </w:tr>
    </w:tbl>
    <w:p>
      <w:pPr/>
      <w:r>
        <w:t xml:space="preserve">Historial de versiones</w:t>
      </w:r>
    </w:p>
    <w:tbl>
      <w:tblPr>
        <w:tblStyle w:val="TableGrid"/>
        <w:tblW w:w="0" w:type="auto"/>
        <w:tblLayout w:type="fixed"/>
        <w:tblLook w:val="04A0" w:firstRow="1" w:lastRow="0" w:firstColumn="0" w:lastColumn="0" w:noHBand="0" w:noVBand="1"/>
      </w:tblPr>
      <w:tblGrid>
        <w:gridCol w:w="850"/>
        <w:gridCol w:w="850"/>
        <w:gridCol w:w="850"/>
        <w:gridCol w:w="6810"/>
      </w:tblGrid>
      <w:tr>
        <w:trPr>
          <w:tblHeader/>
        </w:trPr>
        <w:tc>
          <w:tcPr>
            <w:tcW w:w="850" w:type="dxa"/>
            <w:shd w:val="clear" w:color="auto" w:fill="F2F2F2"/>
          </w:tcPr>
          <w:p>
            <w:pPr/>
            <w:r>
              <w:t xml:space="preserve">Versión</w:t>
            </w:r>
          </w:p>
        </w:tc>
        <w:tc>
          <w:tcPr>
            <w:tcW w:w="850" w:type="dxa"/>
            <w:shd w:val="clear" w:color="auto" w:fill="F2F2F2"/>
          </w:tcPr>
          <w:p>
            <w:pPr/>
            <w:r>
              <w:t xml:space="preserve">Fecha</w:t>
            </w:r>
          </w:p>
        </w:tc>
        <w:tc>
          <w:tcPr>
            <w:tcW w:w="850" w:type="dxa"/>
            <w:shd w:val="clear" w:color="auto" w:fill="F2F2F2"/>
          </w:tcPr>
          <w:p>
            <w:pPr/>
            <w:r>
              <w:t xml:space="preserve">Autor</w:t>
            </w:r>
          </w:p>
        </w:tc>
        <w:tc>
          <w:tcPr>
            <w:tcW w:w="6810" w:type="dxa"/>
            <w:shd w:val="clear" w:color="auto" w:fill="F2F2F2"/>
          </w:tcPr>
          <w:p>
            <w:pPr/>
            <w:r>
              <w:t xml:space="preserve">Descripción del cambio</w:t>
            </w:r>
          </w:p>
        </w:tc>
      </w:tr>
      <w:tr>
        <w:tc>
          <w:tcPr>
            <w:tcW w:w="850" w:type="dxa"/>
          </w:tcPr>
          <w:p>
            <w:pPr/>
            <w:r>
              <w:t xml:space="preserve">0.1</w:t>
            </w:r>
          </w:p>
        </w:tc>
        <w:tc>
          <w:tcPr>
            <w:tcW w:w="850" w:type="dxa"/>
          </w:tcPr>
          <w:p>
            <w:pPr/>
            <w:r>
              <w:t xml:space="preserve">07-oct-2026</w:t>
            </w:r>
          </w:p>
        </w:tc>
        <w:tc>
          <w:tcPr>
            <w:tcW w:w="850" w:type="dxa"/>
          </w:tcPr>
          <w:p>
            <w:pPr/>
            <w:r>
              <w:t xml:space="preserve">Vladimir De La Cruz</w:t>
            </w:r>
          </w:p>
        </w:tc>
        <w:tc>
          <w:tcPr>
            <w:tcW w:w="6810" w:type="dxa"/>
          </w:tcPr>
          <w:p>
            <w:pPr/>
            <w:r>
              <w:t xml:space="preserve">Borrador inicial del alcance</w:t>
            </w:r>
          </w:p>
        </w:tc>
      </w:tr>
      <w:tr>
        <w:tc>
          <w:tcPr>
            <w:tcW w:w="850" w:type="dxa"/>
          </w:tcPr>
          <w:p>
            <w:pPr/>
            <w:r>
              <w:t xml:space="preserve">1.0</w:t>
            </w:r>
          </w:p>
        </w:tc>
        <w:tc>
          <w:tcPr>
            <w:tcW w:w="850" w:type="dxa"/>
          </w:tcPr>
          <w:p>
            <w:pPr/>
            <w:r>
              <w:t xml:space="preserve">07-oct-2026</w:t>
            </w:r>
          </w:p>
        </w:tc>
        <w:tc>
          <w:tcPr>
            <w:tcW w:w="850" w:type="dxa"/>
          </w:tcPr>
          <w:p>
            <w:pPr/>
            <w:r>
              <w:t xml:space="preserve">Vladimir De La Cruz</w:t>
            </w:r>
          </w:p>
        </w:tc>
        <w:tc>
          <w:tcPr>
            <w:tcW w:w="6810" w:type="dxa"/>
          </w:tcPr>
          <w:p>
            <w:pPr/>
            <w:r>
              <w:t xml:space="preserve">Versión emitida para revisión</w:t>
            </w:r>
          </w:p>
        </w:tc>
      </w:tr>
      <w:tr>
        <w:tc>
          <w:tcPr>
            <w:tcW w:w="850" w:type="dxa"/>
          </w:tcPr>
          <w:p>
            <w:pPr/>
            <w:r>
              <w:t xml:space="preserve">1.1</w:t>
            </w:r>
          </w:p>
        </w:tc>
        <w:tc>
          <w:tcPr>
            <w:tcW w:w="850" w:type="dxa"/>
          </w:tcPr>
          <w:p>
            <w:pPr/>
            <w:r>
              <w:t xml:space="preserve">07-oct-2026</w:t>
            </w:r>
          </w:p>
        </w:tc>
        <w:tc>
          <w:tcPr>
            <w:tcW w:w="850" w:type="dxa"/>
          </w:tcPr>
          <w:p>
            <w:pPr/>
            <w:r>
              <w:t xml:space="preserve">Vladimir De La Cruz</w:t>
            </w:r>
          </w:p>
        </w:tc>
        <w:tc>
          <w:tcPr>
            <w:tcW w:w="6810" w:type="dxa"/>
          </w:tcPr>
          <w:p>
            <w:pPr/>
            <w:r>
              <w:t xml:space="preserve">Facturación electrónica por canal propio, sin OSE ni PSE. Régimen tributario y arquitectura confirmados. Módulo M17 y riesgos R13 a R16 añadidos</w:t>
            </w:r>
          </w:p>
        </w:tc>
      </w:tr>
      <w:tr>
        <w:tc>
          <w:tcPr>
            <w:tcW w:w="850" w:type="dxa"/>
          </w:tcPr>
          <w:p>
            <w:pPr/>
            <w:r>
              <w:t xml:space="preserve">1.2</w:t>
            </w:r>
          </w:p>
        </w:tc>
        <w:tc>
          <w:tcPr>
            <w:tcW w:w="850" w:type="dxa"/>
          </w:tcPr>
          <w:p>
            <w:pPr/>
            <w:r>
              <w:t xml:space="preserve">08-oct-2026</w:t>
            </w:r>
          </w:p>
        </w:tc>
        <w:tc>
          <w:tcPr>
            <w:tcW w:w="850" w:type="dxa"/>
          </w:tcPr>
          <w:p>
            <w:pPr/>
            <w:r>
              <w:t xml:space="preserve">Vladimir De La Cruz</w:t>
            </w:r>
          </w:p>
        </w:tc>
        <w:tc>
          <w:tcPr>
            <w:tcW w:w="6810" w:type="dxa"/>
          </w:tcPr>
          <w:p>
            <w:pPr/>
            <w:r>
              <w:rPr>
                <w:b/>
              </w:rPr>
              <w:t xml:space="preserve">El histórico de ventas no se migra:</w:t>
            </w:r>
            <w:r>
              <w:t xml:space="preserve"> el libro de ventas arranca en cero. Se migran catálogo y stock, marcados como datos heredados sin verificar. Módulo M18 añadido, riesgo R07 retirado, riesgos R17 a R19 añadidos. Equipo, volumen, stack, responsables y umbral de cobertura confirmados</w:t>
            </w:r>
          </w:p>
        </w:tc>
      </w:tr>
    </w:tbl>
    <w:p>
      <w:pPr>
        <w:pStyle w:val="Heading2"/>
      </w:pPr>
      <w:r>
        <w:t xml:space="preserve">1. Propósito y objetivo de calidad</w:t>
      </w:r>
    </w:p>
    <w:p>
      <w:pPr/>
      <w:r>
        <w:t xml:space="preserve">Este documento delimita qué se va a probar en MiFarma, qué queda fuera y con qué criterios se considera terminado el trabajo de pruebas. Sirve de base para el plan de pruebas, la matriz de trazabilidad y los reportes de defectos del proyecto.</w:t>
      </w:r>
    </w:p>
    <w:p>
      <w:pPr/>
      <w:r>
        <w:rPr>
          <w:b/>
        </w:rPr>
        <w:t xml:space="preserve">Objetivo de calidad:</w:t>
      </w:r>
      <w:r>
        <w:t xml:space="preserve"> verificar que un cajero pueda cobrar una venta y entregar al cliente un comprobante impreso </w:t>
      </w:r>
      <w:r>
        <w:rPr>
          <w:b/>
        </w:rPr>
        <w:t xml:space="preserve">sin conexión a internet</w:t>
      </w:r>
      <w:r>
        <w:t xml:space="preserve">; que esa venta llegue al servidor y a SUNAT </w:t>
      </w:r>
      <w:r>
        <w:rPr>
          <w:b/>
        </w:rPr>
        <w:t xml:space="preserve">íntegra, una sola vez y dentro del plazo legal</w:t>
      </w:r>
      <w:r>
        <w:t xml:space="preserve">; y que el stock y la rentabilidad que el sistema reporta sean </w:t>
      </w:r>
      <w:r>
        <w:rPr>
          <w:b/>
        </w:rPr>
        <w:t xml:space="preserve">explicables a partir de los movimientos que los produjeron</w:t>
      </w:r>
      <w:r>
        <w:t xml:space="preserve">.</w:t>
      </w:r>
    </w:p>
    <w:p>
      <w:pPr/>
      <w:r>
        <w:t xml:space="preserve">El objetivo se redacta desde el punto de vista del usuario, no desde el código. Las tres cláusulas no son decorativas: cada una nombra algo que el sistema actual </w:t>
      </w:r>
      <w:r>
        <w:rPr>
          <w:b/>
        </w:rPr>
        <w:t xml:space="preserve">no</w:t>
      </w:r>
      <w:r>
        <w:t xml:space="preserve"> hace. Hoy no se imprime ningún comprobante, no se transmite nada a SUNAT y el stock se descuadra sin que nadie pueda saber por qué.</w:t>
      </w:r>
    </w:p>
    <w:p>
      <w:pPr/>
      <w:r>
        <w:rPr>
          <w:b/>
        </w:rPr>
        <w:t xml:space="preserve">El libro de ventas arranca en cero.</w:t>
      </w:r>
      <w:r>
        <w:t xml:space="preserve"> El histórico de ventas del sistema actual </w:t>
      </w:r>
      <w:r>
        <w:rPr>
          <w:b/>
        </w:rPr>
        <w:t xml:space="preserve">no se migra</w:t>
      </w:r>
      <w:r>
        <w:t xml:space="preserve">, por decisión del negocio: esos datos no son confiables. El propio diagnóstico lo respalda — 25 ventas sin ninguna línea de detalle, un comprobante que sobra, 48 filas defectuosas, 24 de 27 reportes contando ventas anuladas y un costo histórico que ya no se puede recuperar.</w:t>
      </w:r>
    </w:p>
    <w:p>
      <w:pPr/>
      <w:r>
        <w:t xml:space="preserve">Eso cambia el segundo objetivo de calidad. No es que la historia cuadre, porque no hay historia que cuadrar: es que </w:t>
      </w:r>
      <w:r>
        <w:rPr>
          <w:b/>
        </w:rPr>
        <w:t xml:space="preserve">el catálogo y el inventario lleguen completos y rastreables</w:t>
      </w:r>
      <w:r>
        <w:t xml:space="preserve">, y que todo dato heredado se pueda distinguir de un dato verificado. Un número que viene del sistema viejo tiene que decir que viene de allí.</w:t>
      </w:r>
    </w:p>
    <w:p>
      <w:pPr>
        <w:pStyle w:val="Heading2"/>
      </w:pPr>
      <w:r>
        <w:t xml:space="preserve">2. Sistema bajo prueba</w:t>
      </w:r>
    </w:p>
    <w:p>
      <w:pPr/>
      <w:r>
        <w:t xml:space="preserve">MiFarma es el sistema que </w:t>
      </w:r>
      <w:r>
        <w:rPr>
          <w:b/>
        </w:rPr>
        <w:t xml:space="preserve">reemplaza</w:t>
      </w:r>
      <w:r>
        <w:t xml:space="preserve"> a BOT. FARMAVIDA, el punto de venta en Visual FoxPro 9 que la botica opera desde 2015. El sistema actual no se va a reparar.</w:t>
      </w:r>
    </w:p>
    <w:p>
      <w:pPr/>
      <w:r>
        <w:t xml:space="preserve">El sistema bajo prueba </w:t>
      </w:r>
      <w:r>
        <w:rPr>
          <w:b/>
        </w:rPr>
        <w:t xml:space="preserve">todavía no existe</w:t>
      </w:r>
      <w:r>
        <w:t xml:space="preserve">. Este documento define el alcance de calidad de un sistema en diseño, de modo que varios datos del entorno se declaran por confirmar en lugar de inventarse.</w:t>
      </w:r>
    </w:p>
    <w:tbl>
      <w:tblPr>
        <w:tblStyle w:val="TableGrid"/>
        <w:tblW w:w="0" w:type="auto"/>
        <w:tblLayout w:type="fixed"/>
        <w:tblLook w:val="04A0" w:firstRow="1" w:lastRow="0" w:firstColumn="0" w:lastColumn="0" w:noHBand="0" w:noVBand="1"/>
      </w:tblPr>
      <w:tblGrid>
        <w:gridCol w:w="870"/>
        <w:gridCol w:w="8490"/>
      </w:tblGrid>
      <w:tr>
        <w:trPr>
          <w:tblHeader/>
        </w:trPr>
        <w:tc>
          <w:tcPr>
            <w:tcW w:w="870" w:type="dxa"/>
            <w:shd w:val="clear" w:color="auto" w:fill="F2F2F2"/>
          </w:tcPr>
          <w:p>
            <w:pPr/>
            <w:r>
              <w:t xml:space="preserve">Aspecto</w:t>
            </w:r>
          </w:p>
        </w:tc>
        <w:tc>
          <w:tcPr>
            <w:tcW w:w="8490" w:type="dxa"/>
            <w:shd w:val="clear" w:color="auto" w:fill="F2F2F2"/>
          </w:tcPr>
          <w:p>
            <w:pPr/>
            <w:r>
              <w:t xml:space="preserve">Detalle</w:t>
            </w:r>
          </w:p>
        </w:tc>
      </w:tr>
      <w:tr>
        <w:tc>
          <w:tcPr>
            <w:tcW w:w="870" w:type="dxa"/>
          </w:tcPr>
          <w:p>
            <w:pPr/>
            <w:r>
              <w:t xml:space="preserve">Nombre del proyecto</w:t>
            </w:r>
          </w:p>
        </w:tc>
        <w:tc>
          <w:tcPr>
            <w:tcW w:w="8490" w:type="dxa"/>
          </w:tcPr>
          <w:p>
            <w:pPr/>
            <w:r>
              <w:t xml:space="preserve">MiFarma</w:t>
            </w:r>
          </w:p>
        </w:tc>
      </w:tr>
      <w:tr>
        <w:tc>
          <w:tcPr>
            <w:tcW w:w="870" w:type="dxa"/>
          </w:tcPr>
          <w:p>
            <w:pPr/>
            <w:r>
              <w:t xml:space="preserve">Estado</w:t>
            </w:r>
          </w:p>
        </w:tc>
        <w:tc>
          <w:tcPr>
            <w:tcW w:w="8490" w:type="dxa"/>
          </w:tcPr>
          <w:p>
            <w:pPr/>
            <w:r>
              <w:t xml:space="preserve">En diseño. Sin código de producción escrito</w:t>
            </w:r>
          </w:p>
        </w:tc>
      </w:tr>
      <w:tr>
        <w:tc>
          <w:tcPr>
            <w:tcW w:w="870" w:type="dxa"/>
          </w:tcPr>
          <w:p>
            <w:pPr/>
            <w:r>
              <w:t xml:space="preserve">Sistema que reemplaza</w:t>
            </w:r>
          </w:p>
        </w:tc>
        <w:tc>
          <w:tcPr>
            <w:tcW w:w="8490" w:type="dxa"/>
          </w:tcPr>
          <w:p>
            <w:pPr/>
            <w:r>
              <w:t xml:space="preserve">BOT. FARMAVIDA — Visual FoxPro 9, ejecutable compilado el 25-jun-2017, datos en 13 tablas DBF locales</w:t>
            </w:r>
          </w:p>
        </w:tc>
      </w:tr>
      <w:tr>
        <w:tc>
          <w:tcPr>
            <w:tcW w:w="870" w:type="dxa"/>
          </w:tcPr>
          <w:p>
            <w:pPr/>
            <w:r>
              <w:t xml:space="preserve">Clientes previstos</w:t>
            </w:r>
          </w:p>
        </w:tc>
        <w:tc>
          <w:tcPr>
            <w:tcW w:w="8490" w:type="dxa"/>
          </w:tcPr>
          <w:p>
            <w:pPr/>
            <w:r>
              <w:t xml:space="preserve">Escritorio (caja, opera sin internet), web (monitoreo de ventas y gestión de accesos), móvil (escaneo de código de barras e inventario)</w:t>
            </w:r>
          </w:p>
        </w:tc>
      </w:tr>
      <w:tr>
        <w:tc>
          <w:tcPr>
            <w:tcW w:w="870" w:type="dxa"/>
          </w:tcPr>
          <w:p>
            <w:pPr/>
            <w:r>
              <w:t xml:space="preserve">URL de la aplicación</w:t>
            </w:r>
          </w:p>
        </w:tc>
        <w:tc>
          <w:tcPr>
            <w:tcW w:w="8490" w:type="dxa"/>
          </w:tcPr>
          <w:p>
            <w:pPr/>
            <w:r>
              <w:t xml:space="preserve">No existe todavía</w:t>
            </w:r>
          </w:p>
        </w:tc>
      </w:tr>
      <w:tr>
        <w:tc>
          <w:tcPr>
            <w:tcW w:w="870" w:type="dxa"/>
          </w:tcPr>
          <w:p>
            <w:pPr/>
            <w:r>
              <w:t xml:space="preserve">Versión bajo prueba</w:t>
            </w:r>
          </w:p>
        </w:tc>
        <w:tc>
          <w:tcPr>
            <w:tcW w:w="8490" w:type="dxa"/>
          </w:tcPr>
          <w:p>
            <w:pPr/>
            <w:r>
              <w:t xml:space="preserve">No existe todavía</w:t>
            </w:r>
          </w:p>
        </w:tc>
      </w:tr>
      <w:tr>
        <w:tc>
          <w:tcPr>
            <w:tcW w:w="870" w:type="dxa"/>
          </w:tcPr>
          <w:p>
            <w:pPr/>
            <w:r>
              <w:t xml:space="preserve">Tecnología</w:t>
            </w:r>
          </w:p>
        </w:tc>
        <w:tc>
          <w:tcPr>
            <w:tcW w:w="8490" w:type="dxa"/>
          </w:tcPr>
          <w:p>
            <w:pPr/>
            <w:r>
              <w:rPr>
                <w:b/>
              </w:rPr>
              <w:t xml:space="preserve">Caja:</w:t>
            </w:r>
            <w:r>
              <w:t xml:space="preserve"> Tauri 2 con TypeScript y SQLite. </w:t>
            </w:r>
            <w:r>
              <w:rPr>
                <w:b/>
              </w:rPr>
              <w:t xml:space="preserve">Servidor:</w:t>
            </w:r>
            <w:r>
              <w:t xml:space="preserve"> C# con PostgreSQL como base central. </w:t>
            </w:r>
            <w:r>
              <w:rPr>
                <w:b/>
              </w:rPr>
              <w:t xml:space="preserve">Web:</w:t>
            </w:r>
            <w:r>
              <w:t xml:space="preserve"> Angular con TypeScript. </w:t>
            </w:r>
            <w:r>
              <w:rPr>
                <w:b/>
              </w:rPr>
              <w:t xml:space="preserve">Móvil:</w:t>
            </w:r>
            <w:r>
              <w:t xml:space="preserve"> Flutter. Las reglas de negocio quedan así repartidas en tres lenguajes, con la consecuencia que recoge el riesgo R17</w:t>
            </w:r>
          </w:p>
        </w:tc>
      </w:tr>
      <w:tr>
        <w:tc>
          <w:tcPr>
            <w:tcW w:w="870" w:type="dxa"/>
          </w:tcPr>
          <w:p>
            <w:pPr/>
            <w:r>
              <w:t xml:space="preserve">Repositorio del proyecto</w:t>
            </w:r>
          </w:p>
        </w:tc>
        <w:tc>
          <w:tcPr>
            <w:tcW w:w="8490" w:type="dxa"/>
          </w:tcPr>
          <w:p>
            <w:pPr/>
            <w:r>
              <w:t xml:space="preserve">No existe todavía</w:t>
            </w:r>
          </w:p>
        </w:tc>
      </w:tr>
      <w:tr>
        <w:tc>
          <w:tcPr>
            <w:tcW w:w="870" w:type="dxa"/>
          </w:tcPr>
          <w:p>
            <w:pPr/>
            <w:r>
              <w:t xml:space="preserve">Documentación de la API</w:t>
            </w:r>
          </w:p>
        </w:tc>
        <w:tc>
          <w:tcPr>
            <w:tcW w:w="8490" w:type="dxa"/>
          </w:tcPr>
          <w:p>
            <w:pPr/>
            <w:r>
              <w:t xml:space="preserve">No existe todavía</w:t>
            </w:r>
          </w:p>
        </w:tc>
      </w:tr>
      <w:tr>
        <w:tc>
          <w:tcPr>
            <w:tcW w:w="870" w:type="dxa"/>
          </w:tcPr>
          <w:p>
            <w:pPr/>
            <w:r>
              <w:t xml:space="preserve">Arquitectura</w:t>
            </w:r>
          </w:p>
        </w:tc>
        <w:tc>
          <w:tcPr>
            <w:tcW w:w="8490" w:type="dxa"/>
          </w:tcPr>
          <w:p>
            <w:pPr/>
            <w:r>
              <w:rPr>
                <w:b/>
              </w:rPr>
              <w:t xml:space="preserve">Escritorio autosuficiente.</w:t>
            </w:r>
            <w:r>
              <w:t xml:space="preserve"> Un local, con posible crecimiento: cada caja es fuente de verdad de lo que emite y el servidor consolida</w:t>
            </w:r>
          </w:p>
        </w:tc>
      </w:tr>
      <w:tr>
        <w:tc>
          <w:tcPr>
            <w:tcW w:w="870" w:type="dxa"/>
          </w:tcPr>
          <w:p>
            <w:pPr/>
            <w:r>
              <w:t xml:space="preserve">Facturación electrónica</w:t>
            </w:r>
          </w:p>
        </w:tc>
        <w:tc>
          <w:tcPr>
            <w:tcW w:w="8490" w:type="dxa"/>
          </w:tcPr>
          <w:p>
            <w:pPr/>
            <w:r>
              <w:rPr>
                <w:b/>
              </w:rPr>
              <w:t xml:space="preserve">SEE – Del Contribuyente, sin OSE ni PSE.</w:t>
            </w:r>
            <w:r>
              <w:t xml:space="preserve"> La emisión y la transmisión se delegan al </w:t>
            </w:r>
            <w:r>
              <w:rPr>
                <w:b/>
              </w:rPr>
              <w:t xml:space="preserve">SEE‑Facturador SUNAT</w:t>
            </w:r>
            <w:r>
              <w:t xml:space="preserve">, la aplicación gratuita de SUNAT, con integración por archivos</w:t>
            </w:r>
          </w:p>
        </w:tc>
      </w:tr>
      <w:tr>
        <w:tc>
          <w:tcPr>
            <w:tcW w:w="870" w:type="dxa"/>
          </w:tcPr>
          <w:p>
            <w:pPr/>
            <w:r>
              <w:t xml:space="preserve">Régimen tributario</w:t>
            </w:r>
          </w:p>
        </w:tc>
        <w:tc>
          <w:tcPr>
            <w:tcW w:w="8490" w:type="dxa"/>
          </w:tcPr>
          <w:p>
            <w:pPr/>
            <w:r>
              <w:rPr>
                <w:b/>
              </w:rPr>
              <w:t xml:space="preserve">RMT (MYPE Tributario).</w:t>
            </w:r>
            <w:r>
              <w:t xml:space="preserve"> Puede emitir factura y boleta, por lo que el requisito de ambos tipos de comprobante se mantiene</w:t>
            </w:r>
          </w:p>
        </w:tc>
      </w:tr>
      <w:tr>
        <w:tc>
          <w:tcPr>
            <w:tcW w:w="870" w:type="dxa"/>
          </w:tcPr>
          <w:p>
            <w:pPr/>
            <w:r>
              <w:t xml:space="preserve">Certificado digital</w:t>
            </w:r>
          </w:p>
        </w:tc>
        <w:tc>
          <w:tcPr>
            <w:tcW w:w="8490" w:type="dxa"/>
          </w:tcPr>
          <w:p>
            <w:pPr/>
            <w:r>
              <w:rPr>
                <w:b/>
              </w:rPr>
              <w:t xml:space="preserve">CDT gratuito de SUNAT, aún no tramitado.</w:t>
            </w:r>
            <w:r>
              <w:t xml:space="preserve"> Vigencia de 3 años; se solicita por SOL. Entre sus requisitos está no estar inscrito en el Registro OSE ni PSE, lo que es coherente con la decisión anterior</w:t>
            </w:r>
          </w:p>
        </w:tc>
      </w:tr>
      <w:tr>
        <w:tc>
          <w:tcPr>
            <w:tcW w:w="870" w:type="dxa"/>
          </w:tcPr>
          <w:p>
            <w:pPr/>
            <w:r>
              <w:t xml:space="preserve">Roles de usuario</w:t>
            </w:r>
          </w:p>
        </w:tc>
        <w:tc>
          <w:tcPr>
            <w:tcW w:w="8490" w:type="dxa"/>
          </w:tcPr>
          <w:p>
            <w:pPr/>
            <w:r>
              <w:t xml:space="preserve">Propuesta de partida: cajero, almacén y administrador</w:t>
            </w:r>
          </w:p>
        </w:tc>
      </w:tr>
      <w:tr>
        <w:tc>
          <w:tcPr>
            <w:tcW w:w="870" w:type="dxa"/>
          </w:tcPr>
          <w:p>
            <w:pPr/>
            <w:r>
              <w:t xml:space="preserve">Volumen de operación</w:t>
            </w:r>
          </w:p>
        </w:tc>
        <w:tc>
          <w:tcPr>
            <w:tcW w:w="8490" w:type="dxa"/>
          </w:tcPr>
          <w:p>
            <w:pPr/>
            <w:r>
              <w:rPr>
                <w:b/>
              </w:rPr>
              <w:t xml:space="preserve">50 boletas diarias</w:t>
            </w:r>
            <w:r>
              <w:t xml:space="preserve">, 1 o 2 cajas, declarado por el negocio</w:t>
            </w:r>
          </w:p>
        </w:tc>
      </w:tr>
      <w:tr>
        <w:tc>
          <w:tcPr>
            <w:tcW w:w="870" w:type="dxa"/>
          </w:tcPr>
          <w:p>
            <w:pPr/>
            <w:r>
              <w:t xml:space="preserve">Volumen medido</w:t>
            </w:r>
          </w:p>
        </w:tc>
        <w:tc>
          <w:tcPr>
            <w:tcW w:w="8490" w:type="dxa"/>
          </w:tcPr>
          <w:p>
            <w:pPr/>
            <w:r>
              <w:t xml:space="preserve">~25 boletas diarias en los datos de producción. Se conserva la distinción: 50 es lo declarado, 25 es lo medido</w:t>
            </w:r>
          </w:p>
        </w:tc>
      </w:tr>
      <w:tr>
        <w:tc>
          <w:tcPr>
            <w:tcW w:w="870" w:type="dxa"/>
          </w:tcPr>
          <w:p>
            <w:pPr/>
            <w:r>
              <w:rPr>
                <w:b/>
              </w:rPr>
              <w:t xml:space="preserve">Datos que se migran</w:t>
            </w:r>
          </w:p>
        </w:tc>
        <w:tc>
          <w:tcPr>
            <w:tcW w:w="8490" w:type="dxa"/>
          </w:tcPr>
          <w:p>
            <w:pPr/>
            <w:r>
              <w:rPr>
                <w:b/>
              </w:rPr>
              <w:t xml:space="preserve">Catálogo de 1,736 productos y su stock</w:t>
            </w:r>
            <w:r>
              <w:t xml:space="preserve">, con depuración de duplicados. Stock y vencimientos entran marcados como </w:t>
            </w:r>
            <w:r>
              <w:rPr>
                <w:b/>
              </w:rPr>
              <w:t xml:space="preserve">datos heredados sin verificar</w:t>
            </w:r>
          </w:p>
        </w:tc>
      </w:tr>
      <w:tr>
        <w:tc>
          <w:tcPr>
            <w:tcW w:w="870" w:type="dxa"/>
          </w:tcPr>
          <w:p>
            <w:pPr/>
            <w:r>
              <w:rPr>
                <w:b/>
              </w:rPr>
              <w:t xml:space="preserve">Datos que no se migran</w:t>
            </w:r>
          </w:p>
        </w:tc>
        <w:tc>
          <w:tcPr>
            <w:tcW w:w="8490" w:type="dxa"/>
          </w:tcPr>
          <w:p>
            <w:pPr/>
            <w:r>
              <w:rPr>
                <w:b/>
              </w:rPr>
              <w:t xml:space="preserve">Las 58,332 ventas y sus 187,155 líneas de detalle.</w:t>
            </w:r>
            <w:r>
              <w:t xml:space="preserve"> No son confiables; el libro de ventas arranca en cero</w:t>
            </w:r>
          </w:p>
        </w:tc>
      </w:tr>
    </w:tbl>
    <w:p>
      <w:pPr/>
      <w:r>
        <w:t xml:space="preserve">Las cifras de este documento se midieron sobre los datos reales, no se estimaron, con una excepción declarada: el volumen de operación de 50 boletas diarias lo aporta el negocio y no coincide con las ~25 que arrojan los datos. Se dejan las dos, porque la diferencia importa para dimensionar y nadie debería tener que adivinar cuál es cuál.</w:t>
      </w:r>
    </w:p>
    <w:p>
      <w:pPr/>
      <w:r>
        <w:rPr>
          <w:b/>
        </w:rPr>
        <w:t xml:space="preserve">Sobre el canal de emisión electrónica.</w:t>
      </w:r>
      <w:r>
        <w:t xml:space="preserve"> El negocio emite por el canal propio y gratuito de SUNAT, sin intermediarios. Para factura, boleta, notas y resumen diario ese canal es un servicio </w:t>
      </w:r>
      <w:r>
        <w:rPr>
          <w:b/>
        </w:rPr>
        <w:t xml:space="preserve">SOAP</w:t>
      </w:r>
      <w:r>
        <w:t xml:space="preserve">, no una interfaz REST; el REST oficial de SUNAT existe, pero corresponde a la guía de remisión electrónica, que está fuera del alcance de este proyecto. En lugar de construir el emisor completo, MiFarma </w:t>
      </w:r>
      <w:r>
        <w:rPr>
          <w:b/>
        </w:rPr>
        <w:t xml:space="preserve">escribe el comprobante en la carpeta de entrada del Facturador SUNAT y lee su respuesta</w:t>
      </w:r>
      <w:r>
        <w:t xml:space="preserve">: la generación del XML, la firma digital y el diálogo con SUNAT los hace esa aplicación. Esto tiene dos consecuencias que recorren todo el documento: el alcance de pruebas se concentra en </w:t>
      </w:r>
      <w:r>
        <w:rPr>
          <w:b/>
        </w:rPr>
        <w:t xml:space="preserve">el contrato de archivos</w:t>
      </w:r>
      <w:r>
        <w:t xml:space="preserve">, y aparece una </w:t>
      </w:r>
      <w:r>
        <w:rPr>
          <w:b/>
        </w:rPr>
        <w:t xml:space="preserve">segunda base de datos</w:t>
      </w:r>
      <w:r>
        <w:t xml:space="preserve"> que el proyecto no controla.</w:t>
      </w:r>
    </w:p>
    <w:p>
      <w:pPr>
        <w:pStyle w:val="Heading2"/>
      </w:pPr>
      <w:r>
        <w:t xml:space="preserve">3. Alcance de las pruebas</w:t>
      </w:r>
    </w:p>
    <w:p>
      <w:pPr/>
      <w:r>
        <w:t xml:space="preserve">Se priorizan los módulos por el daño que causaría un fallo al negocio: si la caja no imprime, el cliente se va sin comprobante y el negocio incumple; si un reporte del panel se equivoca, el dueño toma una decisión con una cifra mala, que es grave pero no detiene la venta.</w:t>
      </w:r>
    </w:p>
    <w:p>
      <w:pPr/>
      <w:r>
        <w:t xml:space="preserve">Dentro del alcance</w:t>
      </w:r>
    </w:p>
    <w:tbl>
      <w:tblPr>
        <w:tblStyle w:val="TableGrid"/>
        <w:tblW w:w="0" w:type="auto"/>
        <w:tblLayout w:type="fixed"/>
        <w:tblLook w:val="04A0" w:firstRow="1" w:lastRow="0" w:firstColumn="0" w:lastColumn="0" w:noHBand="0" w:noVBand="1"/>
      </w:tblPr>
      <w:tblGrid>
        <w:gridCol w:w="850"/>
        <w:gridCol w:w="850"/>
        <w:gridCol w:w="4376"/>
        <w:gridCol w:w="850"/>
        <w:gridCol w:w="2434"/>
      </w:tblGrid>
      <w:tr>
        <w:trPr>
          <w:tblHeader/>
        </w:trPr>
        <w:tc>
          <w:tcPr>
            <w:tcW w:w="850" w:type="dxa"/>
            <w:shd w:val="clear" w:color="auto" w:fill="F2F2F2"/>
          </w:tcPr>
          <w:p>
            <w:pPr/>
            <w:r>
              <w:t xml:space="preserve">Código</w:t>
            </w:r>
          </w:p>
        </w:tc>
        <w:tc>
          <w:tcPr>
            <w:tcW w:w="850" w:type="dxa"/>
            <w:shd w:val="clear" w:color="auto" w:fill="F2F2F2"/>
          </w:tcPr>
          <w:p>
            <w:pPr/>
            <w:r>
              <w:t xml:space="preserve">Módulo</w:t>
            </w:r>
          </w:p>
        </w:tc>
        <w:tc>
          <w:tcPr>
            <w:tcW w:w="4376" w:type="dxa"/>
            <w:shd w:val="clear" w:color="auto" w:fill="F2F2F2"/>
          </w:tcPr>
          <w:p>
            <w:pPr/>
            <w:r>
              <w:t xml:space="preserve">Qué se verifica</w:t>
            </w:r>
          </w:p>
        </w:tc>
        <w:tc>
          <w:tcPr>
            <w:tcW w:w="850" w:type="dxa"/>
            <w:shd w:val="clear" w:color="auto" w:fill="F2F2F2"/>
          </w:tcPr>
          <w:p>
            <w:pPr/>
            <w:r>
              <w:t xml:space="preserve">Prioridad</w:t>
            </w:r>
          </w:p>
        </w:tc>
        <w:tc>
          <w:tcPr>
            <w:tcW w:w="2434" w:type="dxa"/>
            <w:shd w:val="clear" w:color="auto" w:fill="F2F2F2"/>
          </w:tcPr>
          <w:p>
            <w:pPr/>
            <w:r>
              <w:t xml:space="preserve">Riesgo si falla</w:t>
            </w:r>
          </w:p>
        </w:tc>
      </w:tr>
      <w:tr>
        <w:tc>
          <w:tcPr>
            <w:tcW w:w="850" w:type="dxa"/>
          </w:tcPr>
          <w:p>
            <w:pPr/>
            <w:r>
              <w:t xml:space="preserve">M01</w:t>
            </w:r>
          </w:p>
        </w:tc>
        <w:tc>
          <w:tcPr>
            <w:tcW w:w="850" w:type="dxa"/>
          </w:tcPr>
          <w:p>
            <w:pPr/>
            <w:r>
              <w:t xml:space="preserve">Dominio compartido</w:t>
            </w:r>
          </w:p>
        </w:tc>
        <w:tc>
          <w:tcPr>
            <w:tcW w:w="4376" w:type="dxa"/>
          </w:tcPr>
          <w:p>
            <w:pPr/>
            <w:r>
              <w:t xml:space="preserve">Cálculo de totales e IGV con vigencia, validación de precios, numeración por serie, importe en letras, derivación del stock</w:t>
            </w:r>
          </w:p>
        </w:tc>
        <w:tc>
          <w:tcPr>
            <w:tcW w:w="850" w:type="dxa"/>
          </w:tcPr>
          <w:p>
            <w:pPr/>
            <w:r>
              <w:t xml:space="preserve">Alta</w:t>
            </w:r>
          </w:p>
        </w:tc>
        <w:tc>
          <w:tcPr>
            <w:tcW w:w="2434" w:type="dxa"/>
          </w:tcPr>
          <w:p>
            <w:pPr/>
            <w:r>
              <w:t xml:space="preserve">Toda cifra del sistema nace aquí; un error se propaga a los tres clientes a la vez</w:t>
            </w:r>
          </w:p>
        </w:tc>
      </w:tr>
      <w:tr>
        <w:tc>
          <w:tcPr>
            <w:tcW w:w="850" w:type="dxa"/>
          </w:tcPr>
          <w:p>
            <w:pPr/>
            <w:r>
              <w:t xml:space="preserve">M02</w:t>
            </w:r>
          </w:p>
        </w:tc>
        <w:tc>
          <w:tcPr>
            <w:tcW w:w="850" w:type="dxa"/>
          </w:tcPr>
          <w:p>
            <w:pPr/>
            <w:r>
              <w:t xml:space="preserve">Venta en caja, sin conexión</w:t>
            </w:r>
          </w:p>
        </w:tc>
        <w:tc>
          <w:tcPr>
            <w:tcW w:w="4376" w:type="dxa"/>
          </w:tcPr>
          <w:p>
            <w:pPr/>
            <w:r>
              <w:t xml:space="preserve">Búsqueda por código de barras, descripción o código interno; suma de cantidades al repetir un producto; cobro con medios múltiples y vuelto</w:t>
            </w:r>
          </w:p>
        </w:tc>
        <w:tc>
          <w:tcPr>
            <w:tcW w:w="850" w:type="dxa"/>
          </w:tcPr>
          <w:p>
            <w:pPr/>
            <w:r>
              <w:t xml:space="preserve">Alta</w:t>
            </w:r>
          </w:p>
        </w:tc>
        <w:tc>
          <w:tcPr>
            <w:tcW w:w="2434" w:type="dxa"/>
          </w:tcPr>
          <w:p>
            <w:pPr/>
            <w:r>
              <w:t xml:space="preserve">La botica no puede vender</w:t>
            </w:r>
          </w:p>
        </w:tc>
      </w:tr>
      <w:tr>
        <w:tc>
          <w:tcPr>
            <w:tcW w:w="850" w:type="dxa"/>
          </w:tcPr>
          <w:p>
            <w:pPr/>
            <w:r>
              <w:t xml:space="preserve">M03</w:t>
            </w:r>
          </w:p>
        </w:tc>
        <w:tc>
          <w:tcPr>
            <w:tcW w:w="850" w:type="dxa"/>
          </w:tcPr>
          <w:p>
            <w:pPr/>
            <w:r>
              <w:t xml:space="preserve">Emisión e impresión del comprobante</w:t>
            </w:r>
          </w:p>
        </w:tc>
        <w:tc>
          <w:tcPr>
            <w:tcW w:w="4376" w:type="dxa"/>
          </w:tcPr>
          <w:p>
            <w:pPr/>
            <w:r>
              <w:t xml:space="preserve">Serie propia del terminal, correlativo sin huecos ni duplicados, impresión del ticket en la impresora térmica</w:t>
            </w:r>
          </w:p>
        </w:tc>
        <w:tc>
          <w:tcPr>
            <w:tcW w:w="850" w:type="dxa"/>
          </w:tcPr>
          <w:p>
            <w:pPr/>
            <w:r>
              <w:t xml:space="preserve">Alta</w:t>
            </w:r>
          </w:p>
        </w:tc>
        <w:tc>
          <w:tcPr>
            <w:tcW w:w="2434" w:type="dxa"/>
          </w:tcPr>
          <w:p>
            <w:pPr/>
            <w:r>
              <w:t xml:space="preserve">El cliente no recibe comprobante. Es lo que hoy no ocurre nunca</w:t>
            </w:r>
          </w:p>
        </w:tc>
      </w:tr>
      <w:tr>
        <w:tc>
          <w:tcPr>
            <w:tcW w:w="850" w:type="dxa"/>
          </w:tcPr>
          <w:p>
            <w:pPr/>
            <w:r>
              <w:t xml:space="preserve">M04</w:t>
            </w:r>
          </w:p>
        </w:tc>
        <w:tc>
          <w:tcPr>
            <w:tcW w:w="850" w:type="dxa"/>
          </w:tcPr>
          <w:p>
            <w:pPr/>
            <w:r>
              <w:t xml:space="preserve">Atomicidad de la operación de venta</w:t>
            </w:r>
          </w:p>
        </w:tc>
        <w:tc>
          <w:tcPr>
            <w:tcW w:w="4376" w:type="dxa"/>
          </w:tcPr>
          <w:p>
            <w:pPr/>
            <w:r>
              <w:t xml:space="preserve">Comprobante, líneas, pagos, movimientos de inventario, saldos y bandeja de salida en una sola transacción: o todo o nada</w:t>
            </w:r>
          </w:p>
        </w:tc>
        <w:tc>
          <w:tcPr>
            <w:tcW w:w="850" w:type="dxa"/>
          </w:tcPr>
          <w:p>
            <w:pPr/>
            <w:r>
              <w:t xml:space="preserve">Alta</w:t>
            </w:r>
          </w:p>
        </w:tc>
        <w:tc>
          <w:tcPr>
            <w:tcW w:w="2434" w:type="dxa"/>
          </w:tcPr>
          <w:p>
            <w:pPr/>
            <w:r>
              <w:t xml:space="preserve">Ventas a medias y stock descontado parcialmente, sin error y sin rastro</w:t>
            </w:r>
          </w:p>
        </w:tc>
      </w:tr>
      <w:tr>
        <w:tc>
          <w:tcPr>
            <w:tcW w:w="850" w:type="dxa"/>
          </w:tcPr>
          <w:p>
            <w:pPr/>
            <w:r>
              <w:t xml:space="preserve">M05</w:t>
            </w:r>
          </w:p>
        </w:tc>
        <w:tc>
          <w:tcPr>
            <w:tcW w:w="850" w:type="dxa"/>
          </w:tcPr>
          <w:p>
            <w:pPr/>
            <w:r>
              <w:t xml:space="preserve">Anulación con nota de crédito</w:t>
            </w:r>
          </w:p>
        </w:tc>
        <w:tc>
          <w:tcPr>
            <w:tcW w:w="4376" w:type="dxa"/>
          </w:tcPr>
          <w:p>
            <w:pPr/>
            <w:r>
              <w:t xml:space="preserve">La anulación agrega un movimiento contrario y referencia al comprobante original; nada se edita ni se borra</w:t>
            </w:r>
          </w:p>
        </w:tc>
        <w:tc>
          <w:tcPr>
            <w:tcW w:w="850" w:type="dxa"/>
          </w:tcPr>
          <w:p>
            <w:pPr/>
            <w:r>
              <w:t xml:space="preserve">Alta</w:t>
            </w:r>
          </w:p>
        </w:tc>
        <w:tc>
          <w:tcPr>
            <w:tcW w:w="2434" w:type="dxa"/>
          </w:tcPr>
          <w:p>
            <w:pPr/>
            <w:r>
              <w:t xml:space="preserve">Se destruye el histórico de lo vendido</w:t>
            </w:r>
          </w:p>
        </w:tc>
      </w:tr>
      <w:tr>
        <w:tc>
          <w:tcPr>
            <w:tcW w:w="850" w:type="dxa"/>
          </w:tcPr>
          <w:p>
            <w:pPr/>
            <w:r>
              <w:t xml:space="preserve">M06</w:t>
            </w:r>
          </w:p>
        </w:tc>
        <w:tc>
          <w:tcPr>
            <w:tcW w:w="850" w:type="dxa"/>
          </w:tcPr>
          <w:p>
            <w:pPr/>
            <w:r>
              <w:t xml:space="preserve">Libro de movimientos y saldos derivados</w:t>
            </w:r>
          </w:p>
        </w:tc>
        <w:tc>
          <w:tcPr>
            <w:tcW w:w="4376" w:type="dxa"/>
          </w:tcPr>
          <w:p>
            <w:pPr/>
            <w:r>
              <w:t xml:space="preserve">El stock es la suma de sus movimientos; el saldo es una caché reconstruible desde cero en cualquier momento</w:t>
            </w:r>
          </w:p>
        </w:tc>
        <w:tc>
          <w:tcPr>
            <w:tcW w:w="850" w:type="dxa"/>
          </w:tcPr>
          <w:p>
            <w:pPr/>
            <w:r>
              <w:t xml:space="preserve">Alta</w:t>
            </w:r>
          </w:p>
        </w:tc>
        <w:tc>
          <w:tcPr>
            <w:tcW w:w="2434" w:type="dxa"/>
          </w:tcPr>
          <w:p>
            <w:pPr/>
            <w:r>
              <w:t xml:space="preserve">Stock inexplicable, que es el defecto de fondo del sistema actual</w:t>
            </w:r>
          </w:p>
        </w:tc>
      </w:tr>
      <w:tr>
        <w:tc>
          <w:tcPr>
            <w:tcW w:w="850" w:type="dxa"/>
          </w:tcPr>
          <w:p>
            <w:pPr/>
            <w:r>
              <w:t xml:space="preserve">M07</w:t>
            </w:r>
          </w:p>
        </w:tc>
        <w:tc>
          <w:tcPr>
            <w:tcW w:w="850" w:type="dxa"/>
          </w:tcPr>
          <w:p>
            <w:pPr/>
            <w:r>
              <w:t xml:space="preserve">Motor de sincronización</w:t>
            </w:r>
          </w:p>
        </w:tc>
        <w:tc>
          <w:tcPr>
            <w:tcW w:w="4376" w:type="dxa"/>
          </w:tcPr>
          <w:p>
            <w:pPr/>
            <w:r>
              <w:t xml:space="preserve">Bandeja de salida, ingesta idempotente por identificador, rechazo de lotes con huecos de secuencia, bajada de catálogo y precios</w:t>
            </w:r>
          </w:p>
        </w:tc>
        <w:tc>
          <w:tcPr>
            <w:tcW w:w="850" w:type="dxa"/>
          </w:tcPr>
          <w:p>
            <w:pPr/>
            <w:r>
              <w:t xml:space="preserve">Alta</w:t>
            </w:r>
          </w:p>
        </w:tc>
        <w:tc>
          <w:tcPr>
            <w:tcW w:w="2434" w:type="dxa"/>
          </w:tcPr>
          <w:p>
            <w:pPr/>
            <w:r>
              <w:t xml:space="preserve">Ventas duplicadas o perdidas, e incumplimiento del plazo tributario</w:t>
            </w:r>
          </w:p>
        </w:tc>
      </w:tr>
      <w:tr>
        <w:tc>
          <w:tcPr>
            <w:tcW w:w="850" w:type="dxa"/>
          </w:tcPr>
          <w:p>
            <w:pPr/>
            <w:r>
              <w:t xml:space="preserve">M08</w:t>
            </w:r>
          </w:p>
        </w:tc>
        <w:tc>
          <w:tcPr>
            <w:tcW w:w="850" w:type="dxa"/>
          </w:tcPr>
          <w:p>
            <w:pPr/>
            <w:r>
              <w:t xml:space="preserve">Integración con el SEE‑Facturador SUNAT</w:t>
            </w:r>
          </w:p>
        </w:tc>
        <w:tc>
          <w:tcPr>
            <w:tcW w:w="4376" w:type="dxa"/>
          </w:tcPr>
          <w:p>
            <w:pPr/>
            <w:r>
              <w:t xml:space="preserve">Escritura del comprobante en la carpeta de entrada con la estructura que SUNAT define en sus anexos, lectura de la constancia de recepción, resumen diario de boletas, comunicación de baja, notas de crédito, reintentos y estado visible por comprobante</w:t>
            </w:r>
          </w:p>
        </w:tc>
        <w:tc>
          <w:tcPr>
            <w:tcW w:w="850" w:type="dxa"/>
          </w:tcPr>
          <w:p>
            <w:pPr/>
            <w:r>
              <w:t xml:space="preserve">Alta</w:t>
            </w:r>
          </w:p>
        </w:tc>
        <w:tc>
          <w:tcPr>
            <w:tcW w:w="2434" w:type="dxa"/>
          </w:tcPr>
          <w:p>
            <w:pPr/>
            <w:r>
              <w:t xml:space="preserve">Incumplimiento tributario del negocio</w:t>
            </w:r>
          </w:p>
        </w:tc>
      </w:tr>
      <w:tr>
        <w:tc>
          <w:tcPr>
            <w:tcW w:w="850" w:type="dxa"/>
          </w:tcPr>
          <w:p>
            <w:pPr/>
            <w:r>
              <w:t xml:space="preserve">M09</w:t>
            </w:r>
          </w:p>
        </w:tc>
        <w:tc>
          <w:tcPr>
            <w:tcW w:w="850" w:type="dxa"/>
          </w:tcPr>
          <w:p>
            <w:pPr/>
            <w:r>
              <w:t xml:space="preserve">Sesión de caja y arqueo</w:t>
            </w:r>
          </w:p>
        </w:tc>
        <w:tc>
          <w:tcPr>
            <w:tcW w:w="4376" w:type="dxa"/>
          </w:tcPr>
          <w:p>
            <w:pPr/>
            <w:r>
              <w:t xml:space="preserve">Apertura, cierre y cuadre del efectivo contra lo cobrado</w:t>
            </w:r>
          </w:p>
        </w:tc>
        <w:tc>
          <w:tcPr>
            <w:tcW w:w="850" w:type="dxa"/>
          </w:tcPr>
          <w:p>
            <w:pPr/>
            <w:r>
              <w:t xml:space="preserve">Media</w:t>
            </w:r>
          </w:p>
        </w:tc>
        <w:tc>
          <w:tcPr>
            <w:tcW w:w="2434" w:type="dxa"/>
          </w:tcPr>
          <w:p>
            <w:pPr/>
            <w:r>
              <w:t xml:space="preserve">No se detecta un descuadre de caja</w:t>
            </w:r>
          </w:p>
        </w:tc>
      </w:tr>
      <w:tr>
        <w:tc>
          <w:tcPr>
            <w:tcW w:w="850" w:type="dxa"/>
          </w:tcPr>
          <w:p>
            <w:pPr/>
            <w:r>
              <w:t xml:space="preserve">M10</w:t>
            </w:r>
          </w:p>
        </w:tc>
        <w:tc>
          <w:tcPr>
            <w:tcW w:w="850" w:type="dxa"/>
          </w:tcPr>
          <w:p>
            <w:pPr/>
            <w:r>
              <w:t xml:space="preserve">Autenticación, roles y permisos</w:t>
            </w:r>
          </w:p>
        </w:tc>
        <w:tc>
          <w:tcPr>
            <w:tcW w:w="4376" w:type="dxa"/>
          </w:tcPr>
          <w:p>
            <w:pPr/>
            <w:r>
              <w:t xml:space="preserve">Contraseñas con hash y factor de coste, permisos verificados donde se ejecuta la operación, cierre de sesión real, costos y márgenes ocultos también en los reportes</w:t>
            </w:r>
          </w:p>
        </w:tc>
        <w:tc>
          <w:tcPr>
            <w:tcW w:w="850" w:type="dxa"/>
          </w:tcPr>
          <w:p>
            <w:pPr/>
            <w:r>
              <w:t xml:space="preserve">Alta</w:t>
            </w:r>
          </w:p>
        </w:tc>
        <w:tc>
          <w:tcPr>
            <w:tcW w:w="2434" w:type="dxa"/>
          </w:tcPr>
          <w:p>
            <w:pPr/>
            <w:r>
              <w:t xml:space="preserve">Cualquiera entra, y cualquiera ve los márgenes del negocio</w:t>
            </w:r>
          </w:p>
        </w:tc>
      </w:tr>
      <w:tr>
        <w:tc>
          <w:tcPr>
            <w:tcW w:w="850" w:type="dxa"/>
          </w:tcPr>
          <w:p>
            <w:pPr/>
            <w:r>
              <w:t xml:space="preserve">M11</w:t>
            </w:r>
          </w:p>
        </w:tc>
        <w:tc>
          <w:tcPr>
            <w:tcW w:w="850" w:type="dxa"/>
          </w:tcPr>
          <w:p>
            <w:pPr/>
            <w:r>
              <w:t xml:space="preserve">Panel web: reportes y rentabilidad</w:t>
            </w:r>
          </w:p>
        </w:tc>
        <w:tc>
          <w:tcPr>
            <w:tcW w:w="4376" w:type="dxa"/>
          </w:tcPr>
          <w:p>
            <w:pPr/>
            <w:r>
              <w:t xml:space="preserve">Los reportes de gestión que el sistema actual tenía y no se podían abrir; rentabilidad calculada con el costo histórico de la línea</w:t>
            </w:r>
          </w:p>
        </w:tc>
        <w:tc>
          <w:tcPr>
            <w:tcW w:w="850" w:type="dxa"/>
          </w:tcPr>
          <w:p>
            <w:pPr/>
            <w:r>
              <w:t xml:space="preserve">Media</w:t>
            </w:r>
          </w:p>
        </w:tc>
        <w:tc>
          <w:tcPr>
            <w:tcW w:w="2434" w:type="dxa"/>
          </w:tcPr>
          <w:p>
            <w:pPr/>
            <w:r>
              <w:t xml:space="preserve">Decisiones de negocio tomadas con cifras que no se pueden reproducir</w:t>
            </w:r>
          </w:p>
        </w:tc>
      </w:tr>
      <w:tr>
        <w:tc>
          <w:tcPr>
            <w:tcW w:w="850" w:type="dxa"/>
          </w:tcPr>
          <w:p>
            <w:pPr/>
            <w:r>
              <w:t xml:space="preserve">M12</w:t>
            </w:r>
          </w:p>
        </w:tc>
        <w:tc>
          <w:tcPr>
            <w:tcW w:w="850" w:type="dxa"/>
          </w:tcPr>
          <w:p>
            <w:pPr/>
            <w:r>
              <w:t xml:space="preserve">Panel web: vigilancia de sincronización</w:t>
            </w:r>
          </w:p>
        </w:tc>
        <w:tc>
          <w:tcPr>
            <w:tcW w:w="4376" w:type="dxa"/>
          </w:tcPr>
          <w:p>
            <w:pPr/>
            <w:r>
              <w:t xml:space="preserve">Días sin sincronizar por terminal, escalado de avisos y bloqueo de la emisión de facturas al tercer día</w:t>
            </w:r>
          </w:p>
        </w:tc>
        <w:tc>
          <w:tcPr>
            <w:tcW w:w="850" w:type="dxa"/>
          </w:tcPr>
          <w:p>
            <w:pPr/>
            <w:r>
              <w:t xml:space="preserve">Alta</w:t>
            </w:r>
          </w:p>
        </w:tc>
        <w:tc>
          <w:tcPr>
            <w:tcW w:w="2434" w:type="dxa"/>
          </w:tcPr>
          <w:p>
            <w:pPr/>
            <w:r>
              <w:t xml:space="preserve">Una caja acumula días sin subir y el negocio incumple sin que nadie lo note</w:t>
            </w:r>
          </w:p>
        </w:tc>
      </w:tr>
      <w:tr>
        <w:tc>
          <w:tcPr>
            <w:tcW w:w="850" w:type="dxa"/>
          </w:tcPr>
          <w:p>
            <w:pPr/>
            <w:r>
              <w:t xml:space="preserve">M13</w:t>
            </w:r>
          </w:p>
        </w:tc>
        <w:tc>
          <w:tcPr>
            <w:tcW w:w="850" w:type="dxa"/>
          </w:tcPr>
          <w:p>
            <w:pPr/>
            <w:r>
              <w:t xml:space="preserve">Móvil: escaneo e inventario</w:t>
            </w:r>
          </w:p>
        </w:tc>
        <w:tc>
          <w:tcPr>
            <w:tcW w:w="4376" w:type="dxa"/>
          </w:tcPr>
          <w:p>
            <w:pPr/>
            <w:r>
              <w:t xml:space="preserve">Consulta de producto por código de barras, captura del código en productos que no lo tienen, conteo físico con registro de diferencias, movimientos con motivo</w:t>
            </w:r>
          </w:p>
        </w:tc>
        <w:tc>
          <w:tcPr>
            <w:tcW w:w="850" w:type="dxa"/>
          </w:tcPr>
          <w:p>
            <w:pPr/>
            <w:r>
              <w:t xml:space="preserve">Media</w:t>
            </w:r>
          </w:p>
        </w:tc>
        <w:tc>
          <w:tcPr>
            <w:tcW w:w="2434" w:type="dxa"/>
          </w:tcPr>
          <w:p>
            <w:pPr/>
            <w:r>
              <w:t xml:space="preserve">El inventario sigue sin significar nada</w:t>
            </w:r>
          </w:p>
        </w:tc>
      </w:tr>
      <w:tr>
        <w:tc>
          <w:tcPr>
            <w:tcW w:w="850" w:type="dxa"/>
          </w:tcPr>
          <w:p>
            <w:pPr/>
            <w:r>
              <w:t xml:space="preserve">M14</w:t>
            </w:r>
          </w:p>
        </w:tc>
        <w:tc>
          <w:tcPr>
            <w:tcW w:w="850" w:type="dxa"/>
          </w:tcPr>
          <w:p>
            <w:pPr/>
            <w:r>
              <w:t xml:space="preserve">Migración del catálogo y del stock</w:t>
            </w:r>
          </w:p>
        </w:tc>
        <w:tc>
          <w:tcPr>
            <w:tcW w:w="4376" w:type="dxa"/>
          </w:tcPr>
          <w:p>
            <w:pPr/>
            <w:r>
              <w:t xml:space="preserve">Que lleguen los 1,736 productos con su código interno intacto; que el stock entre como movimiento de inventario inicial </w:t>
            </w:r>
            <w:r>
              <w:rPr>
                <w:b/>
              </w:rPr>
              <w:t xml:space="preserve">marcado como heredado sin verificar</w:t>
            </w:r>
            <w:r>
              <w:t xml:space="preserve">; que los vencimientos entren marcados como no confiables; y que el importador se pueda </w:t>
            </w:r>
            <w:r>
              <w:rPr>
                <w:b/>
              </w:rPr>
              <w:t xml:space="preserve">reejecutar desde cero</w:t>
            </w:r>
            <w:r>
              <w:t xml:space="preserve"> sin dejar restos. Las ventas no entran</w:t>
            </w:r>
          </w:p>
        </w:tc>
        <w:tc>
          <w:tcPr>
            <w:tcW w:w="850" w:type="dxa"/>
          </w:tcPr>
          <w:p>
            <w:pPr/>
            <w:r>
              <w:t xml:space="preserve">Alta</w:t>
            </w:r>
          </w:p>
        </w:tc>
        <w:tc>
          <w:tcPr>
            <w:tcW w:w="2434" w:type="dxa"/>
          </w:tcPr>
          <w:p>
            <w:pPr/>
            <w:r>
              <w:t xml:space="preserve">El catálogo nace incompleto o con existencias que nadie puede explicar ni distinguir de las verificadas</w:t>
            </w:r>
          </w:p>
        </w:tc>
      </w:tr>
      <w:tr>
        <w:tc>
          <w:tcPr>
            <w:tcW w:w="850" w:type="dxa"/>
          </w:tcPr>
          <w:p>
            <w:pPr/>
            <w:r>
              <w:t xml:space="preserve">M15</w:t>
            </w:r>
          </w:p>
        </w:tc>
        <w:tc>
          <w:tcPr>
            <w:tcW w:w="850" w:type="dxa"/>
          </w:tcPr>
          <w:p>
            <w:pPr/>
            <w:r>
              <w:t xml:space="preserve">Respaldo y restauración</w:t>
            </w:r>
          </w:p>
        </w:tc>
        <w:tc>
          <w:tcPr>
            <w:tcW w:w="4376" w:type="dxa"/>
          </w:tcPr>
          <w:p>
            <w:pPr/>
            <w:r>
              <w:t xml:space="preserve">Respaldo automático verificado, copia fuera del local y una restauración efectivamente ejecutada. Incluye las carpetas del Facturador donde viven el XML firmado y la constancia de recepción, que son los únicos originales del comprobante y que esa aplicación no respalda</w:t>
            </w:r>
          </w:p>
        </w:tc>
        <w:tc>
          <w:tcPr>
            <w:tcW w:w="850" w:type="dxa"/>
          </w:tcPr>
          <w:p>
            <w:pPr/>
            <w:r>
              <w:t xml:space="preserve">Alta</w:t>
            </w:r>
          </w:p>
        </w:tc>
        <w:tc>
          <w:tcPr>
            <w:tcW w:w="2434" w:type="dxa"/>
          </w:tcPr>
          <w:p>
            <w:pPr/>
            <w:r>
              <w:t xml:space="preserve">Pérdida total e irreversible de los datos. Es el riesgo más alto que arrastra el negocio</w:t>
            </w:r>
          </w:p>
        </w:tc>
      </w:tr>
      <w:tr>
        <w:tc>
          <w:tcPr>
            <w:tcW w:w="850" w:type="dxa"/>
          </w:tcPr>
          <w:p>
            <w:pPr/>
            <w:r>
              <w:t xml:space="preserve">M16</w:t>
            </w:r>
          </w:p>
        </w:tc>
        <w:tc>
          <w:tcPr>
            <w:tcW w:w="850" w:type="dxa"/>
          </w:tcPr>
          <w:p>
            <w:pPr/>
            <w:r>
              <w:t xml:space="preserve">Catálogo, precios y auditoría</w:t>
            </w:r>
          </w:p>
        </w:tc>
        <w:tc>
          <w:tcPr>
            <w:tcW w:w="4376" w:type="dxa"/>
          </w:tcPr>
          <w:p>
            <w:pPr/>
            <w:r>
              <w:t xml:space="preserve">Precio como dato con vigencia, códigos de barras acumulables, bitácora de auditoría consultable</w:t>
            </w:r>
          </w:p>
        </w:tc>
        <w:tc>
          <w:tcPr>
            <w:tcW w:w="850" w:type="dxa"/>
          </w:tcPr>
          <w:p>
            <w:pPr/>
            <w:r>
              <w:t xml:space="preserve">Media</w:t>
            </w:r>
          </w:p>
        </w:tc>
        <w:tc>
          <w:tcPr>
            <w:tcW w:w="2434" w:type="dxa"/>
          </w:tcPr>
          <w:p>
            <w:pPr/>
            <w:r>
              <w:t xml:space="preserve">Cambiar un precio reescribe el pasado, y nadie sabe quién cambió qué</w:t>
            </w:r>
          </w:p>
        </w:tc>
      </w:tr>
      <w:tr>
        <w:tc>
          <w:tcPr>
            <w:tcW w:w="850" w:type="dxa"/>
          </w:tcPr>
          <w:p>
            <w:pPr/>
            <w:r>
              <w:t xml:space="preserve">M17</w:t>
            </w:r>
          </w:p>
        </w:tc>
        <w:tc>
          <w:tcPr>
            <w:tcW w:w="850" w:type="dxa"/>
          </w:tcPr>
          <w:p>
            <w:pPr/>
            <w:r>
              <w:t xml:space="preserve">Reconciliación con la base del Facturador</w:t>
            </w:r>
          </w:p>
        </w:tc>
        <w:tc>
          <w:tcPr>
            <w:tcW w:w="4376" w:type="dxa"/>
          </w:tcPr>
          <w:p>
            <w:pPr/>
            <w:r>
              <w:t xml:space="preserve">Que todo comprobante emitido por la caja exista en la base del Facturador, con la misma serie, el mismo número y el mismo estado; y que no exista allí ninguno que la caja no conozca</w:t>
            </w:r>
          </w:p>
        </w:tc>
        <w:tc>
          <w:tcPr>
            <w:tcW w:w="850" w:type="dxa"/>
          </w:tcPr>
          <w:p>
            <w:pPr/>
            <w:r>
              <w:t xml:space="preserve">Alta</w:t>
            </w:r>
          </w:p>
        </w:tc>
        <w:tc>
          <w:tcPr>
            <w:tcW w:w="2434" w:type="dxa"/>
          </w:tcPr>
          <w:p>
            <w:pPr/>
            <w:r>
              <w:t xml:space="preserve">Dos fuentes de verdad que divergen en silencio: la caja cree haber declarado algo que SUNAT nunca recibió, o al revés</w:t>
            </w:r>
          </w:p>
        </w:tc>
      </w:tr>
      <w:tr>
        <w:tc>
          <w:tcPr>
            <w:tcW w:w="850" w:type="dxa"/>
          </w:tcPr>
          <w:p>
            <w:pPr/>
            <w:r>
              <w:t xml:space="preserve">M18</w:t>
            </w:r>
          </w:p>
        </w:tc>
        <w:tc>
          <w:tcPr>
            <w:tcW w:w="850" w:type="dxa"/>
          </w:tcPr>
          <w:p>
            <w:pPr/>
            <w:r>
              <w:t xml:space="preserve">Depuración de duplicados del catálogo</w:t>
            </w:r>
          </w:p>
        </w:tc>
        <w:tc>
          <w:tcPr>
            <w:tcW w:w="4376" w:type="dxa"/>
          </w:tcPr>
          <w:p>
            <w:pPr/>
            <w:r>
              <w:t xml:space="preserve">Que la fusión de dos fichas </w:t>
            </w:r>
            <w:r>
              <w:rPr>
                <w:b/>
              </w:rPr>
              <w:t xml:space="preserve">sume el stock sin perderlo ni contarlo dos veces</w:t>
            </w:r>
            <w:r>
              <w:t xml:space="preserve">, conserve los dos códigos internos como referencia y quede auditada. Y sobre todo: que </w:t>
            </w:r>
            <w:r>
              <w:rPr>
                <w:b/>
              </w:rPr>
              <w:t xml:space="preserve">no fusione productos que solo difieren en dosis, concentración o tamaño</w:t>
            </w:r>
          </w:p>
        </w:tc>
        <w:tc>
          <w:tcPr>
            <w:tcW w:w="850" w:type="dxa"/>
          </w:tcPr>
          <w:p>
            <w:pPr/>
            <w:r>
              <w:t xml:space="preserve">Alta</w:t>
            </w:r>
          </w:p>
        </w:tc>
        <w:tc>
          <w:tcPr>
            <w:tcW w:w="2434" w:type="dxa"/>
          </w:tcPr>
          <w:p>
            <w:pPr/>
            <w:r>
              <w:t xml:space="preserve">Fusionar Amoxicilina 500 mg con la de 250 mg. En una botica eso no es desorden de catálogo, es un riesgo sanitario</w:t>
            </w:r>
          </w:p>
        </w:tc>
      </w:tr>
      <w:tr>
        <w:tc>
          <w:tcPr>
            <w:tcW w:w="850" w:type="dxa"/>
          </w:tcPr>
          <w:p>
            <w:pPr/>
            <w:r>
              <w:t xml:space="preserve">M19</w:t>
            </w:r>
          </w:p>
        </w:tc>
        <w:tc>
          <w:tcPr>
            <w:tcW w:w="850" w:type="dxa"/>
          </w:tcPr>
          <w:p>
            <w:pPr/>
            <w:r>
              <w:t xml:space="preserve">Trazabilidad del dato heredado</w:t>
            </w:r>
          </w:p>
        </w:tc>
        <w:tc>
          <w:tcPr>
            <w:tcW w:w="4376" w:type="dxa"/>
          </w:tcPr>
          <w:p>
            <w:pPr/>
            <w:r>
              <w:t xml:space="preserve">Que un saldo o un vencimiento que viene del sistema viejo se </w:t>
            </w:r>
            <w:r>
              <w:rPr>
                <w:b/>
              </w:rPr>
              <w:t xml:space="preserve">distinga a la vista</w:t>
            </w:r>
            <w:r>
              <w:t xml:space="preserve"> de uno verificado, en la caja, en el panel, en los reportes y en las alertas</w:t>
            </w:r>
          </w:p>
        </w:tc>
        <w:tc>
          <w:tcPr>
            <w:tcW w:w="850" w:type="dxa"/>
          </w:tcPr>
          <w:p>
            <w:pPr/>
            <w:r>
              <w:t xml:space="preserve">Alta</w:t>
            </w:r>
          </w:p>
        </w:tc>
        <w:tc>
          <w:tcPr>
            <w:tcW w:w="2434" w:type="dxa"/>
          </w:tcPr>
          <w:p>
            <w:pPr/>
            <w:r>
              <w:t xml:space="preserve">El dato heredado se confunde con el verificado y el inventario vuelve a ser inexplicable, que es justo lo que se venía a corregir</w:t>
            </w:r>
          </w:p>
        </w:tc>
      </w:tr>
    </w:tbl>
    <w:p>
      <w:pPr/>
      <w:r>
        <w:rPr>
          <w:b/>
        </w:rPr>
        <w:t xml:space="preserve">Sobre M18, con los duplicados ya medidos.</w:t>
      </w:r>
      <w:r>
        <w:t xml:space="preserve"> El catálogo se analizó para esta versión y el resultado invierte la expectativa: de 1,736 productos hay </w:t>
      </w:r>
      <w:r>
        <w:rPr>
          <w:b/>
        </w:rPr>
        <w:t xml:space="preserve">3 grupos con la descripción repetida, 6 fichas, el 0.3 % del catálogo</w:t>
      </w:r>
      <w:r>
        <w:t xml:space="preserve">, y los tres difieren en marca y precio, de modo que puede que ni siquiera sean duplicados. Buscando parecidos aproximados aparecen 48 pares con más del 90 % de similitud, pero al mirarlos </w:t>
      </w:r>
      <w:r>
        <w:rPr>
          <w:b/>
        </w:rPr>
        <w:t xml:space="preserve">casi todos son productos distintos que se diferencian en la dosis o el tamaño</w:t>
      </w:r>
      <w:r>
        <w:t xml:space="preserve">: Amoxicilina 500 mg frente a 250 mg, Crema Nivea de 30 ml frente a 60 ml, Algodón de 10 g frente a 100 g.</w:t>
      </w:r>
    </w:p>
    <w:p>
      <w:pPr/>
      <w:r>
        <w:t xml:space="preserve">Eso reorienta el módulo. El trabajo no es depurar un catálogo lleno de duplicados, porque no lo está: es </w:t>
      </w:r>
      <w:r>
        <w:rPr>
          <w:b/>
        </w:rPr>
        <w:t xml:space="preserve">demostrar que la depuración no destruye el catálogo</w:t>
      </w:r>
      <w:r>
        <w:t xml:space="preserve">. El criterio de fusión no puede apoyarse en la similitud de la descripción, y tampoco en la marca, que está inservible — hay productos con marca CARAMELO, JABONES o TOALLAS HIGIENICAS. Los 3 grupos se revisan a mano, con el negocio, y lo demás se prueba por el lado negativo: que nada que difiera en dosis, concentración o tamaño se fusione nunca de forma automática.</w:t>
      </w:r>
    </w:p>
    <w:p>
      <w:pPr/>
      <w:r>
        <w:t xml:space="preserve">Fuera del alcance</w:t>
      </w:r>
    </w:p>
    <w:p>
      <w:pPr>
        <w:pStyle w:val="ListParagraph"/>
        <w:numPr>
          <w:ilvl w:val="0"/>
          <w:numId w:val="1"/>
        </w:numPr>
      </w:pPr>
      <w:r>
        <w:rPr>
          <w:b/>
        </w:rPr>
        <w:t xml:space="preserve">La migración del histórico de ventas.</w:t>
      </w:r>
      <w:r>
        <w:t xml:space="preserve"> Decisión del negocio: las 58,332 ventas y sus 187,155 líneas </w:t>
      </w:r>
      <w:r>
        <w:rPr>
          <w:b/>
        </w:rPr>
        <w:t xml:space="preserve">no se migran</w:t>
      </w:r>
      <w:r>
        <w:t xml:space="preserve"> porque no son confiables, y el libro de ventas del sistema nuevo arranca en cero. Por tanto no se prueba ninguna equivalencia de totales, ni de ganancias, ni de distribución por año. El sistema viejo se conserva en solo lectura como referencia de consulta.</w:t>
      </w:r>
    </w:p>
    <w:p>
      <w:pPr>
        <w:pStyle w:val="ListParagraph"/>
        <w:numPr>
          <w:ilvl w:val="0"/>
          <w:numId w:val="1"/>
        </w:numPr>
      </w:pPr>
      <w:r>
        <w:t xml:space="preserve">Pruebas de carga y de estrés. El volumen declarado es de 50 ventas diarias en una o dos cajas; la dificultad de este proyecto es la fiabilidad y el cumplimiento, no la escala. Y sí se </w:t>
      </w:r>
      <w:r>
        <w:rPr>
          <w:b/>
        </w:rPr>
        <w:t xml:space="preserve">mide el consumo de recursos</w:t>
      </w:r>
      <w:r>
        <w:t xml:space="preserve"> del Facturador conviviendo con la caja, que es otra cosa: no es cuánto volumen aguanta, es si dos procesos caben en un mismo equipo.</w:t>
      </w:r>
    </w:p>
    <w:p>
      <w:pPr>
        <w:pStyle w:val="ListParagraph"/>
        <w:numPr>
          <w:ilvl w:val="0"/>
          <w:numId w:val="1"/>
        </w:numPr>
      </w:pPr>
      <w:r>
        <w:t xml:space="preserve">Pruebas de penetración y seguridad ofensiva. Los requisitos de seguridad se verifican por comportamiento observable, no por intrusión.</w:t>
      </w:r>
    </w:p>
    <w:p>
      <w:pPr>
        <w:pStyle w:val="ListParagraph"/>
        <w:numPr>
          <w:ilvl w:val="0"/>
          <w:numId w:val="1"/>
        </w:numPr>
      </w:pPr>
      <w:r>
        <w:t xml:space="preserve">Conformidad del XML, firma digital y diálogo con SUNAT. </w:t>
      </w:r>
      <w:r>
        <w:rPr>
          <w:b/>
        </w:rPr>
        <w:t xml:space="preserve">Los hace el Facturador SUNAT, no MiFarma.</w:t>
      </w:r>
      <w:r>
        <w:t xml:space="preserve"> No construimos el XML ni la firma, así que no los probamos por dentro: se prueba </w:t>
      </w:r>
      <w:r>
        <w:rPr>
          <w:b/>
        </w:rPr>
        <w:t xml:space="preserve">lo que le entregamos y lo que nos devuelve</w:t>
      </w:r>
      <w:r>
        <w:t xml:space="preserve">, más los plazos y el estado.</w:t>
      </w:r>
    </w:p>
    <w:p>
      <w:pPr>
        <w:pStyle w:val="ListParagraph"/>
        <w:numPr>
          <w:ilvl w:val="0"/>
          <w:numId w:val="1"/>
        </w:numPr>
      </w:pPr>
      <w:r>
        <w:t xml:space="preserve">El funcionamiento interno del Facturador SUNAT. Es software de SUNAT: se prueba </w:t>
      </w:r>
      <w:r>
        <w:rPr>
          <w:b/>
        </w:rPr>
        <w:t xml:space="preserve">como caja negra</w:t>
      </w:r>
      <w:r>
        <w:t xml:space="preserve">, por su contrato de archivos. Si falla por dentro, es un incidente que se reporta a SUNAT, no un defecto de MiFarma.</w:t>
      </w:r>
    </w:p>
    <w:p>
      <w:pPr>
        <w:pStyle w:val="ListParagraph"/>
        <w:numPr>
          <w:ilvl w:val="0"/>
          <w:numId w:val="1"/>
        </w:numPr>
      </w:pPr>
      <w:r>
        <w:t xml:space="preserve">Gestión de crédito y cobranzas, y precio por mayor. Están fuera del alcance del producto, por tanto fuera del de pruebas.</w:t>
      </w:r>
    </w:p>
    <w:p>
      <w:pPr>
        <w:pStyle w:val="ListParagraph"/>
        <w:numPr>
          <w:ilvl w:val="0"/>
          <w:numId w:val="1"/>
        </w:numPr>
      </w:pPr>
      <w:r>
        <w:t xml:space="preserve">Consolidación entre varias sucursales. </w:t>
      </w:r>
      <w:r>
        <w:rPr>
          <w:b/>
        </w:rPr>
        <w:t xml:space="preserve">Confirmado: un local, con posible crecimiento.</w:t>
      </w:r>
      <w:r>
        <w:t xml:space="preserve"> La arquitectura de escritorio autosuficiente sirve en los dos escenarios, así que el crecimiento no obliga a rediseñar; lo que no se diseña ni se prueba ahora es la consolidación entre locales.</w:t>
      </w:r>
    </w:p>
    <w:p>
      <w:pPr>
        <w:pStyle w:val="ListParagraph"/>
        <w:numPr>
          <w:ilvl w:val="0"/>
          <w:numId w:val="1"/>
        </w:numPr>
      </w:pPr>
      <w:r>
        <w:t xml:space="preserve">Compatibilidad en múltiples navegadores y dispositivos. El panel web se prueba en un navegador de escritorio y el móvil en un dispositivo de la empresa.</w:t>
      </w:r>
    </w:p>
    <w:p>
      <w:pPr>
        <w:pStyle w:val="ListParagraph"/>
        <w:numPr>
          <w:ilvl w:val="0"/>
          <w:numId w:val="1"/>
        </w:numPr>
      </w:pPr>
      <w:r>
        <w:t xml:space="preserve">Revisión profunda de accesibilidad.</w:t>
      </w:r>
    </w:p>
    <w:p>
      <w:pPr>
        <w:pStyle w:val="ListParagraph"/>
        <w:numPr>
          <w:ilvl w:val="0"/>
          <w:numId w:val="1"/>
        </w:numPr>
      </w:pPr>
      <w:r>
        <w:t xml:space="preserve">Pruebas sobre el sistema actual. Sus defectos ya están documentados y no se van a corregir: el sistema se reemplaza. Lo que sí se usa de ellos es la suite de regresión del sistema nuevo.</w:t>
      </w:r>
    </w:p>
    <w:p>
      <w:pPr>
        <w:pStyle w:val="ListParagraph"/>
        <w:numPr>
          <w:ilvl w:val="0"/>
          <w:numId w:val="1"/>
        </w:numPr>
      </w:pPr>
      <w:r>
        <w:t xml:space="preserve">Automatización de pruebas de interfaz durante el Módulo 1 del curso: ahí todo es manual. El dominio y el motor de sincronización son la excepción, y llevan pruebas automatizadas desde el primer día por decisión de arquitectura, no por el calendario del curso.</w:t>
      </w:r>
    </w:p>
    <w:p>
      <w:pPr/>
      <w:r>
        <w:t xml:space="preserve">Declarar lo que queda fuera es tan importante como lo que entra: evita que alguien lea "no se encontró ningún defecto" como "se probó todo".</w:t>
      </w:r>
    </w:p>
    <w:p>
      <w:pPr>
        <w:pStyle w:val="Heading2"/>
      </w:pPr>
      <w:r>
        <w:t xml:space="preserve">4. Tipos y niveles de prueba aplicables</w:t>
      </w:r>
    </w:p>
    <w:p>
      <w:pPr/>
      <w:r>
        <w:t xml:space="preserve">A diferencia del documento modelo, aquí </w:t>
      </w:r>
      <w:r>
        <w:rPr>
          <w:b/>
        </w:rPr>
        <w:t xml:space="preserve">el nivel unitario sí aplica</w:t>
      </w:r>
      <w:r>
        <w:t xml:space="preserve">: el código es propio. Y se añaden cinco tipos que este proyecto necesita y una tienda en línea no: integración por archivos, compatibilidad de hardware, consumo de recursos, tolerancia a fallos y migración.</w:t>
      </w:r>
    </w:p>
    <w:tbl>
      <w:tblPr>
        <w:tblStyle w:val="TableGrid"/>
        <w:tblW w:w="0" w:type="auto"/>
        <w:tblLayout w:type="fixed"/>
        <w:tblLook w:val="04A0" w:firstRow="1" w:lastRow="0" w:firstColumn="0" w:lastColumn="0" w:noHBand="0" w:noVBand="1"/>
      </w:tblPr>
      <w:tblGrid>
        <w:gridCol w:w="953"/>
        <w:gridCol w:w="850"/>
        <w:gridCol w:w="850"/>
        <w:gridCol w:w="6707"/>
      </w:tblGrid>
      <w:tr>
        <w:trPr>
          <w:tblHeader/>
        </w:trPr>
        <w:tc>
          <w:tcPr>
            <w:tcW w:w="953" w:type="dxa"/>
            <w:shd w:val="clear" w:color="auto" w:fill="F2F2F2"/>
          </w:tcPr>
          <w:p>
            <w:pPr/>
            <w:r>
              <w:t xml:space="preserve">Tipo de prueba</w:t>
            </w:r>
          </w:p>
        </w:tc>
        <w:tc>
          <w:tcPr>
            <w:tcW w:w="850" w:type="dxa"/>
            <w:shd w:val="clear" w:color="auto" w:fill="F2F2F2"/>
          </w:tcPr>
          <w:p>
            <w:pPr/>
            <w:r>
              <w:t xml:space="preserve">Nivel</w:t>
            </w:r>
          </w:p>
        </w:tc>
        <w:tc>
          <w:tcPr>
            <w:tcW w:w="850" w:type="dxa"/>
            <w:shd w:val="clear" w:color="auto" w:fill="F2F2F2"/>
          </w:tcPr>
          <w:p>
            <w:pPr/>
            <w:r>
              <w:t xml:space="preserve">Módulos</w:t>
            </w:r>
          </w:p>
        </w:tc>
        <w:tc>
          <w:tcPr>
            <w:tcW w:w="6707" w:type="dxa"/>
            <w:shd w:val="clear" w:color="auto" w:fill="F2F2F2"/>
          </w:tcPr>
          <w:p>
            <w:pPr/>
            <w:r>
              <w:t xml:space="preserve">Cómo se aplica</w:t>
            </w:r>
          </w:p>
        </w:tc>
      </w:tr>
      <w:tr>
        <w:tc>
          <w:tcPr>
            <w:tcW w:w="953" w:type="dxa"/>
          </w:tcPr>
          <w:p>
            <w:pPr/>
            <w:r>
              <w:t xml:space="preserve">Funcional</w:t>
            </w:r>
          </w:p>
        </w:tc>
        <w:tc>
          <w:tcPr>
            <w:tcW w:w="850" w:type="dxa"/>
          </w:tcPr>
          <w:p>
            <w:pPr/>
            <w:r>
              <w:t xml:space="preserve">Unitario</w:t>
            </w:r>
          </w:p>
        </w:tc>
        <w:tc>
          <w:tcPr>
            <w:tcW w:w="850" w:type="dxa"/>
          </w:tcPr>
          <w:p>
            <w:pPr/>
            <w:r>
              <w:t xml:space="preserve">M01, M06, M07</w:t>
            </w:r>
          </w:p>
        </w:tc>
        <w:tc>
          <w:tcPr>
            <w:tcW w:w="6707" w:type="dxa"/>
          </w:tcPr>
          <w:p>
            <w:pPr/>
            <w:r>
              <w:t xml:space="preserve">Pruebas del dominio y del protocolo de sincronización, sin interfaz ni base de datos. Son lo único con cobertura alta exigida desde el primer día. </w:t>
            </w:r>
            <w:r>
              <w:rPr>
                <w:b/>
              </w:rPr>
              <w:t xml:space="preserve">Hay que escribirlas en los tres lenguajes del stack</w:t>
            </w:r>
            <w:r>
              <w:t xml:space="preserve">, porque las reglas viven en los tres</w:t>
            </w:r>
          </w:p>
        </w:tc>
      </w:tr>
      <w:tr>
        <w:tc>
          <w:tcPr>
            <w:tcW w:w="953" w:type="dxa"/>
          </w:tcPr>
          <w:p>
            <w:pPr/>
            <w:r>
              <w:t xml:space="preserve">Funcional</w:t>
            </w:r>
          </w:p>
        </w:tc>
        <w:tc>
          <w:tcPr>
            <w:tcW w:w="850" w:type="dxa"/>
          </w:tcPr>
          <w:p>
            <w:pPr/>
            <w:r>
              <w:t xml:space="preserve">Integración</w:t>
            </w:r>
          </w:p>
        </w:tc>
        <w:tc>
          <w:tcPr>
            <w:tcW w:w="850" w:type="dxa"/>
          </w:tcPr>
          <w:p>
            <w:pPr/>
            <w:r>
              <w:t xml:space="preserve">M04, M07, M14, M18</w:t>
            </w:r>
          </w:p>
        </w:tc>
        <w:tc>
          <w:tcPr>
            <w:tcW w:w="6707" w:type="dxa"/>
          </w:tcPr>
          <w:p>
            <w:pPr/>
            <w:r>
              <w:t xml:space="preserve">Transacción local completa, ingesta idempotente contra el servidor, e importador de catálogo y stock contra una copia de los DBF, incluida la fusión de fichas duplicadas y la comprobación de que el stock resultante es la suma exacta</w:t>
            </w:r>
          </w:p>
        </w:tc>
      </w:tr>
      <w:tr>
        <w:tc>
          <w:tcPr>
            <w:tcW w:w="953" w:type="dxa"/>
          </w:tcPr>
          <w:p>
            <w:pPr/>
            <w:r>
              <w:t xml:space="preserve">Integración por archivos</w:t>
            </w:r>
          </w:p>
        </w:tc>
        <w:tc>
          <w:tcPr>
            <w:tcW w:w="850" w:type="dxa"/>
          </w:tcPr>
          <w:p>
            <w:pPr/>
            <w:r>
              <w:t xml:space="preserve">Integración</w:t>
            </w:r>
          </w:p>
        </w:tc>
        <w:tc>
          <w:tcPr>
            <w:tcW w:w="850" w:type="dxa"/>
          </w:tcPr>
          <w:p>
            <w:pPr/>
            <w:r>
              <w:t xml:space="preserve">M08, M17</w:t>
            </w:r>
          </w:p>
        </w:tc>
        <w:tc>
          <w:tcPr>
            <w:tcW w:w="6707" w:type="dxa"/>
          </w:tcPr>
          <w:p>
            <w:pPr/>
            <w:r>
              <w:t xml:space="preserve">El contrato con el Facturador SUNAT: se escribe el comprobante en su carpeta de entrada y se lee su respuesta. Tiene casos límite propios: archivo con estructura inválida, archivo leído mientras se está escribiendo, Facturador detenido, respuesta que no llega, y respuesta de rechazo con su código de error</w:t>
            </w:r>
          </w:p>
        </w:tc>
      </w:tr>
      <w:tr>
        <w:tc>
          <w:tcPr>
            <w:tcW w:w="953" w:type="dxa"/>
          </w:tcPr>
          <w:p>
            <w:pPr/>
            <w:r>
              <w:t xml:space="preserve">Funcional</w:t>
            </w:r>
          </w:p>
        </w:tc>
        <w:tc>
          <w:tcPr>
            <w:tcW w:w="850" w:type="dxa"/>
          </w:tcPr>
          <w:p>
            <w:pPr/>
            <w:r>
              <w:t xml:space="preserve">Sistema</w:t>
            </w:r>
          </w:p>
        </w:tc>
        <w:tc>
          <w:tcPr>
            <w:tcW w:w="850" w:type="dxa"/>
          </w:tcPr>
          <w:p>
            <w:pPr/>
            <w:r>
              <w:t xml:space="preserve">M02 a M13</w:t>
            </w:r>
          </w:p>
        </w:tc>
        <w:tc>
          <w:tcPr>
            <w:tcW w:w="6707" w:type="dxa"/>
          </w:tcPr>
          <w:p>
            <w:pPr/>
            <w:r>
              <w:t xml:space="preserve">Casos manuales diseñados con partición de equivalencia y valores límite</w:t>
            </w:r>
          </w:p>
        </w:tc>
      </w:tr>
      <w:tr>
        <w:tc>
          <w:tcPr>
            <w:tcW w:w="953" w:type="dxa"/>
          </w:tcPr>
          <w:p>
            <w:pPr/>
            <w:r>
              <w:t xml:space="preserve">Funcional</w:t>
            </w:r>
          </w:p>
        </w:tc>
        <w:tc>
          <w:tcPr>
            <w:tcW w:w="850" w:type="dxa"/>
          </w:tcPr>
          <w:p>
            <w:pPr/>
            <w:r>
              <w:t xml:space="preserve">Aceptación</w:t>
            </w:r>
          </w:p>
        </w:tc>
        <w:tc>
          <w:tcPr>
            <w:tcW w:w="850" w:type="dxa"/>
          </w:tcPr>
          <w:p>
            <w:pPr/>
            <w:r>
              <w:t xml:space="preserve">M02, M03, M09, M15</w:t>
            </w:r>
          </w:p>
        </w:tc>
        <w:tc>
          <w:tcPr>
            <w:tcW w:w="6707" w:type="dxa"/>
          </w:tcPr>
          <w:p>
            <w:pPr/>
            <w:r>
              <w:t xml:space="preserve">Un turno completo de caja: abrir, vender, cobrar, imprimir, anular, cerrar con arqueo. Lo recorre el personal que hoy usa el sistema actual</w:t>
            </w:r>
          </w:p>
        </w:tc>
      </w:tr>
      <w:tr>
        <w:tc>
          <w:tcPr>
            <w:tcW w:w="953" w:type="dxa"/>
          </w:tcPr>
          <w:p>
            <w:pPr/>
            <w:r>
              <w:t xml:space="preserve">Compatibilidad de hardware</w:t>
            </w:r>
          </w:p>
        </w:tc>
        <w:tc>
          <w:tcPr>
            <w:tcW w:w="850" w:type="dxa"/>
          </w:tcPr>
          <w:p>
            <w:pPr/>
            <w:r>
              <w:t xml:space="preserve">Sistema</w:t>
            </w:r>
          </w:p>
        </w:tc>
        <w:tc>
          <w:tcPr>
            <w:tcW w:w="850" w:type="dxa"/>
          </w:tcPr>
          <w:p>
            <w:pPr/>
            <w:r>
              <w:t xml:space="preserve">M03, M13</w:t>
            </w:r>
          </w:p>
        </w:tc>
        <w:tc>
          <w:tcPr>
            <w:tcW w:w="6707" w:type="dxa"/>
          </w:tcPr>
          <w:p>
            <w:pPr/>
            <w:r>
              <w:t xml:space="preserve">Impresora térmica ESC/POS y lector de código de barras reales, en un equipo equivalente al de la botica. Los modelos están por confirmar</w:t>
            </w:r>
          </w:p>
        </w:tc>
      </w:tr>
      <w:tr>
        <w:tc>
          <w:tcPr>
            <w:tcW w:w="953" w:type="dxa"/>
          </w:tcPr>
          <w:p>
            <w:pPr/>
            <w:r>
              <w:t xml:space="preserve">Consumo de recursos</w:t>
            </w:r>
          </w:p>
        </w:tc>
        <w:tc>
          <w:tcPr>
            <w:tcW w:w="850" w:type="dxa"/>
          </w:tcPr>
          <w:p>
            <w:pPr/>
            <w:r>
              <w:t xml:space="preserve">Sistema</w:t>
            </w:r>
          </w:p>
        </w:tc>
        <w:tc>
          <w:tcPr>
            <w:tcW w:w="850" w:type="dxa"/>
          </w:tcPr>
          <w:p>
            <w:pPr/>
            <w:r>
              <w:t xml:space="preserve">M03, M08</w:t>
            </w:r>
          </w:p>
        </w:tc>
        <w:tc>
          <w:tcPr>
            <w:tcW w:w="6707" w:type="dxa"/>
          </w:tcPr>
          <w:p>
            <w:pPr/>
            <w:r>
              <w:t xml:space="preserve">El Facturador SUNAT corre sobre un servidor Java permanente. Hay que </w:t>
            </w:r>
            <w:r>
              <w:rPr>
                <w:b/>
              </w:rPr>
              <w:t xml:space="preserve">medir</w:t>
            </w:r>
            <w:r>
              <w:t xml:space="preserve"> su consumo conviviendo con la caja en el equipo antiguo, porque el requisito de hardware antiguo es explícito. Es medición, no funcionalidad</w:t>
            </w:r>
          </w:p>
        </w:tc>
      </w:tr>
      <w:tr>
        <w:tc>
          <w:tcPr>
            <w:tcW w:w="953" w:type="dxa"/>
          </w:tcPr>
          <w:p>
            <w:pPr/>
            <w:r>
              <w:t xml:space="preserve">Tolerancia a fallos</w:t>
            </w:r>
          </w:p>
        </w:tc>
        <w:tc>
          <w:tcPr>
            <w:tcW w:w="850" w:type="dxa"/>
          </w:tcPr>
          <w:p>
            <w:pPr/>
            <w:r>
              <w:t xml:space="preserve">Sistema</w:t>
            </w:r>
          </w:p>
        </w:tc>
        <w:tc>
          <w:tcPr>
            <w:tcW w:w="850" w:type="dxa"/>
          </w:tcPr>
          <w:p>
            <w:pPr/>
            <w:r>
              <w:t xml:space="preserve">M04, M07, M15, M17</w:t>
            </w:r>
          </w:p>
        </w:tc>
        <w:tc>
          <w:tcPr>
            <w:tcW w:w="6707" w:type="dxa"/>
          </w:tcPr>
          <w:p>
            <w:pPr/>
            <w:r>
              <w:t xml:space="preserve">Corte de red y de energía a mitad de una operación; restauración desde un respaldo; base local restaurada de una copia antigua; Facturador detenido mientras la caja sigue vendiendo</w:t>
            </w:r>
          </w:p>
        </w:tc>
      </w:tr>
      <w:tr>
        <w:tc>
          <w:tcPr>
            <w:tcW w:w="953" w:type="dxa"/>
          </w:tcPr>
          <w:p>
            <w:pPr/>
            <w:r>
              <w:t xml:space="preserve">Migración</w:t>
            </w:r>
          </w:p>
        </w:tc>
        <w:tc>
          <w:tcPr>
            <w:tcW w:w="850" w:type="dxa"/>
          </w:tcPr>
          <w:p>
            <w:pPr/>
            <w:r>
              <w:t xml:space="preserve">Integración</w:t>
            </w:r>
          </w:p>
        </w:tc>
        <w:tc>
          <w:tcPr>
            <w:tcW w:w="850" w:type="dxa"/>
          </w:tcPr>
          <w:p>
            <w:pPr/>
            <w:r>
              <w:t xml:space="preserve">M14, M18, M19</w:t>
            </w:r>
          </w:p>
        </w:tc>
        <w:tc>
          <w:tcPr>
            <w:tcW w:w="6707" w:type="dxa"/>
          </w:tcPr>
          <w:p>
            <w:pPr/>
            <w:r>
              <w:t xml:space="preserve">Comprobaciones automatizadas sobre el catálogo y el stock, comparadas contra las cifras del origen y reejecutables desde cero. Incluye las </w:t>
            </w:r>
            <w:r>
              <w:rPr>
                <w:b/>
              </w:rPr>
              <w:t xml:space="preserve">pruebas negativas de la fusión</w:t>
            </w:r>
            <w:r>
              <w:t xml:space="preserve">: un conjunto de pares que difieren solo en dosis o tamaño, que el sistema no debe fusionar nunca</w:t>
            </w:r>
          </w:p>
        </w:tc>
      </w:tr>
      <w:tr>
        <w:tc>
          <w:tcPr>
            <w:tcW w:w="953" w:type="dxa"/>
          </w:tcPr>
          <w:p>
            <w:pPr/>
            <w:r>
              <w:t xml:space="preserve">Regresión</w:t>
            </w:r>
          </w:p>
        </w:tc>
        <w:tc>
          <w:tcPr>
            <w:tcW w:w="850" w:type="dxa"/>
          </w:tcPr>
          <w:p>
            <w:pPr/>
            <w:r>
              <w:t xml:space="preserve">Sistema</w:t>
            </w:r>
          </w:p>
        </w:tc>
        <w:tc>
          <w:tcPr>
            <w:tcW w:w="850" w:type="dxa"/>
          </w:tcPr>
          <w:p>
            <w:pPr/>
            <w:r>
              <w:t xml:space="preserve">M01 a M08</w:t>
            </w:r>
          </w:p>
        </w:tc>
        <w:tc>
          <w:tcPr>
            <w:tcW w:w="6707" w:type="dxa"/>
          </w:tcPr>
          <w:p>
            <w:pPr/>
            <w:r>
              <w:t xml:space="preserve">Los dieciséis hallazgos documentados del sistema actual, convertidos en suite permanente: ninguno debe reaparecer</w:t>
            </w:r>
          </w:p>
        </w:tc>
      </w:tr>
      <w:tr>
        <w:tc>
          <w:tcPr>
            <w:tcW w:w="953" w:type="dxa"/>
          </w:tcPr>
          <w:p>
            <w:pPr/>
            <w:r>
              <w:t xml:space="preserve">Exploratoria</w:t>
            </w:r>
          </w:p>
        </w:tc>
        <w:tc>
          <w:tcPr>
            <w:tcW w:w="850" w:type="dxa"/>
          </w:tcPr>
          <w:p>
            <w:pPr/>
            <w:r>
              <w:t xml:space="preserve">Sistema</w:t>
            </w:r>
          </w:p>
        </w:tc>
        <w:tc>
          <w:tcPr>
            <w:tcW w:w="850" w:type="dxa"/>
          </w:tcPr>
          <w:p>
            <w:pPr/>
            <w:r>
              <w:t xml:space="preserve">M02, M05, M09, M13</w:t>
            </w:r>
          </w:p>
        </w:tc>
        <w:tc>
          <w:tcPr>
            <w:tcW w:w="6707" w:type="dxa"/>
          </w:tcPr>
          <w:p>
            <w:pPr/>
            <w:r>
              <w:t xml:space="preserve">Sesiones estructuradas de 60 a 90 minutos con una meta definida</w:t>
            </w:r>
          </w:p>
        </w:tc>
      </w:tr>
      <w:tr>
        <w:tc>
          <w:tcPr>
            <w:tcW w:w="953" w:type="dxa"/>
          </w:tcPr>
          <w:p>
            <w:pPr/>
            <w:r>
              <w:t xml:space="preserve">Usabilidad (básica)</w:t>
            </w:r>
          </w:p>
        </w:tc>
        <w:tc>
          <w:tcPr>
            <w:tcW w:w="850" w:type="dxa"/>
          </w:tcPr>
          <w:p>
            <w:pPr/>
            <w:r>
              <w:t xml:space="preserve">Sistema</w:t>
            </w:r>
          </w:p>
        </w:tc>
        <w:tc>
          <w:tcPr>
            <w:tcW w:w="850" w:type="dxa"/>
          </w:tcPr>
          <w:p>
            <w:pPr/>
            <w:r>
              <w:t xml:space="preserve">M02, M03</w:t>
            </w:r>
          </w:p>
        </w:tc>
        <w:tc>
          <w:tcPr>
            <w:tcW w:w="6707" w:type="dxa"/>
          </w:tcPr>
          <w:p>
            <w:pPr/>
            <w:r>
              <w:t xml:space="preserve">La caja la opera personal acostumbrado al sistema anterior; se identifican los puntos de fricción del cambio</w:t>
            </w:r>
          </w:p>
        </w:tc>
      </w:tr>
      <w:tr>
        <w:tc>
          <w:tcPr>
            <w:tcW w:w="953" w:type="dxa"/>
          </w:tcPr>
          <w:p>
            <w:pPr/>
            <w:r>
              <w:t xml:space="preserve">Seguridad (verificación de requisitos)</w:t>
            </w:r>
          </w:p>
        </w:tc>
        <w:tc>
          <w:tcPr>
            <w:tcW w:w="850" w:type="dxa"/>
          </w:tcPr>
          <w:p>
            <w:pPr/>
            <w:r>
              <w:t xml:space="preserve">Sistema</w:t>
            </w:r>
          </w:p>
        </w:tc>
        <w:tc>
          <w:tcPr>
            <w:tcW w:w="850" w:type="dxa"/>
          </w:tcPr>
          <w:p>
            <w:pPr/>
            <w:r>
              <w:t xml:space="preserve">M10, M16</w:t>
            </w:r>
          </w:p>
        </w:tc>
        <w:tc>
          <w:tcPr>
            <w:tcW w:w="6707" w:type="dxa"/>
          </w:tcPr>
          <w:p>
            <w:pPr/>
            <w:r>
              <w:t xml:space="preserve">Los requisitos de seguridad se comprueban por comportamiento: hash, permisos, cierre de sesión, ocultamiento de costos</w:t>
            </w:r>
          </w:p>
        </w:tc>
      </w:tr>
    </w:tbl>
    <w:p>
      <w:pPr/>
      <w:r>
        <w:t xml:space="preserve">El tipo dice qué se verifica y el nivel dice qué tan aislado o completo es lo que se prueba. La fila de nivel unitario es la que más se diferencia del modelo del curso, y la razón es estructural: las reglas de negocio de este sistema </w:t>
      </w:r>
      <w:r>
        <w:rPr>
          <w:b/>
        </w:rPr>
        <w:t xml:space="preserve">costó recuperarlas de un ejecutable sin código fuente</w:t>
      </w:r>
      <w:r>
        <w:t xml:space="preserve">, y son el activo del proyecto.</w:t>
      </w:r>
    </w:p>
    <w:p>
      <w:pPr/>
      <w:r>
        <w:t xml:space="preserve">Esa misma fila es la que más trabajo gana con el stack elegido. Al repartirse las reglas entre TypeScript, C# y Dart, el cálculo de IGV, la validación de precios, la numeración y el importe en letras </w:t>
      </w:r>
      <w:r>
        <w:rPr>
          <w:b/>
        </w:rPr>
        <w:t xml:space="preserve">existen tres veces</w:t>
      </w:r>
      <w:r>
        <w:t xml:space="preserve">, así que la cobertura del 95 % hay que alcanzarla tres veces y, sobre todo, hay que vigilar que las tres implementaciones den el mismo número. Es el riesgo R17.</w:t>
      </w:r>
    </w:p>
    <w:p>
      <w:pPr>
        <w:pStyle w:val="Heading2"/>
      </w:pPr>
      <w:r>
        <w:t xml:space="preserve">5. Entorno, herramientas y datos de prueba</w:t>
      </w:r>
    </w:p>
    <w:p>
      <w:pPr/>
      <w:r>
        <w:t xml:space="preserve">No existe ambiente de pruebas todavía. Esta sección declara qué hace falta montar, no qué está montado.</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Elemento</w:t>
            </w:r>
          </w:p>
        </w:tc>
        <w:tc>
          <w:tcPr>
            <w:tcW w:w="8510" w:type="dxa"/>
            <w:shd w:val="clear" w:color="auto" w:fill="F2F2F2"/>
          </w:tcPr>
          <w:p>
            <w:pPr/>
            <w:r>
              <w:t xml:space="preserve">Detalle</w:t>
            </w:r>
          </w:p>
        </w:tc>
      </w:tr>
      <w:tr>
        <w:tc>
          <w:tcPr>
            <w:tcW w:w="850" w:type="dxa"/>
          </w:tcPr>
          <w:p>
            <w:pPr/>
            <w:r>
              <w:t xml:space="preserve">Ambiente de pruebas</w:t>
            </w:r>
          </w:p>
        </w:tc>
        <w:tc>
          <w:tcPr>
            <w:tcW w:w="8510" w:type="dxa"/>
          </w:tcPr>
          <w:p>
            <w:pPr/>
            <w:r>
              <w:t xml:space="preserve">por confirmar. Se requieren tres piezas: un terminal de caja de prueba con el Facturador instalado, un servidor de pruebas y el ambiente de pruebas de SUNAT</w:t>
            </w:r>
          </w:p>
        </w:tc>
      </w:tr>
      <w:tr>
        <w:tc>
          <w:tcPr>
            <w:tcW w:w="850" w:type="dxa"/>
          </w:tcPr>
          <w:p>
            <w:pPr/>
            <w:r>
              <w:t xml:space="preserve">Equipo de caja de prueba</w:t>
            </w:r>
          </w:p>
        </w:tc>
        <w:tc>
          <w:tcPr>
            <w:tcW w:w="8510" w:type="dxa"/>
          </w:tcPr>
          <w:p>
            <w:pPr/>
            <w:r>
              <w:rPr>
                <w:b/>
              </w:rPr>
              <w:t xml:space="preserve">Windows 11</w:t>
            </w:r>
            <w:r>
              <w:t xml:space="preserve">, con hardware equivalente al que usa la botica. Es más nuevo que el equipo de producción previsto, lo que queda como riesgo R18</w:t>
            </w:r>
          </w:p>
        </w:tc>
      </w:tr>
      <w:tr>
        <w:tc>
          <w:tcPr>
            <w:tcW w:w="850" w:type="dxa"/>
          </w:tcPr>
          <w:p>
            <w:pPr/>
            <w:r>
              <w:t xml:space="preserve">Impresora térmica</w:t>
            </w:r>
          </w:p>
        </w:tc>
        <w:tc>
          <w:tcPr>
            <w:tcW w:w="8510" w:type="dxa"/>
          </w:tcPr>
          <w:p>
            <w:pPr/>
            <w:r>
              <w:rPr>
                <w:b/>
              </w:rPr>
              <w:t xml:space="preserve">No se dispone del hardware todavía.</w:t>
            </w:r>
            <w:r>
              <w:t xml:space="preserve"> Es el punto de mayor riesgo técnico del proyecto y la primera prueba a ejecutar en cuanto exista el equipo</w:t>
            </w:r>
          </w:p>
        </w:tc>
      </w:tr>
      <w:tr>
        <w:tc>
          <w:tcPr>
            <w:tcW w:w="850" w:type="dxa"/>
          </w:tcPr>
          <w:p>
            <w:pPr/>
            <w:r>
              <w:t xml:space="preserve">Lector de código de barras</w:t>
            </w:r>
          </w:p>
        </w:tc>
        <w:tc>
          <w:tcPr>
            <w:tcW w:w="8510" w:type="dxa"/>
          </w:tcPr>
          <w:p>
            <w:pPr/>
            <w:r>
              <w:rPr>
                <w:b/>
              </w:rPr>
              <w:t xml:space="preserve">No se dispone del hardware todavía.</w:t>
            </w:r>
            <w:r>
              <w:t xml:space="preserve"> Los lectores USB suelen presentarse como teclado y no requieren nada especial</w:t>
            </w:r>
          </w:p>
        </w:tc>
      </w:tr>
      <w:tr>
        <w:tc>
          <w:tcPr>
            <w:tcW w:w="850" w:type="dxa"/>
          </w:tcPr>
          <w:p>
            <w:pPr/>
            <w:r>
              <w:t xml:space="preserve">Dispositivo móvil</w:t>
            </w:r>
          </w:p>
        </w:tc>
        <w:tc>
          <w:tcPr>
            <w:tcW w:w="8510" w:type="dxa"/>
          </w:tcPr>
          <w:p>
            <w:pPr/>
            <w:r>
              <w:t xml:space="preserve">Propio de la empresa</w:t>
            </w:r>
          </w:p>
        </w:tc>
      </w:tr>
      <w:tr>
        <w:tc>
          <w:tcPr>
            <w:tcW w:w="850" w:type="dxa"/>
          </w:tcPr>
          <w:p>
            <w:pPr/>
            <w:r>
              <w:t xml:space="preserve">Navegador</w:t>
            </w:r>
          </w:p>
        </w:tc>
        <w:tc>
          <w:tcPr>
            <w:tcW w:w="8510" w:type="dxa"/>
          </w:tcPr>
          <w:p>
            <w:pPr/>
            <w:r>
              <w:t xml:space="preserve">Un navegador de escritorio actualizado, el mismo durante todo el trabajo</w:t>
            </w:r>
          </w:p>
        </w:tc>
      </w:tr>
      <w:tr>
        <w:tc>
          <w:tcPr>
            <w:tcW w:w="850" w:type="dxa"/>
          </w:tcPr>
          <w:p>
            <w:pPr/>
            <w:r>
              <w:t xml:space="preserve">SEE‑Facturador SUNAT</w:t>
            </w:r>
          </w:p>
        </w:tc>
        <w:tc>
          <w:tcPr>
            <w:tcW w:w="8510" w:type="dxa"/>
          </w:tcPr>
          <w:p>
            <w:pPr/>
            <w:r>
              <w:t xml:space="preserve">Versión vigente descargada del portal de SUNAT. </w:t>
            </w:r>
            <w:r>
              <w:rPr>
                <w:b/>
              </w:rPr>
              <w:t xml:space="preserve">Versión por confirmar</w:t>
            </w:r>
            <w:r>
              <w:t xml:space="preserve">: hay que tomar la actual, no la de las guías antiguas que circulan. Requiere un JDK instalado y variables de entorno configuradas; SUNAT indica 1.8 o superior, pero las guías de campo recomiendan quedarse en JDK 8 por incompatibilidades con versiones recientes. En algunas versiones el nombre de la carpeta de instalación no puede pasar de 8 caracteres</w:t>
            </w:r>
          </w:p>
        </w:tc>
      </w:tr>
      <w:tr>
        <w:tc>
          <w:tcPr>
            <w:tcW w:w="850" w:type="dxa"/>
          </w:tcPr>
          <w:p>
            <w:pPr/>
            <w:r>
              <w:t xml:space="preserve">Ambiente de pruebas de SUNAT</w:t>
            </w:r>
          </w:p>
        </w:tc>
        <w:tc>
          <w:tcPr>
            <w:tcW w:w="8510" w:type="dxa"/>
          </w:tcPr>
          <w:p>
            <w:pPr/>
            <w:r>
              <w:t xml:space="preserve">El servicio de pruebas valida las estructuras XML </w:t>
            </w:r>
            <w:r>
              <w:rPr>
                <w:b/>
              </w:rPr>
              <w:t xml:space="preserve">sin exigir un certificado registrado</w:t>
            </w:r>
            <w:r>
              <w:t xml:space="preserve">. Es lo único que se puede ejercitar antes de tener el certificado, y por eso condiciona el orden del trabajo</w:t>
            </w:r>
          </w:p>
        </w:tc>
      </w:tr>
      <w:tr>
        <w:tc>
          <w:tcPr>
            <w:tcW w:w="850" w:type="dxa"/>
          </w:tcPr>
          <w:p>
            <w:pPr/>
            <w:r>
              <w:t xml:space="preserve">Certificado digital</w:t>
            </w:r>
          </w:p>
        </w:tc>
        <w:tc>
          <w:tcPr>
            <w:tcW w:w="8510" w:type="dxa"/>
          </w:tcPr>
          <w:p>
            <w:pPr/>
            <w:r>
              <w:t xml:space="preserve">CDT gratuito de SUNAT, </w:t>
            </w:r>
            <w:r>
              <w:rPr>
                <w:b/>
              </w:rPr>
              <w:t xml:space="preserve">por tramitar</w:t>
            </w:r>
            <w:r>
              <w:t xml:space="preserve"> vía SOL. Sin él, el Facturador no firma, y la prueba de extremo a extremo de M08 queda bloqueada</w:t>
            </w:r>
          </w:p>
        </w:tc>
      </w:tr>
      <w:tr>
        <w:tc>
          <w:tcPr>
            <w:tcW w:w="850" w:type="dxa"/>
          </w:tcPr>
          <w:p>
            <w:pPr/>
            <w:r>
              <w:t xml:space="preserve">Control de versiones</w:t>
            </w:r>
          </w:p>
        </w:tc>
        <w:tc>
          <w:tcPr>
            <w:tcW w:w="8510" w:type="dxa"/>
          </w:tcPr>
          <w:p>
            <w:pPr/>
            <w:r>
              <w:t xml:space="preserve">Git. </w:t>
            </w:r>
            <w:r>
              <w:rPr>
                <w:b/>
              </w:rPr>
              <w:t xml:space="preserve">Repositorio por crear</w:t>
            </w:r>
            <w:r>
              <w:t xml:space="preserve">: es el entregable de la semana 1</w:t>
            </w:r>
          </w:p>
        </w:tc>
      </w:tr>
      <w:tr>
        <w:tc>
          <w:tcPr>
            <w:tcW w:w="850" w:type="dxa"/>
          </w:tcPr>
          <w:p>
            <w:pPr/>
            <w:r>
              <w:t xml:space="preserve">Gestión de tareas</w:t>
            </w:r>
          </w:p>
        </w:tc>
        <w:tc>
          <w:tcPr>
            <w:tcW w:w="8510" w:type="dxa"/>
          </w:tcPr>
          <w:p>
            <w:pPr/>
            <w:r>
              <w:rPr>
                <w:b/>
              </w:rPr>
              <w:t xml:space="preserve">Por definir</w:t>
            </w:r>
          </w:p>
        </w:tc>
      </w:tr>
      <w:tr>
        <w:tc>
          <w:tcPr>
            <w:tcW w:w="850" w:type="dxa"/>
          </w:tcPr>
          <w:p>
            <w:pPr/>
            <w:r>
              <w:t xml:space="preserve">Gestión de casos y defectos</w:t>
            </w:r>
          </w:p>
        </w:tc>
        <w:tc>
          <w:tcPr>
            <w:tcW w:w="8510" w:type="dxa"/>
          </w:tcPr>
          <w:p>
            <w:pPr/>
            <w:r>
              <w:rPr>
                <w:b/>
              </w:rPr>
              <w:t xml:space="preserve">Por definir</w:t>
            </w:r>
          </w:p>
        </w:tc>
      </w:tr>
      <w:tr>
        <w:tc>
          <w:tcPr>
            <w:tcW w:w="850" w:type="dxa"/>
          </w:tcPr>
          <w:p>
            <w:pPr/>
            <w:r>
              <w:t xml:space="preserve">Marco de pruebas automatizadas</w:t>
            </w:r>
          </w:p>
        </w:tc>
        <w:tc>
          <w:tcPr>
            <w:tcW w:w="8510" w:type="dxa"/>
          </w:tcPr>
          <w:p>
            <w:pPr/>
            <w:r>
              <w:rPr>
                <w:b/>
              </w:rPr>
              <w:t xml:space="preserve">Por definir, y hacen falta tres</w:t>
            </w:r>
            <w:r>
              <w:t xml:space="preserve">: uno para TypeScript, uno para C# y uno para Dart. Lo decide el desarrollo</w:t>
            </w:r>
          </w:p>
        </w:tc>
      </w:tr>
      <w:tr>
        <w:tc>
          <w:tcPr>
            <w:tcW w:w="850" w:type="dxa"/>
          </w:tcPr>
          <w:p>
            <w:pPr/>
            <w:r>
              <w:t xml:space="preserve">Evidencias</w:t>
            </w:r>
          </w:p>
        </w:tc>
        <w:tc>
          <w:tcPr>
            <w:tcW w:w="8510" w:type="dxa"/>
          </w:tcPr>
          <w:p>
            <w:pPr/>
            <w:r>
              <w:t xml:space="preserve">Capturas y grabaciones guardadas en la carpeta de evidencias del repositorio</w:t>
            </w:r>
          </w:p>
        </w:tc>
      </w:tr>
    </w:tbl>
    <w:p>
      <w:pPr/>
      <w:r>
        <w:t xml:space="preserve">Datos de prueba</w:t>
      </w:r>
    </w:p>
    <w:tbl>
      <w:tblPr>
        <w:tblStyle w:val="TableGrid"/>
        <w:tblW w:w="0" w:type="auto"/>
        <w:tblLayout w:type="fixed"/>
        <w:tblLook w:val="04A0" w:firstRow="1" w:lastRow="0" w:firstColumn="0" w:lastColumn="0" w:noHBand="0" w:noVBand="1"/>
      </w:tblPr>
      <w:tblGrid>
        <w:gridCol w:w="1932"/>
        <w:gridCol w:w="3277"/>
        <w:gridCol w:w="4151"/>
      </w:tblGrid>
      <w:tr>
        <w:trPr>
          <w:tblHeader/>
        </w:trPr>
        <w:tc>
          <w:tcPr>
            <w:tcW w:w="1932" w:type="dxa"/>
            <w:shd w:val="clear" w:color="auto" w:fill="F2F2F2"/>
          </w:tcPr>
          <w:p>
            <w:pPr/>
            <w:r>
              <w:t xml:space="preserve">Origen</w:t>
            </w:r>
          </w:p>
        </w:tc>
        <w:tc>
          <w:tcPr>
            <w:tcW w:w="3277" w:type="dxa"/>
            <w:shd w:val="clear" w:color="auto" w:fill="F2F2F2"/>
          </w:tcPr>
          <w:p>
            <w:pPr/>
            <w:r>
              <w:t xml:space="preserve">Dato</w:t>
            </w:r>
          </w:p>
        </w:tc>
        <w:tc>
          <w:tcPr>
            <w:tcW w:w="4151" w:type="dxa"/>
            <w:shd w:val="clear" w:color="auto" w:fill="F2F2F2"/>
          </w:tcPr>
          <w:p>
            <w:pPr/>
            <w:r>
              <w:t xml:space="preserve">Uso</w:t>
            </w:r>
          </w:p>
        </w:tc>
      </w:tr>
      <w:tr>
        <w:tc>
          <w:tcPr>
            <w:tcW w:w="1932" w:type="dxa"/>
          </w:tcPr>
          <w:p>
            <w:pPr/>
            <w:r>
              <w:t xml:space="preserve">Copia de los DBF de producción</w:t>
            </w:r>
          </w:p>
        </w:tc>
        <w:tc>
          <w:tcPr>
            <w:tcW w:w="3277" w:type="dxa"/>
          </w:tcPr>
          <w:p>
            <w:pPr/>
            <w:r>
              <w:t xml:space="preserve">1,736 productos con su stock, su marca y sus precios</w:t>
            </w:r>
          </w:p>
        </w:tc>
        <w:tc>
          <w:tcPr>
            <w:tcW w:w="4151" w:type="dxa"/>
          </w:tcPr>
          <w:p>
            <w:pPr/>
            <w:r>
              <w:t xml:space="preserve">Pruebas de migración del catálogo. Las tablas de venta están en la copia pero </w:t>
            </w:r>
            <w:r>
              <w:rPr>
                <w:b/>
              </w:rPr>
              <w:t xml:space="preserve">no se importan</w:t>
            </w:r>
          </w:p>
        </w:tc>
      </w:tr>
      <w:tr>
        <w:tc>
          <w:tcPr>
            <w:tcW w:w="1932" w:type="dxa"/>
          </w:tcPr>
          <w:p>
            <w:pPr/>
            <w:r>
              <w:t xml:space="preserve">Grupos con descripción repetida</w:t>
            </w:r>
          </w:p>
        </w:tc>
        <w:tc>
          <w:tcPr>
            <w:tcW w:w="3277" w:type="dxa"/>
          </w:tcPr>
          <w:p>
            <w:pPr/>
            <w:r>
              <w:t xml:space="preserve">3 grupos, 6 fichas, medidos sobre el catálogo</w:t>
            </w:r>
          </w:p>
        </w:tc>
        <w:tc>
          <w:tcPr>
            <w:tcW w:w="4151" w:type="dxa"/>
          </w:tcPr>
          <w:p>
            <w:pPr/>
            <w:r>
              <w:t xml:space="preserve">Los casos reales de M18. Se revisan con el negocio, no se fusionan automáticamente</w:t>
            </w:r>
          </w:p>
        </w:tc>
      </w:tr>
      <w:tr>
        <w:tc>
          <w:tcPr>
            <w:tcW w:w="1932" w:type="dxa"/>
          </w:tcPr>
          <w:p>
            <w:pPr/>
            <w:r>
              <w:t xml:space="preserve">Pares que se parecen pero son distintos</w:t>
            </w:r>
          </w:p>
        </w:tc>
        <w:tc>
          <w:tcPr>
            <w:tcW w:w="3277" w:type="dxa"/>
          </w:tcPr>
          <w:p>
            <w:pPr/>
            <w:r>
              <w:t xml:space="preserve">48 pares con más del 90 % de similitud, casi todos diferenciados por dosis o tamaño</w:t>
            </w:r>
          </w:p>
        </w:tc>
        <w:tc>
          <w:tcPr>
            <w:tcW w:w="4151" w:type="dxa"/>
          </w:tcPr>
          <w:p>
            <w:pPr/>
            <w:r>
              <w:rPr>
                <w:b/>
              </w:rPr>
              <w:t xml:space="preserve">Pruebas negativas de M18</w:t>
            </w:r>
            <w:r>
              <w:t xml:space="preserve">: ninguno debe fusionarse. Es el conjunto que protege el catálogo</w:t>
            </w:r>
          </w:p>
        </w:tc>
      </w:tr>
      <w:tr>
        <w:tc>
          <w:tcPr>
            <w:tcW w:w="1932" w:type="dxa"/>
          </w:tcPr>
          <w:p>
            <w:pPr/>
            <w:r>
              <w:t xml:space="preserve">Productos con precio de venta menor que el costo</w:t>
            </w:r>
          </w:p>
        </w:tc>
        <w:tc>
          <w:tcPr>
            <w:tcW w:w="3277" w:type="dxa"/>
          </w:tcPr>
          <w:p>
            <w:pPr/>
            <w:r>
              <w:t xml:space="preserve">341 productos</w:t>
            </w:r>
          </w:p>
        </w:tc>
        <w:tc>
          <w:tcPr>
            <w:tcW w:w="4151" w:type="dxa"/>
          </w:tcPr>
          <w:p>
            <w:pPr/>
            <w:r>
              <w:t xml:space="preserve">Reportes de rentabilidad: verificar que el sistema lo señale en lugar de ocultarlo</w:t>
            </w:r>
          </w:p>
        </w:tc>
      </w:tr>
      <w:tr>
        <w:tc>
          <w:tcPr>
            <w:tcW w:w="1932" w:type="dxa"/>
          </w:tcPr>
          <w:p>
            <w:pPr/>
            <w:r>
              <w:t xml:space="preserve">Productos con stock cero</w:t>
            </w:r>
          </w:p>
        </w:tc>
        <w:tc>
          <w:tcPr>
            <w:tcW w:w="3277" w:type="dxa"/>
          </w:tcPr>
          <w:p>
            <w:pPr/>
            <w:r>
              <w:t xml:space="preserve">513, el 30 % del catálogo</w:t>
            </w:r>
          </w:p>
        </w:tc>
        <w:tc>
          <w:tcPr>
            <w:tcW w:w="4151" w:type="dxa"/>
          </w:tcPr>
          <w:p>
            <w:pPr/>
            <w:r>
              <w:t xml:space="preserve">Migración del stock y comportamiento de la caja al vender un producto sin existencias</w:t>
            </w:r>
          </w:p>
        </w:tc>
      </w:tr>
      <w:tr>
        <w:tc>
          <w:tcPr>
            <w:tcW w:w="1932" w:type="dxa"/>
          </w:tcPr>
          <w:p>
            <w:pPr/>
            <w:r>
              <w:t xml:space="preserve">Vencimientos del relleno en bloque</w:t>
            </w:r>
          </w:p>
        </w:tc>
        <w:tc>
          <w:tcPr>
            <w:tcW w:w="3277" w:type="dxa"/>
          </w:tcPr>
          <w:p>
            <w:pPr/>
            <w:r>
              <w:t xml:space="preserve">1,719 de 1,736 con fecha de 2019 o anterior</w:t>
            </w:r>
          </w:p>
        </w:tc>
        <w:tc>
          <w:tcPr>
            <w:tcW w:w="4151" w:type="dxa"/>
          </w:tcPr>
          <w:p>
            <w:pPr/>
            <w:r>
              <w:t xml:space="preserve">Que entren marcados como no confiables y que </w:t>
            </w:r>
            <w:r>
              <w:rPr>
                <w:b/>
              </w:rPr>
              <w:t xml:space="preserve">no disparen alertas</w:t>
            </w:r>
            <w:r>
              <w:t xml:space="preserve"> hasta ser verificados. Es el riesgo R19</w:t>
            </w:r>
          </w:p>
        </w:tc>
      </w:tr>
      <w:tr>
        <w:tc>
          <w:tcPr>
            <w:tcW w:w="1932" w:type="dxa"/>
          </w:tcPr>
          <w:p>
            <w:pPr/>
            <w:r>
              <w:t xml:space="preserve">Importes en letras mal escritos por el sistema actual</w:t>
            </w:r>
          </w:p>
        </w:tc>
        <w:tc>
          <w:tcPr>
            <w:tcW w:w="3277" w:type="dxa"/>
          </w:tcPr>
          <w:p>
            <w:pPr/>
            <w:r>
              <w:t xml:space="preserve">146 comprobantes, con los casos de 200, 300, 400, 600, 700 y 800</w:t>
            </w:r>
          </w:p>
        </w:tc>
        <w:tc>
          <w:tcPr>
            <w:tcW w:w="4151" w:type="dxa"/>
          </w:tcPr>
          <w:p>
            <w:pPr/>
            <w:r>
              <w:rPr>
                <w:b/>
              </w:rPr>
              <w:t xml:space="preserve">Casos de referencia conocidos</w:t>
            </w:r>
            <w:r>
              <w:t xml:space="preserve">, no datos a migrar: se usan para comprobar que la función nueva los escribe bien</w:t>
            </w:r>
          </w:p>
        </w:tc>
      </w:tr>
      <w:tr>
        <w:tc>
          <w:tcPr>
            <w:tcW w:w="1932" w:type="dxa"/>
          </w:tcPr>
          <w:p>
            <w:pPr/>
            <w:r>
              <w:t xml:space="preserve">Catálogo de prueba</w:t>
            </w:r>
          </w:p>
        </w:tc>
        <w:tc>
          <w:tcPr>
            <w:tcW w:w="3277" w:type="dxa"/>
          </w:tcPr>
          <w:p>
            <w:pPr/>
            <w:r>
              <w:t xml:space="preserve">Productos con y sin código de barras, con lote y vencimiento, medicamento y no medicamento</w:t>
            </w:r>
          </w:p>
        </w:tc>
        <w:tc>
          <w:tcPr>
            <w:tcW w:w="4151" w:type="dxa"/>
          </w:tcPr>
          <w:p>
            <w:pPr/>
            <w:r>
              <w:t xml:space="preserve">Venta en caja y móvil</w:t>
            </w:r>
          </w:p>
        </w:tc>
      </w:tr>
      <w:tr>
        <w:tc>
          <w:tcPr>
            <w:tcW w:w="1932" w:type="dxa"/>
          </w:tcPr>
          <w:p>
            <w:pPr/>
            <w:r>
              <w:t xml:space="preserve">Cuentas de prueba</w:t>
            </w:r>
          </w:p>
        </w:tc>
        <w:tc>
          <w:tcPr>
            <w:tcW w:w="3277" w:type="dxa"/>
          </w:tcPr>
          <w:p>
            <w:pPr/>
            <w:r>
              <w:t xml:space="preserve">Una por rol: cajero, almacén, administrador</w:t>
            </w:r>
          </w:p>
        </w:tc>
        <w:tc>
          <w:tcPr>
            <w:tcW w:w="4151" w:type="dxa"/>
          </w:tcPr>
          <w:p>
            <w:pPr/>
            <w:r>
              <w:t xml:space="preserve">Autenticación y permisos</w:t>
            </w:r>
          </w:p>
        </w:tc>
      </w:tr>
      <w:tr>
        <w:tc>
          <w:tcPr>
            <w:tcW w:w="1932" w:type="dxa"/>
          </w:tcPr>
          <w:p>
            <w:pPr/>
            <w:r>
              <w:t xml:space="preserve">Archivos de ejemplo de los anexos de SUNAT</w:t>
            </w:r>
          </w:p>
        </w:tc>
        <w:tc>
          <w:tcPr>
            <w:tcW w:w="3277" w:type="dxa"/>
          </w:tcPr>
          <w:p>
            <w:pPr/>
            <w:r>
              <w:t xml:space="preserve">Estructuras de comprobante válidas e inválidas, y respuestas de aceptación y de rechazo</w:t>
            </w:r>
          </w:p>
        </w:tc>
        <w:tc>
          <w:tcPr>
            <w:tcW w:w="4151" w:type="dxa"/>
          </w:tcPr>
          <w:p>
            <w:pPr/>
            <w:r>
              <w:t xml:space="preserve">El contrato de archivos con el Facturador, incluidos los casos de rechazo</w:t>
            </w:r>
          </w:p>
        </w:tc>
      </w:tr>
    </w:tbl>
    <w:p>
      <w:pPr/>
      <w:r>
        <w:t xml:space="preserve">Dos reglas sobre los datos, ninguna negociable:</w:t>
      </w:r>
    </w:p>
    <w:p>
      <w:pPr>
        <w:pStyle w:val="ListParagraph"/>
        <w:numPr>
          <w:ilvl w:val="0"/>
          <w:numId w:val="2"/>
        </w:numPr>
      </w:pPr>
      <w:r>
        <w:rPr>
          <w:b/>
        </w:rPr>
        <w:t xml:space="preserve">Toda prueba se ejecuta sobre una copia.</w:t>
      </w:r>
      <w:r>
        <w:t xml:space="preserve"> La carpeta de datos de producción del sistema actual no se usa como entorno de pruebas en ningún caso.</w:t>
      </w:r>
    </w:p>
    <w:p>
      <w:pPr>
        <w:pStyle w:val="ListParagraph"/>
        <w:numPr>
          <w:ilvl w:val="0"/>
          <w:numId w:val="2"/>
        </w:numPr>
      </w:pPr>
      <w:r>
        <w:rPr>
          <w:b/>
        </w:rPr>
        <w:t xml:space="preserve">Las contraseñas no se migran y no se escriben en este documento.</w:t>
      </w:r>
      <w:r>
        <w:t xml:space="preserve"> El sistema actual guarda contraseñas que se satisfacen con un prefijo de un carácter, y una credencial maestra en claro dentro del ejecutable; esas credenciales se tratan como comprometidas. El sistema nuevo arranca con contraseñas nuevas.</w:t>
      </w:r>
    </w:p>
    <w:p>
      <w:pPr>
        <w:pStyle w:val="Heading2"/>
      </w:pPr>
      <w:r>
        <w:t xml:space="preserve">6. Criterios de entrada y de salida</w:t>
      </w:r>
    </w:p>
    <w:p>
      <w:pPr/>
      <w:r>
        <w:t xml:space="preserve">Los criterios dicen cuándo se puede empezar a probar y cuándo se puede dar por terminado el trabajo; sin ellos, "terminamos" es una opinión.</w:t>
      </w:r>
    </w:p>
    <w:p>
      <w:pPr/>
      <w:r>
        <w:t xml:space="preserve">Criterios de entrada (para empezar a ejecutar casos)</w:t>
      </w:r>
    </w:p>
    <w:p>
      <w:pPr>
        <w:pStyle w:val="ListParagraph"/>
        <w:numPr>
          <w:ilvl w:val="0"/>
          <w:numId w:val="3"/>
        </w:numPr>
      </w:pPr>
      <w:r>
        <w:t xml:space="preserve">Este documento de alcance está emitido y revisado.</w:t>
      </w:r>
    </w:p>
    <w:p>
      <w:pPr>
        <w:pStyle w:val="ListParagraph"/>
        <w:numPr>
          <w:ilvl w:val="0"/>
          <w:numId w:val="3"/>
        </w:numPr>
      </w:pPr>
      <w:r>
        <w:rPr>
          <w:b/>
        </w:rPr>
        <w:t xml:space="preserve">El respaldo externo de los datos de producción está hecho y verificado.</w:t>
      </w:r>
      <w:r>
        <w:t xml:space="preserve"> Es la precondición de todo: once años de ventas sin respaldo desde 2013.</w:t>
      </w:r>
    </w:p>
    <w:p>
      <w:pPr>
        <w:pStyle w:val="ListParagraph"/>
        <w:numPr>
          <w:ilvl w:val="0"/>
          <w:numId w:val="3"/>
        </w:numPr>
      </w:pPr>
      <w:r>
        <w:t xml:space="preserve">Las decisiones bloqueantes están cerradas. </w:t>
      </w:r>
      <w:r>
        <w:rPr>
          <w:b/>
        </w:rPr>
        <w:t xml:space="preserve">Ya lo están</w:t>
      </w:r>
      <w:r>
        <w:t xml:space="preserve">: un local con posible crecimiento, régimen RMT, emisión por canal propio a través del Facturador SUNAT, el stack, y que el histórico de ventas no se migra. </w:t>
      </w:r>
      <w:r>
        <w:rPr>
          <w:b/>
        </w:rPr>
        <w:t xml:space="preserve">Sigue abierto</w:t>
      </w:r>
      <w:r>
        <w:t xml:space="preserve"> el número de cajas simultáneas.</w:t>
      </w:r>
    </w:p>
    <w:p>
      <w:pPr>
        <w:pStyle w:val="ListParagraph"/>
        <w:numPr>
          <w:ilvl w:val="0"/>
          <w:numId w:val="3"/>
        </w:numPr>
      </w:pPr>
      <w:r>
        <w:t xml:space="preserve">La prueba de impresión del ticket pasó, de modo que la tecnología de escritorio está fijada y no se van a rediseñar los casos de M03.</w:t>
      </w:r>
    </w:p>
    <w:p>
      <w:pPr>
        <w:pStyle w:val="ListParagraph"/>
        <w:numPr>
          <w:ilvl w:val="0"/>
          <w:numId w:val="3"/>
        </w:numPr>
      </w:pPr>
      <w:r>
        <w:t xml:space="preserve">El </w:t>
      </w:r>
      <w:r>
        <w:rPr>
          <w:b/>
        </w:rPr>
        <w:t xml:space="preserve">Facturador SUNAT está instalado y corriendo</w:t>
      </w:r>
      <w:r>
        <w:t xml:space="preserve"> en el equipo de prueba, con el certificado cargado. Mientras no haya certificado, se entra solo a las pruebas de </w:t>
      </w:r>
      <w:r>
        <w:rPr>
          <w:b/>
        </w:rPr>
        <w:t xml:space="preserve">nuestro lado del contrato</w:t>
      </w:r>
      <w:r>
        <w:t xml:space="preserve">: que el archivo se escriba bien y que la respuesta se interprete bien, con respuestas simuladas.</w:t>
      </w:r>
    </w:p>
    <w:p>
      <w:pPr>
        <w:pStyle w:val="ListParagraph"/>
        <w:numPr>
          <w:ilvl w:val="0"/>
          <w:numId w:val="3"/>
        </w:numPr>
      </w:pPr>
      <w:r>
        <w:t xml:space="preserve">Existe un ambiente de pruebas, un repositorio y una integración continua que ejecuta las pruebas automatizadas.</w:t>
      </w:r>
    </w:p>
    <w:p>
      <w:pPr>
        <w:pStyle w:val="ListParagraph"/>
        <w:numPr>
          <w:ilvl w:val="0"/>
          <w:numId w:val="3"/>
        </w:numPr>
      </w:pPr>
      <w:r>
        <w:t xml:space="preserve">Existe la lista de requisitos contra la cual trazar los casos. En este proyecto es el documento de requisitos de la migración, por no existir otra especificación.</w:t>
      </w:r>
    </w:p>
    <w:p>
      <w:pPr/>
      <w:r>
        <w:t xml:space="preserve">Criterios de salida (para cerrar el trabajo de pruebas)</w:t>
      </w:r>
    </w:p>
    <w:p>
      <w:pPr>
        <w:pStyle w:val="ListParagraph"/>
        <w:numPr>
          <w:ilvl w:val="0"/>
          <w:numId w:val="4"/>
        </w:numPr>
      </w:pPr>
      <w:r>
        <w:t xml:space="preserve">El 100 % de los módulos de prioridad alta tiene casos de prueba diseñados y ejecutados.</w:t>
      </w:r>
    </w:p>
    <w:p>
      <w:pPr>
        <w:pStyle w:val="ListParagraph"/>
        <w:numPr>
          <w:ilvl w:val="0"/>
          <w:numId w:val="4"/>
        </w:numPr>
      </w:pPr>
      <w:r>
        <w:t xml:space="preserve">Cada requisito del documento de requisitos está vinculado a al menos un caso en la matriz de trazabilidad.</w:t>
      </w:r>
    </w:p>
    <w:p>
      <w:pPr>
        <w:pStyle w:val="ListParagraph"/>
        <w:numPr>
          <w:ilvl w:val="0"/>
          <w:numId w:val="4"/>
        </w:numPr>
      </w:pPr>
      <w:r>
        <w:t xml:space="preserve">El dominio y el motor de sincronización tienen pruebas automatizadas en verde, con </w:t>
      </w:r>
      <w:r>
        <w:rPr>
          <w:b/>
        </w:rPr>
        <w:t xml:space="preserve">95 % de cobertura como mínimo</w:t>
      </w:r>
      <w:r>
        <w:t xml:space="preserve">, </w:t>
      </w:r>
      <w:r>
        <w:rPr>
          <w:b/>
        </w:rPr>
        <w:t xml:space="preserve">en cada uno de los tres lenguajes</w:t>
      </w:r>
      <w:r>
        <w:t xml:space="preserve"> donde viven las reglas. No hay umbral numérico en interfaz ni en reportes, donde la cobertura mide poco; ahí el criterio es la </w:t>
      </w:r>
      <w:r>
        <w:rPr>
          <w:b/>
        </w:rPr>
        <w:t xml:space="preserve">lista de casos obligatorios</w:t>
      </w:r>
      <w:r>
        <w:t xml:space="preserve">: los dieciséis hallazgos, los diez casos límite de sincronización, el importe en letras de 200 a 800, los casos de rechazo del contrato de archivos y los 48 pares que no deben fusionarse.</w:t>
      </w:r>
    </w:p>
    <w:p>
      <w:pPr>
        <w:pStyle w:val="ListParagraph"/>
        <w:numPr>
          <w:ilvl w:val="0"/>
          <w:numId w:val="4"/>
        </w:numPr>
      </w:pPr>
      <w:r>
        <w:rPr>
          <w:b/>
        </w:rPr>
        <w:t xml:space="preserve">Las tres implementaciones del dominio dan el mismo resultado</w:t>
      </w:r>
      <w:r>
        <w:t xml:space="preserve"> sobre el mismo conjunto de casos: totales, IGV e importe en letras coinciden al céntimo entre TypeScript, C# y Dart.</w:t>
      </w:r>
    </w:p>
    <w:p>
      <w:pPr>
        <w:pStyle w:val="ListParagraph"/>
        <w:numPr>
          <w:ilvl w:val="0"/>
          <w:numId w:val="4"/>
        </w:numPr>
      </w:pPr>
      <w:r>
        <w:t xml:space="preserve">Los diez casos límite de sincronización están cubiertos y pasan, incluido el más peligroso: una base local restaurada de una copia antigua, que debe quedar bloqueada y no reemitir números ya usados.</w:t>
      </w:r>
    </w:p>
    <w:p>
      <w:pPr>
        <w:pStyle w:val="ListParagraph"/>
        <w:numPr>
          <w:ilvl w:val="0"/>
          <w:numId w:val="4"/>
        </w:numPr>
      </w:pPr>
      <w:r>
        <w:t xml:space="preserve">Los dieciséis hallazgos del sistema actual tienen un caso de regresión que demuestra que no se reproducen.</w:t>
      </w:r>
    </w:p>
    <w:p>
      <w:pPr>
        <w:pStyle w:val="ListParagraph"/>
        <w:numPr>
          <w:ilvl w:val="0"/>
          <w:numId w:val="4"/>
        </w:numPr>
      </w:pPr>
      <w:r>
        <w:t xml:space="preserve">Las comprobaciones de la migración pasan de forma automatizada: </w:t>
      </w:r>
      <w:r>
        <w:rPr>
          <w:b/>
        </w:rPr>
        <w:t xml:space="preserve">los 1,736 productos llegaron con su código interno intacto</w:t>
      </w:r>
      <w:r>
        <w:t xml:space="preserve">, el stock total migrado coincide con el del origen, ninguna fusión perdió ni duplicó existencias, y </w:t>
      </w:r>
      <w:r>
        <w:rPr>
          <w:b/>
        </w:rPr>
        <w:t xml:space="preserve">ninguno de los 48 pares de productos distintos quedó fusionado</w:t>
      </w:r>
      <w:r>
        <w:t xml:space="preserve">.</w:t>
      </w:r>
    </w:p>
    <w:p>
      <w:pPr>
        <w:pStyle w:val="ListParagraph"/>
        <w:numPr>
          <w:ilvl w:val="0"/>
          <w:numId w:val="4"/>
        </w:numPr>
      </w:pPr>
      <w:r>
        <w:rPr>
          <w:b/>
        </w:rPr>
        <w:t xml:space="preserve">Todo saldo y todo vencimiento heredado está marcado como tal</w:t>
      </w:r>
      <w:r>
        <w:t xml:space="preserve">, y se distingue a la vista de uno verificado en la caja, el panel y los reportes. Las alertas de vencimiento </w:t>
      </w:r>
      <w:r>
        <w:rPr>
          <w:b/>
        </w:rPr>
        <w:t xml:space="preserve">no suenan</w:t>
      </w:r>
      <w:r>
        <w:t xml:space="preserve"> por datos sin verificar.</w:t>
      </w:r>
    </w:p>
    <w:p>
      <w:pPr>
        <w:pStyle w:val="ListParagraph"/>
        <w:numPr>
          <w:ilvl w:val="0"/>
          <w:numId w:val="4"/>
        </w:numPr>
      </w:pPr>
      <w:r>
        <w:rPr>
          <w:b/>
        </w:rPr>
        <w:t xml:space="preserve">Un ticket real se imprimió</w:t>
      </w:r>
      <w:r>
        <w:t xml:space="preserve"> en la impresora que usará la botica.</w:t>
      </w:r>
    </w:p>
    <w:p>
      <w:pPr>
        <w:pStyle w:val="ListParagraph"/>
        <w:numPr>
          <w:ilvl w:val="0"/>
          <w:numId w:val="4"/>
        </w:numPr>
      </w:pPr>
      <w:r>
        <w:rPr>
          <w:b/>
        </w:rPr>
        <w:t xml:space="preserve">Una boleta y una factura fueron aceptadas por SUNAT</w:t>
      </w:r>
      <w:r>
        <w:t xml:space="preserve">, con su constancia de recepción, emitidas a través del Facturador desde una venta real de la caja. Y el </w:t>
      </w:r>
      <w:r>
        <w:rPr>
          <w:b/>
        </w:rPr>
        <w:t xml:space="preserve">resumen diario de boletas</w:t>
      </w:r>
      <w:r>
        <w:t xml:space="preserve"> fue aceptado.</w:t>
      </w:r>
    </w:p>
    <w:p>
      <w:pPr>
        <w:pStyle w:val="ListParagraph"/>
        <w:numPr>
          <w:ilvl w:val="0"/>
          <w:numId w:val="4"/>
        </w:numPr>
      </w:pPr>
      <w:r>
        <w:rPr>
          <w:b/>
        </w:rPr>
        <w:t xml:space="preserve">La reconciliación entre la base de la caja y la del Facturador no muestra diferencias</w:t>
      </w:r>
      <w:r>
        <w:t xml:space="preserve">: ni un comprobante emitido que falte allí, ni uno allí que la caja no conozca.</w:t>
      </w:r>
    </w:p>
    <w:p>
      <w:pPr>
        <w:pStyle w:val="ListParagraph"/>
        <w:numPr>
          <w:ilvl w:val="0"/>
          <w:numId w:val="4"/>
        </w:numPr>
      </w:pPr>
      <w:r>
        <w:rPr>
          <w:b/>
        </w:rPr>
        <w:t xml:space="preserve">Una restauración de respaldo se ejecutó y se verificó.</w:t>
      </w:r>
      <w:r>
        <w:t xml:space="preserve"> Un respaldo que no se ha restaurado no es un respaldo.</w:t>
      </w:r>
    </w:p>
    <w:p>
      <w:pPr>
        <w:pStyle w:val="ListParagraph"/>
        <w:numPr>
          <w:ilvl w:val="0"/>
          <w:numId w:val="4"/>
        </w:numPr>
      </w:pPr>
      <w:r>
        <w:t xml:space="preserve">Durante la operación en paralelo, </w:t>
      </w:r>
      <w:r>
        <w:rPr>
          <w:b/>
        </w:rPr>
        <w:t xml:space="preserve">las ventas del día registradas en los dos sistemas coinciden</w:t>
      </w:r>
      <w:r>
        <w:t xml:space="preserve">. Ya no es una verificación de migración —no hay histórico que comparar— sino la comprobación de que el sistema nuevo registra lo mismo que el viejo mientras los dos conviven.</w:t>
      </w:r>
    </w:p>
    <w:p>
      <w:pPr>
        <w:pStyle w:val="ListParagraph"/>
        <w:numPr>
          <w:ilvl w:val="0"/>
          <w:numId w:val="4"/>
        </w:numPr>
      </w:pPr>
      <w:r>
        <w:t xml:space="preserve">No quedan defectos de severidad crítica abiertos, y los conocidos no corregidos están documentados con su justificación.</w:t>
      </w:r>
    </w:p>
    <w:p>
      <w:pPr>
        <w:pStyle w:val="Heading2"/>
      </w:pPr>
      <w:r>
        <w:t xml:space="preserve">7. Riesgos y supuestos</w:t>
      </w:r>
    </w:p>
    <w:p>
      <w:pPr/>
      <w:r>
        <w:t xml:space="preserve">Riesgos del trabajo de pruebas</w:t>
      </w:r>
    </w:p>
    <w:tbl>
      <w:tblPr>
        <w:tblStyle w:val="TableGrid"/>
        <w:tblW w:w="0" w:type="auto"/>
        <w:tblLayout w:type="fixed"/>
        <w:tblLook w:val="04A0" w:firstRow="1" w:lastRow="0" w:firstColumn="0" w:lastColumn="0" w:noHBand="0" w:noVBand="1"/>
      </w:tblPr>
      <w:tblGrid>
        <w:gridCol w:w="850"/>
        <w:gridCol w:w="2266"/>
        <w:gridCol w:w="850"/>
        <w:gridCol w:w="850"/>
        <w:gridCol w:w="4544"/>
      </w:tblGrid>
      <w:tr>
        <w:trPr>
          <w:tblHeader/>
        </w:trPr>
        <w:tc>
          <w:tcPr>
            <w:tcW w:w="850" w:type="dxa"/>
            <w:shd w:val="clear" w:color="auto" w:fill="F2F2F2"/>
          </w:tcPr>
          <w:p>
            <w:pPr/>
            <w:r>
              <w:t xml:space="preserve">Código</w:t>
            </w:r>
          </w:p>
        </w:tc>
        <w:tc>
          <w:tcPr>
            <w:tcW w:w="2266" w:type="dxa"/>
            <w:shd w:val="clear" w:color="auto" w:fill="F2F2F2"/>
          </w:tcPr>
          <w:p>
            <w:pPr/>
            <w:r>
              <w:t xml:space="preserve">Riesgo</w:t>
            </w:r>
          </w:p>
        </w:tc>
        <w:tc>
          <w:tcPr>
            <w:tcW w:w="850" w:type="dxa"/>
            <w:shd w:val="clear" w:color="auto" w:fill="F2F2F2"/>
          </w:tcPr>
          <w:p>
            <w:pPr/>
            <w:r>
              <w:t xml:space="preserve">Probabilidad</w:t>
            </w:r>
          </w:p>
        </w:tc>
        <w:tc>
          <w:tcPr>
            <w:tcW w:w="850" w:type="dxa"/>
            <w:shd w:val="clear" w:color="auto" w:fill="F2F2F2"/>
          </w:tcPr>
          <w:p>
            <w:pPr/>
            <w:r>
              <w:t xml:space="preserve">Impacto</w:t>
            </w:r>
          </w:p>
        </w:tc>
        <w:tc>
          <w:tcPr>
            <w:tcW w:w="4544" w:type="dxa"/>
            <w:shd w:val="clear" w:color="auto" w:fill="F2F2F2"/>
          </w:tcPr>
          <w:p>
            <w:pPr/>
            <w:r>
              <w:t xml:space="preserve">Mitigación</w:t>
            </w:r>
          </w:p>
        </w:tc>
      </w:tr>
      <w:tr>
        <w:tc>
          <w:tcPr>
            <w:tcW w:w="850" w:type="dxa"/>
          </w:tcPr>
          <w:p>
            <w:pPr/>
            <w:r>
              <w:t xml:space="preserve">R01</w:t>
            </w:r>
          </w:p>
        </w:tc>
        <w:tc>
          <w:tcPr>
            <w:tcW w:w="2266" w:type="dxa"/>
          </w:tcPr>
          <w:p>
            <w:pPr/>
            <w:r>
              <w:t xml:space="preserve">No hay nada que ejecutar al inicio: el sistema está en diseño</w:t>
            </w:r>
          </w:p>
        </w:tc>
        <w:tc>
          <w:tcPr>
            <w:tcW w:w="850" w:type="dxa"/>
          </w:tcPr>
          <w:p>
            <w:pPr/>
            <w:r>
              <w:t xml:space="preserve">Alta</w:t>
            </w:r>
          </w:p>
        </w:tc>
        <w:tc>
          <w:tcPr>
            <w:tcW w:w="850" w:type="dxa"/>
          </w:tcPr>
          <w:p>
            <w:pPr/>
            <w:r>
              <w:t xml:space="preserve">Alto</w:t>
            </w:r>
          </w:p>
        </w:tc>
        <w:tc>
          <w:tcPr>
            <w:tcW w:w="4544" w:type="dxa"/>
          </w:tcPr>
          <w:p>
            <w:pPr/>
            <w:r>
              <w:t xml:space="preserve">Empezar por lo que sí se puede probar sin aplicación: el dominio, el importador de datos y el protocolo de sincronización, todos ellos automatizables</w:t>
            </w:r>
          </w:p>
        </w:tc>
      </w:tr>
      <w:tr>
        <w:tc>
          <w:tcPr>
            <w:tcW w:w="850" w:type="dxa"/>
          </w:tcPr>
          <w:p>
            <w:pPr/>
            <w:r>
              <w:t xml:space="preserve">R02</w:t>
            </w:r>
          </w:p>
        </w:tc>
        <w:tc>
          <w:tcPr>
            <w:tcW w:w="2266" w:type="dxa"/>
          </w:tcPr>
          <w:p>
            <w:pPr/>
            <w:r>
              <w:t xml:space="preserve">La impresora y el lector definitivos no están disponibles para probar</w:t>
            </w:r>
          </w:p>
        </w:tc>
        <w:tc>
          <w:tcPr>
            <w:tcW w:w="850" w:type="dxa"/>
          </w:tcPr>
          <w:p>
            <w:pPr/>
            <w:r>
              <w:t xml:space="preserve">Media</w:t>
            </w:r>
          </w:p>
        </w:tc>
        <w:tc>
          <w:tcPr>
            <w:tcW w:w="850" w:type="dxa"/>
          </w:tcPr>
          <w:p>
            <w:pPr/>
            <w:r>
              <w:t xml:space="preserve">Alto</w:t>
            </w:r>
          </w:p>
        </w:tc>
        <w:tc>
          <w:tcPr>
            <w:tcW w:w="4544" w:type="dxa"/>
          </w:tcPr>
          <w:p>
            <w:pPr/>
            <w:r>
              <w:t xml:space="preserve">Cerrar su elección en la primera fase. La impresión del ticket es el requisito con más fricción de todo el proyecto y decide la tecnología de escritorio</w:t>
            </w:r>
          </w:p>
        </w:tc>
      </w:tr>
      <w:tr>
        <w:tc>
          <w:tcPr>
            <w:tcW w:w="850" w:type="dxa"/>
          </w:tcPr>
          <w:p>
            <w:pPr/>
            <w:r>
              <w:t xml:space="preserve">R03</w:t>
            </w:r>
          </w:p>
        </w:tc>
        <w:tc>
          <w:tcPr>
            <w:tcW w:w="2266" w:type="dxa"/>
          </w:tcPr>
          <w:p>
            <w:pPr/>
            <w:r>
              <w:t xml:space="preserve">El certificado digital no está tramitado, y sin él M08 no se prueba de extremo a extremo</w:t>
            </w:r>
          </w:p>
        </w:tc>
        <w:tc>
          <w:tcPr>
            <w:tcW w:w="850" w:type="dxa"/>
          </w:tcPr>
          <w:p>
            <w:pPr/>
            <w:r>
              <w:t xml:space="preserve">Alta</w:t>
            </w:r>
          </w:p>
        </w:tc>
        <w:tc>
          <w:tcPr>
            <w:tcW w:w="850" w:type="dxa"/>
          </w:tcPr>
          <w:p>
            <w:pPr/>
            <w:r>
              <w:t xml:space="preserve">Alto</w:t>
            </w:r>
          </w:p>
        </w:tc>
        <w:tc>
          <w:tcPr>
            <w:tcW w:w="4544" w:type="dxa"/>
          </w:tcPr>
          <w:p>
            <w:pPr/>
            <w:r>
              <w:t xml:space="preserve">Iniciar el trámite del CDT en la primera fase: es gratuito pero tiene evaluación propia y varios requisitos sobre el estado del RUC. Mientras no esté, probar contra el ambiente de pruebas de SUNAT y con respuestas simuladas</w:t>
            </w:r>
          </w:p>
        </w:tc>
      </w:tr>
      <w:tr>
        <w:tc>
          <w:tcPr>
            <w:tcW w:w="850" w:type="dxa"/>
          </w:tcPr>
          <w:p>
            <w:pPr/>
            <w:r>
              <w:t xml:space="preserve">R04</w:t>
            </w:r>
          </w:p>
        </w:tc>
        <w:tc>
          <w:tcPr>
            <w:tcW w:w="2266" w:type="dxa"/>
          </w:tcPr>
          <w:p>
            <w:pPr/>
            <w:r>
              <w:t xml:space="preserve">Una decisión pendiente cambia la arquitectura y con ella el alcance</w:t>
            </w:r>
          </w:p>
        </w:tc>
        <w:tc>
          <w:tcPr>
            <w:tcW w:w="850" w:type="dxa"/>
          </w:tcPr>
          <w:p>
            <w:pPr/>
            <w:r>
              <w:t xml:space="preserve">Media</w:t>
            </w:r>
          </w:p>
        </w:tc>
        <w:tc>
          <w:tcPr>
            <w:tcW w:w="850" w:type="dxa"/>
          </w:tcPr>
          <w:p>
            <w:pPr/>
            <w:r>
              <w:t xml:space="preserve">Alto</w:t>
            </w:r>
          </w:p>
        </w:tc>
        <w:tc>
          <w:tcPr>
            <w:tcW w:w="4544" w:type="dxa"/>
          </w:tcPr>
          <w:p>
            <w:pPr/>
            <w:r>
              <w:t xml:space="preserve">No diseñar casos dependientes del stack ni del número de locales hasta cerrarlas. Si cambian, se reemite este documento</w:t>
            </w:r>
          </w:p>
        </w:tc>
      </w:tr>
      <w:tr>
        <w:tc>
          <w:tcPr>
            <w:tcW w:w="850" w:type="dxa"/>
          </w:tcPr>
          <w:p>
            <w:pPr/>
            <w:r>
              <w:t xml:space="preserve">R05</w:t>
            </w:r>
          </w:p>
        </w:tc>
        <w:tc>
          <w:tcPr>
            <w:tcW w:w="2266" w:type="dxa"/>
          </w:tcPr>
          <w:p>
            <w:pPr/>
            <w:r>
              <w:t xml:space="preserve">El stock negativo entre dos cajas desconectadas se reporta como defecto</w:t>
            </w:r>
          </w:p>
        </w:tc>
        <w:tc>
          <w:tcPr>
            <w:tcW w:w="850" w:type="dxa"/>
          </w:tcPr>
          <w:p>
            <w:pPr/>
            <w:r>
              <w:t xml:space="preserve">Alta</w:t>
            </w:r>
          </w:p>
        </w:tc>
        <w:tc>
          <w:tcPr>
            <w:tcW w:w="850" w:type="dxa"/>
          </w:tcPr>
          <w:p>
            <w:pPr/>
            <w:r>
              <w:t xml:space="preserve">Bajo</w:t>
            </w:r>
          </w:p>
        </w:tc>
        <w:tc>
          <w:tcPr>
            <w:tcW w:w="4544" w:type="dxa"/>
          </w:tcPr>
          <w:p>
            <w:pPr/>
            <w:r>
              <w:rPr>
                <w:b/>
              </w:rPr>
              <w:t xml:space="preserve">Es comportamiento declarado, no defecto.</w:t>
            </w:r>
            <w:r>
              <w:t xml:space="preserve"> Operar sin red y garantizar el stock son objetivos incompatibles; está documentado como límite del diseño y el sistema debe señalarlo, no evitarlo</w:t>
            </w:r>
          </w:p>
        </w:tc>
      </w:tr>
      <w:tr>
        <w:tc>
          <w:tcPr>
            <w:tcW w:w="850" w:type="dxa"/>
          </w:tcPr>
          <w:p>
            <w:pPr/>
            <w:r>
              <w:t xml:space="preserve">R06</w:t>
            </w:r>
          </w:p>
        </w:tc>
        <w:tc>
          <w:tcPr>
            <w:tcW w:w="2266" w:type="dxa"/>
          </w:tcPr>
          <w:p>
            <w:pPr/>
            <w:r>
              <w:t xml:space="preserve">Los casos límite de sincronización no se reproducen a mano de forma fiable</w:t>
            </w:r>
          </w:p>
        </w:tc>
        <w:tc>
          <w:tcPr>
            <w:tcW w:w="850" w:type="dxa"/>
          </w:tcPr>
          <w:p>
            <w:pPr/>
            <w:r>
              <w:t xml:space="preserve">Alta</w:t>
            </w:r>
          </w:p>
        </w:tc>
        <w:tc>
          <w:tcPr>
            <w:tcW w:w="850" w:type="dxa"/>
          </w:tcPr>
          <w:p>
            <w:pPr/>
            <w:r>
              <w:t xml:space="preserve">Alto</w:t>
            </w:r>
          </w:p>
        </w:tc>
        <w:tc>
          <w:tcPr>
            <w:tcW w:w="4544" w:type="dxa"/>
          </w:tcPr>
          <w:p>
            <w:pPr/>
            <w:r>
              <w:t xml:space="preserve">Automatizarlos. El conjunto de diez casos documentado es la especificación de pruebas del motor, no una lista de ideas</w:t>
            </w:r>
          </w:p>
        </w:tc>
      </w:tr>
      <w:tr>
        <w:tc>
          <w:tcPr>
            <w:tcW w:w="850" w:type="dxa"/>
          </w:tcPr>
          <w:p>
            <w:pPr/>
            <w:r>
              <w:t xml:space="preserve">R07</w:t>
            </w:r>
          </w:p>
        </w:tc>
        <w:tc>
          <w:tcPr>
            <w:tcW w:w="2266" w:type="dxa"/>
          </w:tcPr>
          <w:p>
            <w:pPr/>
            <w:r>
              <w:t xml:space="preserve">Una fusión de duplicados destruye productos legítimos</w:t>
            </w:r>
          </w:p>
        </w:tc>
        <w:tc>
          <w:tcPr>
            <w:tcW w:w="850" w:type="dxa"/>
          </w:tcPr>
          <w:p>
            <w:pPr/>
            <w:r>
              <w:t xml:space="preserve">Media</w:t>
            </w:r>
          </w:p>
        </w:tc>
        <w:tc>
          <w:tcPr>
            <w:tcW w:w="850" w:type="dxa"/>
          </w:tcPr>
          <w:p>
            <w:pPr/>
            <w:r>
              <w:rPr>
                <w:b/>
              </w:rPr>
              <w:t xml:space="preserve">Muy alto</w:t>
            </w:r>
          </w:p>
        </w:tc>
        <w:tc>
          <w:tcPr>
            <w:tcW w:w="4544" w:type="dxa"/>
          </w:tcPr>
          <w:p>
            <w:pPr/>
            <w:r>
              <w:t xml:space="preserve">Fusionar dos dosis distintas de un medicamento es un riesgo sanitario, no un error de catálogo. Nada se fusiona de forma automática: los 3 grupos reales se revisan con el negocio, y los 48 pares parecidos son la prueba negativa permanente</w:t>
            </w:r>
          </w:p>
        </w:tc>
      </w:tr>
      <w:tr>
        <w:tc>
          <w:tcPr>
            <w:tcW w:w="850" w:type="dxa"/>
          </w:tcPr>
          <w:p>
            <w:pPr/>
            <w:r>
              <w:t xml:space="preserve">R08</w:t>
            </w:r>
          </w:p>
        </w:tc>
        <w:tc>
          <w:tcPr>
            <w:tcW w:w="2266" w:type="dxa"/>
          </w:tcPr>
          <w:p>
            <w:pPr/>
            <w:r>
              <w:t xml:space="preserve">El catálogo sin reclasificar y los precios dudosos ensucian los reportes</w:t>
            </w:r>
          </w:p>
        </w:tc>
        <w:tc>
          <w:tcPr>
            <w:tcW w:w="850" w:type="dxa"/>
          </w:tcPr>
          <w:p>
            <w:pPr/>
            <w:r>
              <w:t xml:space="preserve">Alta</w:t>
            </w:r>
          </w:p>
        </w:tc>
        <w:tc>
          <w:tcPr>
            <w:tcW w:w="850" w:type="dxa"/>
          </w:tcPr>
          <w:p>
            <w:pPr/>
            <w:r>
              <w:t xml:space="preserve">Medio</w:t>
            </w:r>
          </w:p>
        </w:tc>
        <w:tc>
          <w:tcPr>
            <w:tcW w:w="4544" w:type="dxa"/>
          </w:tcPr>
          <w:p>
            <w:pPr/>
            <w:r>
              <w:t xml:space="preserve">Probar los reportes de rentabilidad con datos ya revisados por el negocio, o declarar la entrada como sucia en el propio reporte</w:t>
            </w:r>
          </w:p>
        </w:tc>
      </w:tr>
      <w:tr>
        <w:tc>
          <w:tcPr>
            <w:tcW w:w="850" w:type="dxa"/>
          </w:tcPr>
          <w:p>
            <w:pPr/>
            <w:r>
              <w:t xml:space="preserve">R09</w:t>
            </w:r>
          </w:p>
        </w:tc>
        <w:tc>
          <w:tcPr>
            <w:tcW w:w="2266" w:type="dxa"/>
          </w:tcPr>
          <w:p>
            <w:pPr/>
            <w:r>
              <w:t xml:space="preserve">No alcanza el tiempo para cubrir todos los módulos</w:t>
            </w:r>
          </w:p>
        </w:tc>
        <w:tc>
          <w:tcPr>
            <w:tcW w:w="850" w:type="dxa"/>
          </w:tcPr>
          <w:p>
            <w:pPr/>
            <w:r>
              <w:t xml:space="preserve">Media</w:t>
            </w:r>
          </w:p>
        </w:tc>
        <w:tc>
          <w:tcPr>
            <w:tcW w:w="850" w:type="dxa"/>
          </w:tcPr>
          <w:p>
            <w:pPr/>
            <w:r>
              <w:t xml:space="preserve">Alto</w:t>
            </w:r>
          </w:p>
        </w:tc>
        <w:tc>
          <w:tcPr>
            <w:tcW w:w="4544" w:type="dxa"/>
          </w:tcPr>
          <w:p>
            <w:pPr/>
            <w:r>
              <w:t xml:space="preserve">Cubrir primero los de prioridad alta y </w:t>
            </w:r>
            <w:r>
              <w:rPr>
                <w:b/>
              </w:rPr>
              <w:t xml:space="preserve">declarar expresamente lo no cubierto</w:t>
            </w:r>
            <w:r>
              <w:t xml:space="preserve">, módulo por módulo</w:t>
            </w:r>
          </w:p>
        </w:tc>
      </w:tr>
      <w:tr>
        <w:tc>
          <w:tcPr>
            <w:tcW w:w="850" w:type="dxa"/>
          </w:tcPr>
          <w:p>
            <w:pPr/>
            <w:r>
              <w:t xml:space="preserve">R10</w:t>
            </w:r>
          </w:p>
        </w:tc>
        <w:tc>
          <w:tcPr>
            <w:tcW w:w="2266" w:type="dxa"/>
          </w:tcPr>
          <w:p>
            <w:pPr/>
            <w:r>
              <w:t xml:space="preserve">Los casos quedan sin vincular a un requisito</w:t>
            </w:r>
          </w:p>
        </w:tc>
        <w:tc>
          <w:tcPr>
            <w:tcW w:w="850" w:type="dxa"/>
          </w:tcPr>
          <w:p>
            <w:pPr/>
            <w:r>
              <w:t xml:space="preserve">Media</w:t>
            </w:r>
          </w:p>
        </w:tc>
        <w:tc>
          <w:tcPr>
            <w:tcW w:w="850" w:type="dxa"/>
          </w:tcPr>
          <w:p>
            <w:pPr/>
            <w:r>
              <w:t xml:space="preserve">Alto</w:t>
            </w:r>
          </w:p>
        </w:tc>
        <w:tc>
          <w:tcPr>
            <w:tcW w:w="4544" w:type="dxa"/>
          </w:tcPr>
          <w:p>
            <w:pPr/>
            <w:r>
              <w:t xml:space="preserve">Construir la matriz de trazabilidad mientras se diseñan los casos, no al final</w:t>
            </w:r>
          </w:p>
        </w:tc>
      </w:tr>
      <w:tr>
        <w:tc>
          <w:tcPr>
            <w:tcW w:w="850" w:type="dxa"/>
          </w:tcPr>
          <w:p>
            <w:pPr/>
            <w:r>
              <w:t xml:space="preserve">R11</w:t>
            </w:r>
          </w:p>
        </w:tc>
        <w:tc>
          <w:tcPr>
            <w:tcW w:w="2266" w:type="dxa"/>
          </w:tcPr>
          <w:p>
            <w:pPr/>
            <w:r>
              <w:t xml:space="preserve">Alguien ejecuta una prueba sobre los datos de producción</w:t>
            </w:r>
          </w:p>
        </w:tc>
        <w:tc>
          <w:tcPr>
            <w:tcW w:w="850" w:type="dxa"/>
          </w:tcPr>
          <w:p>
            <w:pPr/>
            <w:r>
              <w:t xml:space="preserve">Baja</w:t>
            </w:r>
          </w:p>
        </w:tc>
        <w:tc>
          <w:tcPr>
            <w:tcW w:w="850" w:type="dxa"/>
          </w:tcPr>
          <w:p>
            <w:pPr/>
            <w:r>
              <w:t xml:space="preserve">Muy alto</w:t>
            </w:r>
          </w:p>
        </w:tc>
        <w:tc>
          <w:tcPr>
            <w:tcW w:w="4544" w:type="dxa"/>
          </w:tcPr>
          <w:p>
            <w:pPr/>
            <w:r>
              <w:t xml:space="preserve">Prohibido por la regla de la sección 5. El respaldo externo verificado es precondición de entrada precisamente por esto</w:t>
            </w:r>
          </w:p>
        </w:tc>
      </w:tr>
      <w:tr>
        <w:tc>
          <w:tcPr>
            <w:tcW w:w="850" w:type="dxa"/>
          </w:tcPr>
          <w:p>
            <w:pPr/>
            <w:r>
              <w:t xml:space="preserve">R12</w:t>
            </w:r>
          </w:p>
        </w:tc>
        <w:tc>
          <w:tcPr>
            <w:tcW w:w="2266" w:type="dxa"/>
          </w:tcPr>
          <w:p>
            <w:pPr/>
            <w:r>
              <w:t xml:space="preserve">Se prueba contra el documento de requisitos y no contra lo que el negocio espera</w:t>
            </w:r>
          </w:p>
        </w:tc>
        <w:tc>
          <w:tcPr>
            <w:tcW w:w="850" w:type="dxa"/>
          </w:tcPr>
          <w:p>
            <w:pPr/>
            <w:r>
              <w:t xml:space="preserve">Media</w:t>
            </w:r>
          </w:p>
        </w:tc>
        <w:tc>
          <w:tcPr>
            <w:tcW w:w="850" w:type="dxa"/>
          </w:tcPr>
          <w:p>
            <w:pPr/>
            <w:r>
              <w:t xml:space="preserve">Medio</w:t>
            </w:r>
          </w:p>
        </w:tc>
        <w:tc>
          <w:tcPr>
            <w:tcW w:w="4544" w:type="dxa"/>
          </w:tcPr>
          <w:p>
            <w:pPr/>
            <w:r>
              <w:t xml:space="preserve">Las pruebas de aceptación las recorre el personal que opera la caja hoy, no quien escribió los requisitos</w:t>
            </w:r>
          </w:p>
        </w:tc>
      </w:tr>
      <w:tr>
        <w:tc>
          <w:tcPr>
            <w:tcW w:w="850" w:type="dxa"/>
          </w:tcPr>
          <w:p>
            <w:pPr/>
            <w:r>
              <w:t xml:space="preserve">R13</w:t>
            </w:r>
          </w:p>
        </w:tc>
        <w:tc>
          <w:tcPr>
            <w:tcW w:w="2266" w:type="dxa"/>
          </w:tcPr>
          <w:p>
            <w:pPr/>
            <w:r>
              <w:t xml:space="preserve">El servidor Java del Facturador compite por recursos con la caja en hardware antiguo</w:t>
            </w:r>
          </w:p>
        </w:tc>
        <w:tc>
          <w:tcPr>
            <w:tcW w:w="850" w:type="dxa"/>
          </w:tcPr>
          <w:p>
            <w:pPr/>
            <w:r>
              <w:t xml:space="preserve">Media</w:t>
            </w:r>
          </w:p>
        </w:tc>
        <w:tc>
          <w:tcPr>
            <w:tcW w:w="850" w:type="dxa"/>
          </w:tcPr>
          <w:p>
            <w:pPr/>
            <w:r>
              <w:t xml:space="preserve">Alto</w:t>
            </w:r>
          </w:p>
        </w:tc>
        <w:tc>
          <w:tcPr>
            <w:tcW w:w="4544" w:type="dxa"/>
          </w:tcPr>
          <w:p>
            <w:pPr/>
            <w:r>
              <w:rPr>
                <w:b/>
              </w:rPr>
              <w:t xml:space="preserve">Medirlo en la primera fase</w:t>
            </w:r>
            <w:r>
              <w:t xml:space="preserve">, no suponerlo: consumo de memoria y tiempo de cobro con el Facturador corriendo. Si no cabe en el equipo de la botica, el Facturador se mueve a otro equipo de la red local</w:t>
            </w:r>
          </w:p>
        </w:tc>
      </w:tr>
      <w:tr>
        <w:tc>
          <w:tcPr>
            <w:tcW w:w="850" w:type="dxa"/>
          </w:tcPr>
          <w:p>
            <w:pPr/>
            <w:r>
              <w:t xml:space="preserve">R14</w:t>
            </w:r>
          </w:p>
        </w:tc>
        <w:tc>
          <w:tcPr>
            <w:tcW w:w="2266" w:type="dxa"/>
          </w:tcPr>
          <w:p>
            <w:pPr/>
            <w:r>
              <w:t xml:space="preserve">La base de la caja y la del Facturador divergen sin que nadie lo note</w:t>
            </w:r>
          </w:p>
        </w:tc>
        <w:tc>
          <w:tcPr>
            <w:tcW w:w="850" w:type="dxa"/>
          </w:tcPr>
          <w:p>
            <w:pPr/>
            <w:r>
              <w:t xml:space="preserve">Media</w:t>
            </w:r>
          </w:p>
        </w:tc>
        <w:tc>
          <w:tcPr>
            <w:tcW w:w="850" w:type="dxa"/>
          </w:tcPr>
          <w:p>
            <w:pPr/>
            <w:r>
              <w:t xml:space="preserve">Alto</w:t>
            </w:r>
          </w:p>
        </w:tc>
        <w:tc>
          <w:tcPr>
            <w:tcW w:w="4544" w:type="dxa"/>
          </w:tcPr>
          <w:p>
            <w:pPr/>
            <w:r>
              <w:t xml:space="preserve">M17 existe por esto: reconciliación automática y visible en el panel, no una revisión manual que alguien recuerde hacer</w:t>
            </w:r>
          </w:p>
        </w:tc>
      </w:tr>
      <w:tr>
        <w:tc>
          <w:tcPr>
            <w:tcW w:w="850" w:type="dxa"/>
          </w:tcPr>
          <w:p>
            <w:pPr/>
            <w:r>
              <w:t xml:space="preserve">R15</w:t>
            </w:r>
          </w:p>
        </w:tc>
        <w:tc>
          <w:tcPr>
            <w:tcW w:w="2266" w:type="dxa"/>
          </w:tcPr>
          <w:p>
            <w:pPr/>
            <w:r>
              <w:t xml:space="preserve">El Facturador es una dependencia de SUNAT: cambia de versión, se rompe o se descontinúa, y no lo controlamos</w:t>
            </w:r>
          </w:p>
        </w:tc>
        <w:tc>
          <w:tcPr>
            <w:tcW w:w="850" w:type="dxa"/>
          </w:tcPr>
          <w:p>
            <w:pPr/>
            <w:r>
              <w:t xml:space="preserve">Media</w:t>
            </w:r>
          </w:p>
        </w:tc>
        <w:tc>
          <w:tcPr>
            <w:tcW w:w="850" w:type="dxa"/>
          </w:tcPr>
          <w:p>
            <w:pPr/>
            <w:r>
              <w:t xml:space="preserve">Medio</w:t>
            </w:r>
          </w:p>
        </w:tc>
        <w:tc>
          <w:tcPr>
            <w:tcW w:w="4544" w:type="dxa"/>
          </w:tcPr>
          <w:p>
            <w:pPr/>
            <w:r>
              <w:rPr>
                <w:b/>
              </w:rPr>
              <w:t xml:space="preserve">Aislar la integración detrás de una interfaz propia</w:t>
            </w:r>
            <w:r>
              <w:t xml:space="preserve">, de modo que pasar a emisión propia no obligue a tocar la caja. Es una decisión de diseño que se toma ahora y cuesta poco</w:t>
            </w:r>
          </w:p>
        </w:tc>
      </w:tr>
      <w:tr>
        <w:tc>
          <w:tcPr>
            <w:tcW w:w="850" w:type="dxa"/>
          </w:tcPr>
          <w:p>
            <w:pPr/>
            <w:r>
              <w:t xml:space="preserve">R16</w:t>
            </w:r>
          </w:p>
        </w:tc>
        <w:tc>
          <w:tcPr>
            <w:tcW w:w="2266" w:type="dxa"/>
          </w:tcPr>
          <w:p>
            <w:pPr/>
            <w:r>
              <w:t xml:space="preserve">Los plazos de nota de crédito y de comunicación de baja se tomaron de fuentes comerciales que se contradicen</w:t>
            </w:r>
          </w:p>
        </w:tc>
        <w:tc>
          <w:tcPr>
            <w:tcW w:w="850" w:type="dxa"/>
          </w:tcPr>
          <w:p>
            <w:pPr/>
            <w:r>
              <w:t xml:space="preserve">Alta</w:t>
            </w:r>
          </w:p>
        </w:tc>
        <w:tc>
          <w:tcPr>
            <w:tcW w:w="850" w:type="dxa"/>
          </w:tcPr>
          <w:p>
            <w:pPr/>
            <w:r>
              <w:t xml:space="preserve">Alto</w:t>
            </w:r>
          </w:p>
        </w:tc>
        <w:tc>
          <w:tcPr>
            <w:tcW w:w="4544" w:type="dxa"/>
          </w:tcPr>
          <w:p>
            <w:pPr/>
            <w:r>
              <w:rPr>
                <w:b/>
              </w:rPr>
              <w:t xml:space="preserve">No diseñar casos con esas cifras.</w:t>
            </w:r>
            <w:r>
              <w:t xml:space="preserve"> Confirmar cada plazo en el portal de SUNAT o con un contador antes de escribir el caso de prueba</w:t>
            </w:r>
          </w:p>
        </w:tc>
      </w:tr>
      <w:tr>
        <w:tc>
          <w:tcPr>
            <w:tcW w:w="850" w:type="dxa"/>
          </w:tcPr>
          <w:p>
            <w:pPr/>
            <w:r>
              <w:t xml:space="preserve">R17</w:t>
            </w:r>
          </w:p>
        </w:tc>
        <w:tc>
          <w:tcPr>
            <w:tcW w:w="2266" w:type="dxa"/>
          </w:tcPr>
          <w:p>
            <w:pPr/>
            <w:r>
              <w:t xml:space="preserve">Las reglas de negocio, escritas en TypeScript, C# y Dart, </w:t>
            </w:r>
            <w:r>
              <w:rPr>
                <w:b/>
              </w:rPr>
              <w:t xml:space="preserve">divergen entre sí</w:t>
            </w:r>
          </w:p>
        </w:tc>
        <w:tc>
          <w:tcPr>
            <w:tcW w:w="850" w:type="dxa"/>
          </w:tcPr>
          <w:p>
            <w:pPr/>
            <w:r>
              <w:t xml:space="preserve">Alta</w:t>
            </w:r>
          </w:p>
        </w:tc>
        <w:tc>
          <w:tcPr>
            <w:tcW w:w="850" w:type="dxa"/>
          </w:tcPr>
          <w:p>
            <w:pPr/>
            <w:r>
              <w:t xml:space="preserve">Alto</w:t>
            </w:r>
          </w:p>
        </w:tc>
        <w:tc>
          <w:tcPr>
            <w:tcW w:w="4544" w:type="dxa"/>
          </w:tcPr>
          <w:p>
            <w:pPr/>
            <w:r>
              <w:t xml:space="preserve">Es la causa raíz que hundió al sistema anterior, donde la misma regla difería entre formularios y vistas. Mitigación: un conjunto de casos en formato neutral, ejecutado en los tres lenguajes, que compara resultados al céntimo, y la regla de que ninguna regla nueva se da por terminada hasta estar en los tres</w:t>
            </w:r>
          </w:p>
        </w:tc>
      </w:tr>
      <w:tr>
        <w:tc>
          <w:tcPr>
            <w:tcW w:w="850" w:type="dxa"/>
          </w:tcPr>
          <w:p>
            <w:pPr/>
            <w:r>
              <w:t xml:space="preserve">R18</w:t>
            </w:r>
          </w:p>
        </w:tc>
        <w:tc>
          <w:tcPr>
            <w:tcW w:w="2266" w:type="dxa"/>
          </w:tcPr>
          <w:p>
            <w:pPr/>
            <w:r>
              <w:t xml:space="preserve">El ambiente de prueba es Windows 11 y el de producción será más antiguo</w:t>
            </w:r>
          </w:p>
        </w:tc>
        <w:tc>
          <w:tcPr>
            <w:tcW w:w="850" w:type="dxa"/>
          </w:tcPr>
          <w:p>
            <w:pPr/>
            <w:r>
              <w:t xml:space="preserve">Media</w:t>
            </w:r>
          </w:p>
        </w:tc>
        <w:tc>
          <w:tcPr>
            <w:tcW w:w="850" w:type="dxa"/>
          </w:tcPr>
          <w:p>
            <w:pPr/>
            <w:r>
              <w:t xml:space="preserve">Medio</w:t>
            </w:r>
          </w:p>
        </w:tc>
        <w:tc>
          <w:tcPr>
            <w:tcW w:w="4544" w:type="dxa"/>
          </w:tcPr>
          <w:p>
            <w:pPr/>
            <w:r>
              <w:t xml:space="preserve">Lo que va fluido en el equipo de prueba puede no ir en el de la tienda, sobre todo con el servidor Java del Facturador al lado. La prueba de consumo de recursos </w:t>
            </w:r>
            <w:r>
              <w:rPr>
                <w:b/>
              </w:rPr>
              <w:t xml:space="preserve">se repite sobre el equipo real</w:t>
            </w:r>
            <w:r>
              <w:t xml:space="preserve"> antes del corte</w:t>
            </w:r>
          </w:p>
        </w:tc>
      </w:tr>
      <w:tr>
        <w:tc>
          <w:tcPr>
            <w:tcW w:w="850" w:type="dxa"/>
          </w:tcPr>
          <w:p>
            <w:pPr/>
            <w:r>
              <w:t xml:space="preserve">R19</w:t>
            </w:r>
          </w:p>
        </w:tc>
        <w:tc>
          <w:tcPr>
            <w:tcW w:w="2266" w:type="dxa"/>
          </w:tcPr>
          <w:p>
            <w:pPr/>
            <w:r>
              <w:t xml:space="preserve">Las alertas de vencimiento nacen gritando, por los datos heredados de 2019</w:t>
            </w:r>
          </w:p>
        </w:tc>
        <w:tc>
          <w:tcPr>
            <w:tcW w:w="850" w:type="dxa"/>
          </w:tcPr>
          <w:p>
            <w:pPr/>
            <w:r>
              <w:rPr>
                <w:b/>
              </w:rPr>
              <w:t xml:space="preserve">Alta</w:t>
            </w:r>
          </w:p>
        </w:tc>
        <w:tc>
          <w:tcPr>
            <w:tcW w:w="850" w:type="dxa"/>
          </w:tcPr>
          <w:p>
            <w:pPr/>
            <w:r>
              <w:t xml:space="preserve">Alto</w:t>
            </w:r>
          </w:p>
        </w:tc>
        <w:tc>
          <w:tcPr>
            <w:tcW w:w="4544" w:type="dxa"/>
          </w:tcPr>
          <w:p>
            <w:pPr/>
            <w:r>
              <w:t xml:space="preserve">1,719 de 1,736 vencimientos vienen de un relleno en bloque. Una alerta que siempre suena se aprende a ignorar, y entonces no sirve cuando importa. El sistema </w:t>
            </w:r>
            <w:r>
              <w:rPr>
                <w:b/>
              </w:rPr>
              <w:t xml:space="preserve">no debe alertar sobre lotes sin verificar</w:t>
            </w:r>
            <w:r>
              <w:t xml:space="preserve">: solo sobre los que el conteo físico confirmó</w:t>
            </w:r>
          </w:p>
        </w:tc>
      </w:tr>
    </w:tbl>
    <w:p>
      <w:pPr/>
      <w:r>
        <w:t xml:space="preserve">Supuestos</w:t>
      </w:r>
    </w:p>
    <w:p>
      <w:pPr>
        <w:pStyle w:val="ListParagraph"/>
        <w:numPr>
          <w:ilvl w:val="0"/>
          <w:numId w:val="5"/>
        </w:numPr>
      </w:pPr>
      <w:r>
        <w:rPr>
          <w:b/>
        </w:rPr>
        <w:t xml:space="preserve">El sistema bajo prueba aún no existe.</w:t>
      </w:r>
      <w:r>
        <w:t xml:space="preserve"> Este documento define el alcance de calidad de un sistema en diseño; no es un plan de ejecución inmediata sobre una aplicación en línea.</w:t>
      </w:r>
    </w:p>
    <w:p>
      <w:pPr>
        <w:pStyle w:val="ListParagraph"/>
        <w:numPr>
          <w:ilvl w:val="0"/>
          <w:numId w:val="5"/>
        </w:numPr>
      </w:pPr>
      <w:r>
        <w:rPr>
          <w:b/>
        </w:rPr>
        <w:t xml:space="preserve">Un local, con posible crecimiento: confirmado.</w:t>
      </w:r>
      <w:r>
        <w:t xml:space="preserve"> Dejó de ser supuesto.</w:t>
      </w:r>
    </w:p>
    <w:p>
      <w:pPr>
        <w:pStyle w:val="ListParagraph"/>
        <w:numPr>
          <w:ilvl w:val="0"/>
          <w:numId w:val="5"/>
        </w:numPr>
      </w:pPr>
      <w:r>
        <w:rPr>
          <w:b/>
        </w:rPr>
        <w:t xml:space="preserve">El histórico de ventas no se conserva: decisión tomada.</w:t>
      </w:r>
      <w:r>
        <w:t xml:space="preserve"> Era el supuesto 2 del proyecto y queda cancelado. El sistema viejo se guarda en solo lectura como referencia de consulta, no como fuente de datos.</w:t>
      </w:r>
    </w:p>
    <w:p>
      <w:pPr>
        <w:pStyle w:val="ListParagraph"/>
        <w:numPr>
          <w:ilvl w:val="0"/>
          <w:numId w:val="5"/>
        </w:numPr>
      </w:pPr>
      <w:r>
        <w:rPr>
          <w:b/>
        </w:rPr>
        <w:t xml:space="preserve">El stock heredado es un punto de partida, no una verdad.</w:t>
      </w:r>
      <w:r>
        <w:t xml:space="preserve"> Entra marcado como sin verificar y el conteo físico lo corrige. El supuesto que hay que vigilar es que </w:t>
      </w:r>
      <w:r>
        <w:rPr>
          <w:b/>
        </w:rPr>
        <w:t xml:space="preserve">esa marca sea visible de verdad</w:t>
      </w:r>
      <w:r>
        <w:t xml:space="preserve"> y no un campo que nadie mira.</w:t>
      </w:r>
    </w:p>
    <w:p>
      <w:pPr>
        <w:pStyle w:val="ListParagraph"/>
        <w:numPr>
          <w:ilvl w:val="0"/>
          <w:numId w:val="5"/>
        </w:numPr>
      </w:pPr>
      <w:r>
        <w:t xml:space="preserve">Siguen sin confirmar dos del proyecto: que el sistema actual siga operando durante la migración, y que el negocio no sea solo farmacia.</w:t>
      </w:r>
    </w:p>
    <w:p>
      <w:pPr>
        <w:pStyle w:val="ListParagraph"/>
        <w:numPr>
          <w:ilvl w:val="0"/>
          <w:numId w:val="5"/>
        </w:numPr>
      </w:pPr>
      <w:r>
        <w:rPr>
          <w:b/>
        </w:rPr>
        <w:t xml:space="preserve">Que el Facturador acepte la serie y el número que la caja ya asignó.</w:t>
      </w:r>
      <w:r>
        <w:t xml:space="preserve"> El diseño se apoya en una serie por terminal y un correlativo que la caja lleva sola, sin consultar a nadie. Si el Facturador asignara él la numeración, ese principio se rompe y habría que rediseñar M03. </w:t>
      </w:r>
      <w:r>
        <w:rPr>
          <w:b/>
        </w:rPr>
        <w:t xml:space="preserve">Hay que verificarlo en la primera fase</w:t>
      </w:r>
      <w:r>
        <w:t xml:space="preserve">, antes de escribir código de caja.</w:t>
      </w:r>
    </w:p>
    <w:p>
      <w:pPr>
        <w:pStyle w:val="ListParagraph"/>
        <w:numPr>
          <w:ilvl w:val="0"/>
          <w:numId w:val="5"/>
        </w:numPr>
      </w:pPr>
      <w:r>
        <w:t xml:space="preserve">Una sola persona cubre el rol de QA, y es responsable de todos sus artefactos.</w:t>
      </w:r>
    </w:p>
    <w:p>
      <w:pPr>
        <w:pStyle w:val="Heading2"/>
      </w:pPr>
      <w:r>
        <w:t xml:space="preserve">8. Roles y responsabilidades</w:t>
      </w:r>
    </w:p>
    <w:p>
      <w:pPr/>
      <w:r>
        <w:t xml:space="preserve">En este proyecto una misma persona puede cubrir varios roles; el documento los nombra para que se sepa quién decide qué.</w:t>
      </w:r>
    </w:p>
    <w:tbl>
      <w:tblPr>
        <w:tblStyle w:val="TableGrid"/>
        <w:tblW w:w="0" w:type="auto"/>
        <w:tblLayout w:type="fixed"/>
        <w:tblLook w:val="04A0" w:firstRow="1" w:lastRow="0" w:firstColumn="0" w:lastColumn="0" w:noHBand="0" w:noVBand="1"/>
      </w:tblPr>
      <w:tblGrid>
        <w:gridCol w:w="850"/>
        <w:gridCol w:w="1223"/>
        <w:gridCol w:w="7287"/>
      </w:tblGrid>
      <w:tr>
        <w:trPr>
          <w:tblHeader/>
        </w:trPr>
        <w:tc>
          <w:tcPr>
            <w:tcW w:w="850" w:type="dxa"/>
            <w:shd w:val="clear" w:color="auto" w:fill="F2F2F2"/>
          </w:tcPr>
          <w:p>
            <w:pPr/>
            <w:r>
              <w:t xml:space="preserve">Rol</w:t>
            </w:r>
          </w:p>
        </w:tc>
        <w:tc>
          <w:tcPr>
            <w:tcW w:w="1223" w:type="dxa"/>
            <w:shd w:val="clear" w:color="auto" w:fill="F2F2F2"/>
          </w:tcPr>
          <w:p>
            <w:pPr/>
            <w:r>
              <w:t xml:space="preserve">Responsable</w:t>
            </w:r>
          </w:p>
        </w:tc>
        <w:tc>
          <w:tcPr>
            <w:tcW w:w="7287" w:type="dxa"/>
            <w:shd w:val="clear" w:color="auto" w:fill="F2F2F2"/>
          </w:tcPr>
          <w:p>
            <w:pPr/>
            <w:r>
              <w:t xml:space="preserve">Responsabilidades</w:t>
            </w:r>
          </w:p>
        </w:tc>
      </w:tr>
      <w:tr>
        <w:tc>
          <w:tcPr>
            <w:tcW w:w="850" w:type="dxa"/>
          </w:tcPr>
          <w:p>
            <w:pPr/>
            <w:r>
              <w:t xml:space="preserve">QA (autor)</w:t>
            </w:r>
          </w:p>
        </w:tc>
        <w:tc>
          <w:tcPr>
            <w:tcW w:w="1223" w:type="dxa"/>
          </w:tcPr>
          <w:p>
            <w:pPr/>
            <w:r>
              <w:t xml:space="preserve">Vladimir De La Cruz</w:t>
            </w:r>
          </w:p>
        </w:tc>
        <w:tc>
          <w:tcPr>
            <w:tcW w:w="7287" w:type="dxa"/>
          </w:tcPr>
          <w:p>
            <w:pPr/>
            <w:r>
              <w:t xml:space="preserve">Redactar este documento, diseñar y ejecutar casos, reportar defectos, mantener la matriz de trazabilidad y el repositorio de evidencias</w:t>
            </w:r>
          </w:p>
        </w:tc>
      </w:tr>
      <w:tr>
        <w:tc>
          <w:tcPr>
            <w:tcW w:w="850" w:type="dxa"/>
          </w:tcPr>
          <w:p>
            <w:pPr/>
            <w:r>
              <w:t xml:space="preserve">Desarrollo</w:t>
            </w:r>
          </w:p>
        </w:tc>
        <w:tc>
          <w:tcPr>
            <w:tcW w:w="1223" w:type="dxa"/>
          </w:tcPr>
          <w:p>
            <w:pPr/>
            <w:r>
              <w:t xml:space="preserve">Imtery</w:t>
            </w:r>
          </w:p>
        </w:tc>
        <w:tc>
          <w:tcPr>
            <w:tcW w:w="7287" w:type="dxa"/>
          </w:tcPr>
          <w:p>
            <w:pPr/>
            <w:r>
              <w:t xml:space="preserve">Pruebas unitarias del dominio </w:t>
            </w:r>
            <w:r>
              <w:rPr>
                <w:b/>
              </w:rPr>
              <w:t xml:space="preserve">en los tres lenguajes</w:t>
            </w:r>
            <w:r>
              <w:t xml:space="preserve">, del motor de sincronización, corrección de defectos, y la prueba técnica de impresión de la primera fase</w:t>
            </w:r>
          </w:p>
        </w:tc>
      </w:tr>
      <w:tr>
        <w:tc>
          <w:tcPr>
            <w:tcW w:w="850" w:type="dxa"/>
          </w:tcPr>
          <w:p>
            <w:pPr/>
            <w:r>
              <w:t xml:space="preserve">Dueño del negocio</w:t>
            </w:r>
          </w:p>
        </w:tc>
        <w:tc>
          <w:tcPr>
            <w:tcW w:w="1223" w:type="dxa"/>
          </w:tcPr>
          <w:p>
            <w:pPr/>
            <w:r>
              <w:t xml:space="preserve">MiFarma</w:t>
            </w:r>
          </w:p>
        </w:tc>
        <w:tc>
          <w:tcPr>
            <w:tcW w:w="7287" w:type="dxa"/>
          </w:tcPr>
          <w:p>
            <w:pPr/>
            <w:r>
              <w:t xml:space="preserve">Cerrar las decisiones pendientes, validar las pruebas de aceptación, revisar los 341 precios dudosos, </w:t>
            </w:r>
            <w:r>
              <w:rPr>
                <w:b/>
              </w:rPr>
              <w:t xml:space="preserve">decidir sobre los 3 grupos de fichas repetidas</w:t>
            </w:r>
            <w:r>
              <w:t xml:space="preserve"> y definir el árbol de categorías del catálogo</w:t>
            </w:r>
          </w:p>
        </w:tc>
      </w:tr>
      <w:tr>
        <w:tc>
          <w:tcPr>
            <w:tcW w:w="850" w:type="dxa"/>
          </w:tcPr>
          <w:p>
            <w:pPr/>
            <w:r>
              <w:t xml:space="preserve">Personal de caja</w:t>
            </w:r>
          </w:p>
        </w:tc>
        <w:tc>
          <w:tcPr>
            <w:tcW w:w="1223" w:type="dxa"/>
          </w:tcPr>
          <w:p>
            <w:pPr/>
            <w:r>
              <w:t xml:space="preserve">MiFarma (personal en turno)</w:t>
            </w:r>
          </w:p>
        </w:tc>
        <w:tc>
          <w:tcPr>
            <w:tcW w:w="7287" w:type="dxa"/>
          </w:tcPr>
          <w:p>
            <w:pPr/>
            <w:r>
              <w:t xml:space="preserve">Recorrer las pruebas de aceptación de un turno completo, </w:t>
            </w:r>
            <w:r>
              <w:rPr>
                <w:b/>
              </w:rPr>
              <w:t xml:space="preserve">ejecutar el conteo físico</w:t>
            </w:r>
            <w:r>
              <w:t xml:space="preserve"> que convierte el stock heredado en stock verificado, y señalar la fricción del cambio</w:t>
            </w:r>
          </w:p>
        </w:tc>
      </w:tr>
      <w:tr>
        <w:tc>
          <w:tcPr>
            <w:tcW w:w="850" w:type="dxa"/>
          </w:tcPr>
          <w:p>
            <w:pPr/>
            <w:r>
              <w:t xml:space="preserve">Líder de QA (revisor)</w:t>
            </w:r>
          </w:p>
        </w:tc>
        <w:tc>
          <w:tcPr>
            <w:tcW w:w="1223" w:type="dxa"/>
          </w:tcPr>
          <w:p>
            <w:pPr/>
            <w:r>
              <w:t xml:space="preserve">Instructor del curso (entregable académico)</w:t>
            </w:r>
          </w:p>
        </w:tc>
        <w:tc>
          <w:tcPr>
            <w:tcW w:w="7287" w:type="dxa"/>
          </w:tcPr>
          <w:p>
            <w:pPr/>
            <w:r>
              <w:t xml:space="preserve">Revisar el alcance, validar criterios y dar retroalimentación</w:t>
            </w:r>
          </w:p>
        </w:tc>
      </w:tr>
      <w:tr>
        <w:tc>
          <w:tcPr>
            <w:tcW w:w="850" w:type="dxa"/>
          </w:tcPr>
          <w:p>
            <w:pPr/>
            <w:r>
              <w:t xml:space="preserve">SUNAT</w:t>
            </w:r>
          </w:p>
        </w:tc>
        <w:tc>
          <w:tcPr>
            <w:tcW w:w="1223" w:type="dxa"/>
          </w:tcPr>
          <w:p>
            <w:pPr/>
            <w:r>
              <w:t xml:space="preserve">—</w:t>
            </w:r>
          </w:p>
        </w:tc>
        <w:tc>
          <w:tcPr>
            <w:tcW w:w="7287" w:type="dxa"/>
          </w:tcPr>
          <w:p>
            <w:pPr/>
            <w:r>
              <w:t xml:space="preserve">Provee el Facturador y el certificado, valida el comprobante y emite la constancia de recepción. </w:t>
            </w:r>
            <w:r>
              <w:rPr>
                <w:b/>
              </w:rPr>
              <w:t xml:space="preserve">No es un proveedor contratado: no hay a quién reclamar ni acuerdo de nivel de servicio.</w:t>
            </w:r>
            <w:r>
              <w:t xml:space="preserve"> Si el Facturador falla, es un incidente a reportar, no un defecto a corregir</w:t>
            </w:r>
          </w:p>
        </w:tc>
      </w:tr>
    </w:tbl>
    <w:p>
      <w:pPr/>
      <w:r>
        <w:t xml:space="preserve">Tres responsabilidades de esta tabla </w:t>
      </w:r>
      <w:r>
        <w:rPr>
          <w:b/>
        </w:rPr>
        <w:t xml:space="preserve">no las ejecuta el desarrollo y bloquean fases enteras</w:t>
      </w:r>
      <w:r>
        <w:t xml:space="preserve">: revisar los precios, clasificar el catálogo y hacer el conteo físico. Es el riesgo de planificación más frecuente en este tipo de proyecto, y por eso aparecen con responsable propio. El conteo gana peso en esta versión: al no migrarse las ventas, </w:t>
      </w:r>
      <w:r>
        <w:rPr>
          <w:b/>
        </w:rPr>
        <w:t xml:space="preserve">es la única fuente fiable de inventario que va a existir</w:t>
      </w:r>
      <w:r>
        <w:t xml:space="preserve">.</w:t>
      </w:r>
    </w:p>
    <w:p>
      <w:pPr>
        <w:pStyle w:val="Heading2"/>
      </w:pPr>
      <w:r>
        <w:t xml:space="preserve">9. Entregables y cronograma</w:t>
      </w:r>
    </w:p>
    <w:p>
      <w:pPr/>
      <w:r>
        <w:t xml:space="preserve">Dos cronogramas distintos, con propósitos distintos. El primero es el entregable académico del Módulo 1 del curso, con fechas. El segundo es el alcance de calidad del proyecto real, por fases y sin fechas.</w:t>
      </w:r>
    </w:p>
    <w:p>
      <w:pPr/>
      <w:r>
        <w:t xml:space="preserve">Entregables del Módulo 1 del curso</w:t>
      </w:r>
    </w:p>
    <w:tbl>
      <w:tblPr>
        <w:tblStyle w:val="TableGrid"/>
        <w:tblW w:w="0" w:type="auto"/>
        <w:tblLayout w:type="fixed"/>
        <w:tblLook w:val="04A0" w:firstRow="1" w:lastRow="0" w:firstColumn="0" w:lastColumn="0" w:noHBand="0" w:noVBand="1"/>
      </w:tblPr>
      <w:tblGrid>
        <w:gridCol w:w="850"/>
        <w:gridCol w:w="1213"/>
        <w:gridCol w:w="4409"/>
        <w:gridCol w:w="2888"/>
      </w:tblGrid>
      <w:tr>
        <w:trPr>
          <w:tblHeader/>
        </w:trPr>
        <w:tc>
          <w:tcPr>
            <w:tcW w:w="850" w:type="dxa"/>
            <w:shd w:val="clear" w:color="auto" w:fill="F2F2F2"/>
          </w:tcPr>
          <w:p>
            <w:pPr/>
            <w:r>
              <w:t xml:space="preserve">Semana</w:t>
            </w:r>
          </w:p>
        </w:tc>
        <w:tc>
          <w:tcPr>
            <w:tcW w:w="1213" w:type="dxa"/>
            <w:shd w:val="clear" w:color="auto" w:fill="F2F2F2"/>
          </w:tcPr>
          <w:p>
            <w:pPr/>
            <w:r>
              <w:t xml:space="preserve">Fechas</w:t>
            </w:r>
          </w:p>
        </w:tc>
        <w:tc>
          <w:tcPr>
            <w:tcW w:w="4409" w:type="dxa"/>
            <w:shd w:val="clear" w:color="auto" w:fill="F2F2F2"/>
          </w:tcPr>
          <w:p>
            <w:pPr/>
            <w:r>
              <w:t xml:space="preserve">Entregable</w:t>
            </w:r>
          </w:p>
        </w:tc>
        <w:tc>
          <w:tcPr>
            <w:tcW w:w="2888" w:type="dxa"/>
            <w:shd w:val="clear" w:color="auto" w:fill="F2F2F2"/>
          </w:tcPr>
          <w:p>
            <w:pPr/>
            <w:r>
              <w:t xml:space="preserve">Cubre de este documento</w:t>
            </w:r>
          </w:p>
        </w:tc>
      </w:tr>
      <w:tr>
        <w:tc>
          <w:tcPr>
            <w:tcW w:w="850" w:type="dxa"/>
          </w:tcPr>
          <w:p>
            <w:pPr/>
            <w:r>
              <w:t xml:space="preserve">1</w:t>
            </w:r>
          </w:p>
        </w:tc>
        <w:tc>
          <w:tcPr>
            <w:tcW w:w="1213" w:type="dxa"/>
          </w:tcPr>
          <w:p>
            <w:pPr/>
            <w:r>
              <w:t xml:space="preserve">30-sep al 05-oct-2026</w:t>
            </w:r>
          </w:p>
        </w:tc>
        <w:tc>
          <w:tcPr>
            <w:tcW w:w="4409" w:type="dxa"/>
          </w:tcPr>
          <w:p>
            <w:pPr/>
            <w:r>
              <w:t xml:space="preserve">Repositorio inicial del proyecto en Git, con README y documento de alcance de calidad</w:t>
            </w:r>
          </w:p>
        </w:tc>
        <w:tc>
          <w:tcPr>
            <w:tcW w:w="2888" w:type="dxa"/>
          </w:tcPr>
          <w:p>
            <w:pPr/>
            <w:r>
              <w:t xml:space="preserve">Este documento y la estructura del repositorio</w:t>
            </w:r>
          </w:p>
        </w:tc>
      </w:tr>
      <w:tr>
        <w:tc>
          <w:tcPr>
            <w:tcW w:w="850" w:type="dxa"/>
          </w:tcPr>
          <w:p>
            <w:pPr/>
            <w:r>
              <w:t xml:space="preserve">2</w:t>
            </w:r>
          </w:p>
        </w:tc>
        <w:tc>
          <w:tcPr>
            <w:tcW w:w="1213" w:type="dxa"/>
          </w:tcPr>
          <w:p>
            <w:pPr/>
            <w:r>
              <w:t xml:space="preserve">07-oct al 12-oct-2026</w:t>
            </w:r>
          </w:p>
        </w:tc>
        <w:tc>
          <w:tcPr>
            <w:tcW w:w="4409" w:type="dxa"/>
          </w:tcPr>
          <w:p>
            <w:pPr/>
            <w:r>
              <w:t xml:space="preserve">Documento de casos de prueba manuales v1, con los flujos críticos mapeados</w:t>
            </w:r>
          </w:p>
        </w:tc>
        <w:tc>
          <w:tcPr>
            <w:tcW w:w="2888" w:type="dxa"/>
          </w:tcPr>
          <w:p>
            <w:pPr/>
            <w:r>
              <w:t xml:space="preserve">Módulos de prioridad alta, empezando por M01 a M04</w:t>
            </w:r>
          </w:p>
        </w:tc>
      </w:tr>
      <w:tr>
        <w:tc>
          <w:tcPr>
            <w:tcW w:w="850" w:type="dxa"/>
          </w:tcPr>
          <w:p>
            <w:pPr/>
            <w:r>
              <w:t xml:space="preserve">3</w:t>
            </w:r>
          </w:p>
        </w:tc>
        <w:tc>
          <w:tcPr>
            <w:tcW w:w="1213" w:type="dxa"/>
          </w:tcPr>
          <w:p>
            <w:pPr/>
            <w:r>
              <w:t xml:space="preserve">14-oct al 19-oct-2026</w:t>
            </w:r>
          </w:p>
        </w:tc>
        <w:tc>
          <w:tcPr>
            <w:tcW w:w="4409" w:type="dxa"/>
          </w:tcPr>
          <w:p>
            <w:pPr/>
            <w:r>
              <w:t xml:space="preserve">Plan de pruebas, matriz de trazabilidad y reporte de al menos 5 defectos documentados</w:t>
            </w:r>
          </w:p>
        </w:tc>
        <w:tc>
          <w:tcPr>
            <w:tcW w:w="2888" w:type="dxa"/>
          </w:tcPr>
          <w:p>
            <w:pPr/>
            <w:r>
              <w:t xml:space="preserve">Criterios de salida de la sección 6</w:t>
            </w:r>
          </w:p>
        </w:tc>
      </w:tr>
    </w:tbl>
    <w:p>
      <w:pPr/>
      <w:r>
        <w:rPr>
          <w:b/>
        </w:rPr>
        <w:t xml:space="preserve">Sobre los 5 defectos del entregable.</w:t>
      </w:r>
      <w:r>
        <w:t xml:space="preserve"> MiFarma todavía no se puede ejecutar, así que los defectos no se pueden descubrir ejecutándolo. Se documentan sobre los </w:t>
      </w:r>
      <w:r>
        <w:rPr>
          <w:b/>
        </w:rPr>
        <w:t xml:space="preserve">dieciséis hallazgos del sistema actual</w:t>
      </w:r>
      <w:r>
        <w:t xml:space="preserve">, que son defectos reales, con su código, su evidencia medida en los datos de producción y sus pasos para reproducir. Esos mismos dieciséis se convierten después en la suite de regresión del sistema nuevo, de modo que el entregable académico y el proyecto real no se desvían: es el mismo trabajo.</w:t>
      </w:r>
    </w:p>
    <w:p>
      <w:pPr/>
      <w:r>
        <w:t xml:space="preserve">Alcance de calidad por fase del proyecto</w:t>
      </w:r>
    </w:p>
    <w:p>
      <w:pPr/>
      <w:r>
        <w:t xml:space="preserve">Sin fechas, a propósito: la hoja de ruta no las lleva mientras no se sepa quién desarrolla y con qué dedicación. Una cifra sin fundamento se convierte después en un compromiso.</w:t>
      </w:r>
    </w:p>
    <w:tbl>
      <w:tblPr>
        <w:tblStyle w:val="TableGrid"/>
        <w:tblW w:w="0" w:type="auto"/>
        <w:tblLayout w:type="fixed"/>
        <w:tblLook w:val="04A0" w:firstRow="1" w:lastRow="0" w:firstColumn="0" w:lastColumn="0" w:noHBand="0" w:noVBand="1"/>
      </w:tblPr>
      <w:tblGrid>
        <w:gridCol w:w="850"/>
        <w:gridCol w:w="1053"/>
        <w:gridCol w:w="6607"/>
        <w:gridCol w:w="850"/>
      </w:tblGrid>
      <w:tr>
        <w:trPr>
          <w:tblHeader/>
        </w:trPr>
        <w:tc>
          <w:tcPr>
            <w:tcW w:w="850" w:type="dxa"/>
            <w:shd w:val="clear" w:color="auto" w:fill="F2F2F2"/>
          </w:tcPr>
          <w:p>
            <w:pPr/>
            <w:r>
              <w:t xml:space="preserve">Fase</w:t>
            </w:r>
          </w:p>
        </w:tc>
        <w:tc>
          <w:tcPr>
            <w:tcW w:w="1053" w:type="dxa"/>
            <w:shd w:val="clear" w:color="auto" w:fill="F2F2F2"/>
          </w:tcPr>
          <w:p>
            <w:pPr/>
            <w:r>
              <w:t xml:space="preserve">Qué se construye</w:t>
            </w:r>
          </w:p>
        </w:tc>
        <w:tc>
          <w:tcPr>
            <w:tcW w:w="6607" w:type="dxa"/>
            <w:shd w:val="clear" w:color="auto" w:fill="F2F2F2"/>
          </w:tcPr>
          <w:p>
            <w:pPr/>
            <w:r>
              <w:t xml:space="preserve">Qué se prueba</w:t>
            </w:r>
          </w:p>
        </w:tc>
        <w:tc>
          <w:tcPr>
            <w:tcW w:w="850" w:type="dxa"/>
            <w:shd w:val="clear" w:color="auto" w:fill="F2F2F2"/>
          </w:tcPr>
          <w:p>
            <w:pPr/>
            <w:r>
              <w:t xml:space="preserve">Módulos</w:t>
            </w:r>
          </w:p>
        </w:tc>
      </w:tr>
      <w:tr>
        <w:tc>
          <w:tcPr>
            <w:tcW w:w="850" w:type="dxa"/>
          </w:tcPr>
          <w:p>
            <w:pPr/>
            <w:r>
              <w:t xml:space="preserve">0</w:t>
            </w:r>
          </w:p>
        </w:tc>
        <w:tc>
          <w:tcPr>
            <w:tcW w:w="1053" w:type="dxa"/>
          </w:tcPr>
          <w:p>
            <w:pPr/>
            <w:r>
              <w:t xml:space="preserve">Respaldo externo de los datos de producción</w:t>
            </w:r>
          </w:p>
        </w:tc>
        <w:tc>
          <w:tcPr>
            <w:tcW w:w="6607" w:type="dxa"/>
          </w:tcPr>
          <w:p>
            <w:pPr/>
            <w:r>
              <w:t xml:space="preserve">Que la copia se puede restaurar y abrir. Es verificación, no trámite</w:t>
            </w:r>
          </w:p>
        </w:tc>
        <w:tc>
          <w:tcPr>
            <w:tcW w:w="850" w:type="dxa"/>
          </w:tcPr>
          <w:p>
            <w:pPr/>
            <w:r>
              <w:t xml:space="preserve">Precondición de todo</w:t>
            </w:r>
          </w:p>
        </w:tc>
      </w:tr>
      <w:tr>
        <w:tc>
          <w:tcPr>
            <w:tcW w:w="850" w:type="dxa"/>
          </w:tcPr>
          <w:p>
            <w:pPr/>
            <w:r>
              <w:t xml:space="preserve">1</w:t>
            </w:r>
          </w:p>
        </w:tc>
        <w:tc>
          <w:tcPr>
            <w:tcW w:w="1053" w:type="dxa"/>
          </w:tcPr>
          <w:p>
            <w:pPr/>
            <w:r>
              <w:t xml:space="preserve">Decisiones y pruebas técnicas</w:t>
            </w:r>
          </w:p>
        </w:tc>
        <w:tc>
          <w:tcPr>
            <w:tcW w:w="6607" w:type="dxa"/>
          </w:tcPr>
          <w:p>
            <w:pPr/>
            <w:r>
              <w:t xml:space="preserve">Impresión de un ticket real; escaneo que llega a la aplicación; trámite del certificado iniciado; Facturador instalado y emitiendo una boleta contra el ambiente de pruebas de SUNAT; </w:t>
            </w:r>
            <w:r>
              <w:rPr>
                <w:b/>
              </w:rPr>
              <w:t xml:space="preserve">medición del consumo del Facturador conviviendo con la caja</w:t>
            </w:r>
            <w:r>
              <w:t xml:space="preserve">; y verificación de que acepta la serie y el número que la caja asigna</w:t>
            </w:r>
          </w:p>
        </w:tc>
        <w:tc>
          <w:tcPr>
            <w:tcW w:w="850" w:type="dxa"/>
          </w:tcPr>
          <w:p>
            <w:pPr/>
            <w:r>
              <w:t xml:space="preserve">M03, M08</w:t>
            </w:r>
          </w:p>
        </w:tc>
      </w:tr>
      <w:tr>
        <w:tc>
          <w:tcPr>
            <w:tcW w:w="850" w:type="dxa"/>
          </w:tcPr>
          <w:p>
            <w:pPr/>
            <w:r>
              <w:t xml:space="preserve">2</w:t>
            </w:r>
          </w:p>
        </w:tc>
        <w:tc>
          <w:tcPr>
            <w:tcW w:w="1053" w:type="dxa"/>
          </w:tcPr>
          <w:p>
            <w:pPr/>
            <w:r>
              <w:t xml:space="preserve">Dominio y migración del catálogo</w:t>
            </w:r>
          </w:p>
        </w:tc>
        <w:tc>
          <w:tcPr>
            <w:tcW w:w="6607" w:type="dxa"/>
          </w:tcPr>
          <w:p>
            <w:pPr/>
            <w:r>
              <w:t xml:space="preserve">Pruebas unitarias del dominio </w:t>
            </w:r>
            <w:r>
              <w:rPr>
                <w:b/>
              </w:rPr>
              <w:t xml:space="preserve">en los tres lenguajes</w:t>
            </w:r>
            <w:r>
              <w:t xml:space="preserve">, y su conformidad entre sí. Comprobaciones automatizadas del catálogo y del stock, reejecutables desde cero, con las pruebas negativas de fusión</w:t>
            </w:r>
          </w:p>
        </w:tc>
        <w:tc>
          <w:tcPr>
            <w:tcW w:w="850" w:type="dxa"/>
          </w:tcPr>
          <w:p>
            <w:pPr/>
            <w:r>
              <w:t xml:space="preserve">M01, M14, M18, M19</w:t>
            </w:r>
          </w:p>
        </w:tc>
      </w:tr>
      <w:tr>
        <w:tc>
          <w:tcPr>
            <w:tcW w:w="850" w:type="dxa"/>
          </w:tcPr>
          <w:p>
            <w:pPr/>
            <w:r>
              <w:t xml:space="preserve">3</w:t>
            </w:r>
          </w:p>
        </w:tc>
        <w:tc>
          <w:tcPr>
            <w:tcW w:w="1053" w:type="dxa"/>
          </w:tcPr>
          <w:p>
            <w:pPr/>
            <w:r>
              <w:t xml:space="preserve">La caja</w:t>
            </w:r>
          </w:p>
        </w:tc>
        <w:tc>
          <w:tcPr>
            <w:tcW w:w="6607" w:type="dxa"/>
          </w:tcPr>
          <w:p>
            <w:pPr/>
            <w:r>
              <w:t xml:space="preserve">Casos de sistema y de aceptación de la venta: un turno completo, sin conexión, en un terminal</w:t>
            </w:r>
          </w:p>
        </w:tc>
        <w:tc>
          <w:tcPr>
            <w:tcW w:w="850" w:type="dxa"/>
          </w:tcPr>
          <w:p>
            <w:pPr/>
            <w:r>
              <w:t xml:space="preserve">M02 a M06, M09, M10</w:t>
            </w:r>
          </w:p>
        </w:tc>
      </w:tr>
      <w:tr>
        <w:tc>
          <w:tcPr>
            <w:tcW w:w="850" w:type="dxa"/>
          </w:tcPr>
          <w:p>
            <w:pPr/>
            <w:r>
              <w:t xml:space="preserve">4</w:t>
            </w:r>
          </w:p>
        </w:tc>
        <w:tc>
          <w:tcPr>
            <w:tcW w:w="1053" w:type="dxa"/>
          </w:tcPr>
          <w:p>
            <w:pPr/>
            <w:r>
              <w:t xml:space="preserve">Servidor, sincronización y SUNAT</w:t>
            </w:r>
          </w:p>
        </w:tc>
        <w:tc>
          <w:tcPr>
            <w:tcW w:w="6607" w:type="dxa"/>
          </w:tcPr>
          <w:p>
            <w:pPr/>
            <w:r>
              <w:t xml:space="preserve">Los diez casos límite de sincronización; el contrato de archivos con el Facturador y sus casos de rechazo; el resumen diario aceptado; la reconciliación entre las dos bases; y una restauración de respaldo efectivamente ejecutada, que incluya las carpetas del Facturador</w:t>
            </w:r>
          </w:p>
        </w:tc>
        <w:tc>
          <w:tcPr>
            <w:tcW w:w="850" w:type="dxa"/>
          </w:tcPr>
          <w:p>
            <w:pPr/>
            <w:r>
              <w:t xml:space="preserve">M07, M08, M15, M17</w:t>
            </w:r>
          </w:p>
        </w:tc>
      </w:tr>
      <w:tr>
        <w:tc>
          <w:tcPr>
            <w:tcW w:w="850" w:type="dxa"/>
          </w:tcPr>
          <w:p>
            <w:pPr/>
            <w:r>
              <w:t xml:space="preserve">5</w:t>
            </w:r>
          </w:p>
        </w:tc>
        <w:tc>
          <w:tcPr>
            <w:tcW w:w="1053" w:type="dxa"/>
          </w:tcPr>
          <w:p>
            <w:pPr/>
            <w:r>
              <w:t xml:space="preserve">Panel web</w:t>
            </w:r>
          </w:p>
        </w:tc>
        <w:tc>
          <w:tcPr>
            <w:tcW w:w="6607" w:type="dxa"/>
          </w:tcPr>
          <w:p>
            <w:pPr/>
            <w:r>
              <w:t xml:space="preserve">Reportes contra cifras conocidas, rentabilidad reproducible con costo histórico, el escalado de la vigilancia de sincronización, y que los reportes </w:t>
            </w:r>
            <w:r>
              <w:rPr>
                <w:b/>
              </w:rPr>
              <w:t xml:space="preserve">marquen el dato heredado</w:t>
            </w:r>
            <w:r>
              <w:t xml:space="preserve"> en lugar de mezclarlo con el verificado</w:t>
            </w:r>
          </w:p>
        </w:tc>
        <w:tc>
          <w:tcPr>
            <w:tcW w:w="850" w:type="dxa"/>
          </w:tcPr>
          <w:p>
            <w:pPr/>
            <w:r>
              <w:t xml:space="preserve">M11, M12, M16, M19</w:t>
            </w:r>
          </w:p>
        </w:tc>
      </w:tr>
      <w:tr>
        <w:tc>
          <w:tcPr>
            <w:tcW w:w="850" w:type="dxa"/>
          </w:tcPr>
          <w:p>
            <w:pPr/>
            <w:r>
              <w:t xml:space="preserve">6</w:t>
            </w:r>
          </w:p>
        </w:tc>
        <w:tc>
          <w:tcPr>
            <w:tcW w:w="1053" w:type="dxa"/>
          </w:tcPr>
          <w:p>
            <w:pPr/>
            <w:r>
              <w:t xml:space="preserve">Móvil e inventario</w:t>
            </w:r>
          </w:p>
        </w:tc>
        <w:tc>
          <w:tcPr>
            <w:tcW w:w="6607" w:type="dxa"/>
          </w:tcPr>
          <w:p>
            <w:pPr/>
            <w:r>
              <w:t xml:space="preserve">Escaneo con dispositivo real, captura masiva de códigos, y el </w:t>
            </w:r>
            <w:r>
              <w:rPr>
                <w:b/>
              </w:rPr>
              <w:t xml:space="preserve">conteo físico que convierte cada saldo heredado en saldo verificado</w:t>
            </w:r>
            <w:r>
              <w:t xml:space="preserve">, con sus diferencias registradas. Al no migrarse las ventas, esta fase deja de ser la última en importancia y pasa a ser la que hace que el inventario signifique algo</w:t>
            </w:r>
          </w:p>
        </w:tc>
        <w:tc>
          <w:tcPr>
            <w:tcW w:w="850" w:type="dxa"/>
          </w:tcPr>
          <w:p>
            <w:pPr/>
            <w:r>
              <w:t xml:space="preserve">M13, M19</w:t>
            </w:r>
          </w:p>
        </w:tc>
      </w:tr>
      <w:tr>
        <w:tc>
          <w:tcPr>
            <w:tcW w:w="850" w:type="dxa"/>
          </w:tcPr>
          <w:p>
            <w:pPr/>
            <w:r>
              <w:t xml:space="preserve">7</w:t>
            </w:r>
          </w:p>
        </w:tc>
        <w:tc>
          <w:tcPr>
            <w:tcW w:w="1053" w:type="dxa"/>
          </w:tcPr>
          <w:p>
            <w:pPr/>
            <w:r>
              <w:t xml:space="preserve">Corte</w:t>
            </w:r>
          </w:p>
        </w:tc>
        <w:tc>
          <w:tcPr>
            <w:tcW w:w="6607" w:type="dxa"/>
          </w:tcPr>
          <w:p>
            <w:pPr/>
            <w:r>
              <w:t xml:space="preserve">Operación en paralelo: las ventas del día de los dos sistemas se comparan día por día. </w:t>
            </w:r>
            <w:r>
              <w:rPr>
                <w:b/>
              </w:rPr>
              <w:t xml:space="preserve">No se comparan históricos</w:t>
            </w:r>
            <w:r>
              <w:t xml:space="preserve">, porque no se migró ninguno</w:t>
            </w:r>
          </w:p>
        </w:tc>
        <w:tc>
          <w:tcPr>
            <w:tcW w:w="850" w:type="dxa"/>
          </w:tcPr>
          <w:p>
            <w:pPr/>
            <w:r>
              <w:t xml:space="preserve">Aceptación final</w:t>
            </w:r>
          </w:p>
        </w:tc>
      </w:tr>
    </w:tbl>
    <w:p>
      <w:pPr/>
      <w:r>
        <w:t xml:space="preserve">El alcance se revisa al cierre de cada fase: si cambia, se emite una nueva versión de este documento y se anota en el historial de versiones.</w:t>
      </w:r>
    </w:p>
    <w:p>
      <w:pPr>
        <w:pStyle w:val="Heading2"/>
      </w:pPr>
      <w:r>
        <w:t xml:space="preserve">10. Referencias</w:t>
      </w:r>
    </w:p>
    <w:p>
      <w:pPr>
        <w:pStyle w:val="ListParagraph"/>
        <w:numPr>
          <w:ilvl w:val="0"/>
          <w:numId w:val="6"/>
        </w:numPr>
      </w:pPr>
      <w:r>
        <w:t xml:space="preserve">Documentación de la migración, en la bóveda del proyecto: contexto y alcance del sistema actual, hallazgos críticos, calidad de datos, requisitos, arquitectura propuesta, sincronización offline, plan de migración de datos, hoja de ruta por fases y decisiones pendientes. Es la fuente de todos los requisitos y de todas las cifras de este documento.</w:t>
      </w:r>
    </w:p>
    <w:p>
      <w:pPr>
        <w:pStyle w:val="ListParagraph"/>
        <w:numPr>
          <w:ilvl w:val="0"/>
          <w:numId w:val="6"/>
        </w:numPr>
      </w:pPr>
      <w:r>
        <w:t xml:space="preserve">Documento de Alcance de Calidad — Toolshop: documento modelo del curso, del que se toman las secciones y el formato.</w:t>
      </w:r>
    </w:p>
    <w:p>
      <w:pPr>
        <w:pStyle w:val="ListParagraph"/>
        <w:numPr>
          <w:ilvl w:val="0"/>
          <w:numId w:val="6"/>
        </w:numPr>
      </w:pPr>
      <w:r>
        <w:t xml:space="preserve">Script de análisis de datos del proyecto: produce sobre el origen las cifras con las que se verifica la migración, de modo que la comparación es directa y reproducible.</w:t>
      </w:r>
    </w:p>
    <w:p>
      <w:pPr>
        <w:pStyle w:val="ListParagraph"/>
        <w:numPr>
          <w:ilvl w:val="0"/>
          <w:numId w:val="6"/>
        </w:numPr>
      </w:pPr>
      <w:r>
        <w:rPr>
          <w:b/>
        </w:rPr>
        <w:t xml:space="preserve">Medición de duplicados del catálogo</w:t>
      </w:r>
      <w:r>
        <w:t xml:space="preserve">, hecha para esta versión sobre los DBF de producción en modo de solo lectura: 3 grupos con descripción repetida y 48 pares con más del 90 % de similitud que resultan ser productos distintos. Es el origen de las cifras de M18 y de su conjunto de pruebas negativas.</w:t>
      </w:r>
    </w:p>
    <w:p>
      <w:pPr>
        <w:pStyle w:val="ListParagraph"/>
        <w:numPr>
          <w:ilvl w:val="0"/>
          <w:numId w:val="6"/>
        </w:numPr>
      </w:pPr>
      <w:r>
        <w:t xml:space="preserve">Normativa de SUNAT sobre comprobantes de pago electrónicos: plazo de envío de la factura de 3 días calendario, y de la boleta por resumen diario hasta el séptimo día calendario siguiente. </w:t>
      </w:r>
      <w:r>
        <w:rPr>
          <w:b/>
        </w:rPr>
        <w:t xml:space="preserve">Referencia exacta por confirmar</w:t>
      </w:r>
      <w:r>
        <w:t xml:space="preserve">, junto con la condición de emisor electrónico del negocio.</w:t>
      </w:r>
    </w:p>
    <w:p>
      <w:pPr>
        <w:pStyle w:val="ListParagraph"/>
        <w:numPr>
          <w:ilvl w:val="0"/>
          <w:numId w:val="6"/>
        </w:numPr>
      </w:pPr>
      <w:r>
        <w:rPr>
          <w:b/>
        </w:rPr>
        <w:t xml:space="preserve">Plazos de la nota de crédito y de la comunicación de baja: por confirmar.</w:t>
      </w:r>
      <w:r>
        <w:t xml:space="preserve"> Las fuentes consultadas son blogs de proveedores comerciales y </w:t>
      </w:r>
      <w:r>
        <w:rPr>
          <w:b/>
        </w:rPr>
        <w:t xml:space="preserve">se contradicen entre sí</w:t>
      </w:r>
      <w:r>
        <w:t xml:space="preserve">, de modo que no se recogen aquí. Hay que confirmarlos en el portal de SUNAT o con un contador antes de diseñar los casos de M05 y M08.</w:t>
      </w:r>
    </w:p>
    <w:p>
      <w:pPr>
        <w:pStyle w:val="ListParagraph"/>
        <w:numPr>
          <w:ilvl w:val="0"/>
          <w:numId w:val="6"/>
        </w:numPr>
      </w:pPr>
      <w:r>
        <w:t xml:space="preserve">Documentación técnica de SUNAT consultada para esta versión:</w:t>
      </w:r>
    </w:p>
    <w:p>
      <w:pPr>
        <w:pStyle w:val="ListParagraph"/>
        <w:numPr>
          <w:ilvl w:val="0"/>
          <w:numId w:val="6"/>
        </w:numPr>
      </w:pPr>
      <w:r>
        <w:t xml:space="preserve">*Manual del Programador*, servicios web de comprobantes de pago electrónicos: cpe.sunat.gob.pe/sites/default/files/inline-files/manual_programador (1).pdf</w:t>
      </w:r>
    </w:p>
    <w:p>
      <w:pPr>
        <w:pStyle w:val="ListParagraph"/>
        <w:numPr>
          <w:ilvl w:val="0"/>
          <w:numId w:val="6"/>
        </w:numPr>
      </w:pPr>
      <w:r>
        <w:t xml:space="preserve">*Certificado Digital*: cpe.sunat.gob.pe/certificado-digital</w:t>
      </w:r>
    </w:p>
    <w:p>
      <w:pPr>
        <w:pStyle w:val="ListParagraph"/>
        <w:numPr>
          <w:ilvl w:val="0"/>
          <w:numId w:val="6"/>
        </w:numPr>
      </w:pPr>
      <w:r>
        <w:t xml:space="preserve">*Obtener certificado digital tributario*, trámite: gob.pe/26725-obtener-certificado-digital-tributario</w:t>
      </w:r>
    </w:p>
    <w:p>
      <w:pPr>
        <w:pStyle w:val="ListParagraph"/>
        <w:numPr>
          <w:ilvl w:val="0"/>
          <w:numId w:val="6"/>
        </w:numPr>
      </w:pPr>
      <w:r>
        <w:t xml:space="preserve">*Sistema Facturador — Instructivo*: cdn.www.gob.pe/uploads/document/file/1864219/Facturador Sunat - Instructivo.pdf</w:t>
      </w:r>
    </w:p>
    <w:p>
      <w:pPr>
        <w:pStyle w:val="ListParagraph"/>
        <w:numPr>
          <w:ilvl w:val="0"/>
          <w:numId w:val="6"/>
        </w:numPr>
      </w:pPr>
      <w:r>
        <w:t xml:space="preserve">*Especificaciones Técnicas de Instalación* del Sistema Facturador: cpe.sunat.gob.pe/sites/default/files/inline-files/Especificaciones Técnicas de Instalación (1).pdf</w:t>
      </w:r>
    </w:p>
    <w:p>
      <w:pPr>
        <w:pStyle w:val="ListParagraph"/>
        <w:numPr>
          <w:ilvl w:val="0"/>
          <w:numId w:val="6"/>
        </w:numPr>
      </w:pPr>
      <w:r>
        <w:t xml:space="preserve">Orientación de SUNAT, *Requisitos para su uso* y *Operatividad*: orientacion.sunat.gob.pe/6785-03-requisitos-para-su-uso y orientacion.sunat.gob.pe/3529-operatividad</w:t>
      </w:r>
    </w:p>
    <w:p>
      <w:pPr>
        <w:pStyle w:val="ListParagraph"/>
        <w:numPr>
          <w:ilvl w:val="0"/>
          <w:numId w:val="6"/>
        </w:numPr>
      </w:pPr>
      <w:r>
        <w:rPr>
          <w:b/>
        </w:rPr>
        <w:t xml:space="preserve">La versión vigente del Facturador y de su documentación se descarga del portal de SUNAT.</w:t>
      </w:r>
      <w:r>
        <w:t xml:space="preserve"> Varias guías que circulan en internet describen versiones de 2016 a 2019 y no sirven como referencia técnica.</w:t>
      </w:r>
    </w:p>
    <w:p>
      <w:pPr>
        <w:pStyle w:val="ListParagraph"/>
        <w:numPr>
          <w:ilvl w:val="0"/>
          <w:numId w:val="6"/>
        </w:numPr>
      </w:pPr>
      <w:r>
        <w:t xml:space="preserve">Malla curricular del curso QA Automatizador (Tecsup Virtual): objetivos y entregables del Módulo 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practicesoftwaretesting.com" TargetMode="External"/><Relationship Id="rId4" Type="http://schemas.openxmlformats.org/officeDocument/2006/relationships/hyperlink" Target="https://api.practicesoftwaretesting.com/api/documentation" TargetMode="External"/><Relationship Id="rId5" Type="http://schemas.openxmlformats.org/officeDocument/2006/relationships/hyperlink" Target="https://github.com/testsmith-io/practice-software-testin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Documento de Alcance de Calidad — MiFarma</dc:title>
  <cp:revision>1</cp:revision>
</cp:coreProperties>
</file>