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EF" w:rsidRDefault="00DB2739">
      <w:pPr>
        <w:rPr>
          <w:b/>
        </w:rPr>
      </w:pPr>
      <w:r w:rsidRPr="00DB2739">
        <w:rPr>
          <w:b/>
        </w:rPr>
        <w:t>Adding a new</w:t>
      </w:r>
      <w:r w:rsidR="00B84388">
        <w:rPr>
          <w:b/>
        </w:rPr>
        <w:t xml:space="preserve"> “records”</w:t>
      </w:r>
      <w:r w:rsidRPr="00DB2739">
        <w:rPr>
          <w:b/>
        </w:rPr>
        <w:t xml:space="preserve"> </w:t>
      </w:r>
      <w:r w:rsidR="006D6F24">
        <w:rPr>
          <w:b/>
        </w:rPr>
        <w:t>variable</w:t>
      </w:r>
      <w:r w:rsidR="00B84388">
        <w:rPr>
          <w:b/>
        </w:rPr>
        <w:t xml:space="preserve"> and “policy” variable</w:t>
      </w:r>
      <w:r w:rsidR="006D6F24">
        <w:rPr>
          <w:b/>
        </w:rPr>
        <w:t xml:space="preserve"> </w:t>
      </w:r>
      <w:r w:rsidRPr="00DB2739">
        <w:rPr>
          <w:b/>
        </w:rPr>
        <w:t>in PIT Microsimulation</w:t>
      </w:r>
    </w:p>
    <w:p w:rsidR="00DB2739" w:rsidRDefault="00DB2739"/>
    <w:p w:rsidR="00B84388" w:rsidRDefault="00B84388" w:rsidP="00DB2739">
      <w:pPr>
        <w:pStyle w:val="ListParagraph"/>
        <w:numPr>
          <w:ilvl w:val="0"/>
          <w:numId w:val="1"/>
        </w:numPr>
      </w:pPr>
      <w:r>
        <w:t xml:space="preserve">Variables used in tax functions and the calculator are either </w:t>
      </w:r>
    </w:p>
    <w:p w:rsidR="00B84388" w:rsidRDefault="00B84388" w:rsidP="00B84388">
      <w:pPr>
        <w:pStyle w:val="ListParagraph"/>
        <w:numPr>
          <w:ilvl w:val="1"/>
          <w:numId w:val="1"/>
        </w:numPr>
      </w:pPr>
      <w:r>
        <w:t xml:space="preserve">“policy” variables that are declared in </w:t>
      </w:r>
      <w:proofErr w:type="spellStart"/>
      <w:r>
        <w:t>current_law_</w:t>
      </w:r>
      <w:proofErr w:type="gramStart"/>
      <w:r>
        <w:t>policy.json</w:t>
      </w:r>
      <w:proofErr w:type="spellEnd"/>
      <w:proofErr w:type="gramEnd"/>
      <w:r>
        <w:t xml:space="preserve"> or,</w:t>
      </w:r>
    </w:p>
    <w:p w:rsidR="00B84388" w:rsidRDefault="00B84388" w:rsidP="00B84388">
      <w:pPr>
        <w:pStyle w:val="ListParagraph"/>
        <w:numPr>
          <w:ilvl w:val="1"/>
          <w:numId w:val="1"/>
        </w:numPr>
      </w:pPr>
      <w:r>
        <w:t>“record” variables that are inputs from the tax return (or survey data) or calculated variables that</w:t>
      </w:r>
      <w:r>
        <w:t xml:space="preserve"> need to be declared in </w:t>
      </w:r>
      <w:proofErr w:type="spellStart"/>
      <w:r>
        <w:t>records_</w:t>
      </w:r>
      <w:proofErr w:type="gramStart"/>
      <w:r>
        <w:t>variables.json</w:t>
      </w:r>
      <w:proofErr w:type="spellEnd"/>
      <w:proofErr w:type="gramEnd"/>
      <w:r>
        <w:t xml:space="preserve">. They are either </w:t>
      </w:r>
    </w:p>
    <w:p w:rsidR="00B84388" w:rsidRDefault="00B84388" w:rsidP="00B84388">
      <w:pPr>
        <w:pStyle w:val="ListParagraph"/>
        <w:numPr>
          <w:ilvl w:val="2"/>
          <w:numId w:val="1"/>
        </w:numPr>
      </w:pPr>
      <w:r>
        <w:t>“read” variables or,</w:t>
      </w:r>
    </w:p>
    <w:p w:rsidR="00B84388" w:rsidRDefault="00B84388" w:rsidP="00B84388">
      <w:pPr>
        <w:pStyle w:val="ListParagraph"/>
        <w:numPr>
          <w:ilvl w:val="2"/>
          <w:numId w:val="1"/>
        </w:numPr>
      </w:pPr>
      <w:r>
        <w:t xml:space="preserve">“calculated” variables. </w:t>
      </w:r>
    </w:p>
    <w:p w:rsidR="00B84388" w:rsidRDefault="00B84388" w:rsidP="00B84388"/>
    <w:p w:rsidR="00DB2739" w:rsidRDefault="00B84388" w:rsidP="00B84388">
      <w:pPr>
        <w:pStyle w:val="ListParagraph"/>
        <w:numPr>
          <w:ilvl w:val="0"/>
          <w:numId w:val="1"/>
        </w:numPr>
      </w:pPr>
      <w:r>
        <w:t xml:space="preserve">In the </w:t>
      </w:r>
      <w:r w:rsidR="00DB2739">
        <w:t xml:space="preserve">tax functions </w:t>
      </w:r>
      <w:r>
        <w:t>example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2739" w:rsidTr="00DB2739">
        <w:tc>
          <w:tcPr>
            <w:tcW w:w="9350" w:type="dxa"/>
          </w:tcPr>
          <w:p w:rsidR="00DB2739" w:rsidRDefault="00DB2739" w:rsidP="00DB2739">
            <w:pPr>
              <w:ind w:left="360"/>
            </w:pPr>
            <w:r>
              <w:t>@</w:t>
            </w:r>
            <w:proofErr w:type="spellStart"/>
            <w:r>
              <w:t>iterate_jit</w:t>
            </w:r>
            <w:proofErr w:type="spellEnd"/>
            <w:r>
              <w:t>(</w:t>
            </w:r>
            <w:proofErr w:type="spellStart"/>
            <w:r>
              <w:t>nopython</w:t>
            </w:r>
            <w:proofErr w:type="spellEnd"/>
            <w:r>
              <w:t>=True)</w:t>
            </w:r>
          </w:p>
          <w:p w:rsidR="00DB2739" w:rsidRDefault="00DB2739" w:rsidP="00DB2739">
            <w:pPr>
              <w:ind w:left="360"/>
            </w:pPr>
            <w:r>
              <w:t xml:space="preserve">def </w:t>
            </w:r>
            <w:proofErr w:type="spellStart"/>
            <w:r>
              <w:t>calc_income_house_</w:t>
            </w:r>
            <w:proofErr w:type="gramStart"/>
            <w:r>
              <w:t>property</w:t>
            </w:r>
            <w:proofErr w:type="spellEnd"/>
            <w:r>
              <w:t>(</w:t>
            </w:r>
            <w:proofErr w:type="spellStart"/>
            <w:proofErr w:type="gramEnd"/>
            <w:r>
              <w:t>HP_deduction</w:t>
            </w:r>
            <w:proofErr w:type="spellEnd"/>
            <w:r>
              <w:t xml:space="preserve">, INCOME_HP, </w:t>
            </w:r>
            <w:proofErr w:type="spellStart"/>
            <w:r>
              <w:t>Income_House_Property</w:t>
            </w:r>
            <w:proofErr w:type="spellEnd"/>
            <w:r>
              <w:t>):</w:t>
            </w:r>
          </w:p>
          <w:p w:rsidR="00DB2739" w:rsidRDefault="00DB2739" w:rsidP="00DB2739">
            <w:pPr>
              <w:ind w:left="360"/>
            </w:pPr>
            <w:r>
              <w:t xml:space="preserve">    </w:t>
            </w:r>
            <w:r>
              <w:t xml:space="preserve">   </w:t>
            </w:r>
            <w:proofErr w:type="spellStart"/>
            <w:r>
              <w:t>Income_House_Property</w:t>
            </w:r>
            <w:proofErr w:type="spellEnd"/>
            <w:r>
              <w:t xml:space="preserve"> = INCOME_HP - </w:t>
            </w:r>
            <w:proofErr w:type="spellStart"/>
            <w:r>
              <w:t>HP_deduction</w:t>
            </w:r>
            <w:proofErr w:type="spellEnd"/>
          </w:p>
          <w:p w:rsidR="00DB2739" w:rsidRDefault="00DB2739" w:rsidP="00DB2739">
            <w:pPr>
              <w:ind w:left="360"/>
            </w:pPr>
            <w:r>
              <w:t xml:space="preserve">    </w:t>
            </w:r>
            <w:r>
              <w:t xml:space="preserve">   </w:t>
            </w:r>
            <w:r>
              <w:t xml:space="preserve">return </w:t>
            </w:r>
            <w:proofErr w:type="spellStart"/>
            <w:r>
              <w:t>Income_House_Property</w:t>
            </w:r>
            <w:proofErr w:type="spellEnd"/>
          </w:p>
          <w:p w:rsidR="00DB2739" w:rsidRDefault="00DB2739" w:rsidP="00DB2739">
            <w:pPr>
              <w:pStyle w:val="ListParagraph"/>
            </w:pPr>
          </w:p>
        </w:tc>
      </w:tr>
    </w:tbl>
    <w:p w:rsidR="00DB2739" w:rsidRDefault="00DB2739" w:rsidP="00DB2739">
      <w:pPr>
        <w:pStyle w:val="ListParagraph"/>
      </w:pPr>
      <w:r>
        <w:t>The variables “</w:t>
      </w:r>
      <w:r>
        <w:t>INCOME_HP</w:t>
      </w:r>
      <w:r>
        <w:t>”</w:t>
      </w:r>
      <w:r>
        <w:t xml:space="preserve"> </w:t>
      </w:r>
      <w:r>
        <w:t>is obtained from the Tax Return (or Survey)</w:t>
      </w:r>
      <w:r w:rsidR="00397030">
        <w:t xml:space="preserve"> and hence is a “records” variable</w:t>
      </w:r>
    </w:p>
    <w:p w:rsidR="00DB2739" w:rsidRDefault="00DB2739" w:rsidP="00DB2739">
      <w:pPr>
        <w:ind w:left="360" w:firstLine="360"/>
      </w:pPr>
      <w:r>
        <w:t>“</w:t>
      </w:r>
      <w:proofErr w:type="spellStart"/>
      <w:r>
        <w:t>HP_deduction</w:t>
      </w:r>
      <w:proofErr w:type="spellEnd"/>
      <w:r>
        <w:t>” is a policy variable</w:t>
      </w:r>
    </w:p>
    <w:p w:rsidR="00DB2739" w:rsidRDefault="00DB2739" w:rsidP="00DB2739">
      <w:pPr>
        <w:spacing w:after="0" w:line="240" w:lineRule="auto"/>
        <w:ind w:left="720"/>
      </w:pPr>
      <w:r>
        <w:t>“</w:t>
      </w:r>
      <w:proofErr w:type="spellStart"/>
      <w:r>
        <w:t>Income_House_Property</w:t>
      </w:r>
      <w:proofErr w:type="spellEnd"/>
      <w:r>
        <w:t>” is a calculated variable which reflects the income from House Property after Deduction</w:t>
      </w:r>
      <w:r w:rsidR="00397030">
        <w:t xml:space="preserve"> and is included as a “records” variable</w:t>
      </w:r>
    </w:p>
    <w:p w:rsidR="00DB2739" w:rsidRDefault="00DB2739" w:rsidP="00DB2739">
      <w:pPr>
        <w:ind w:left="360" w:firstLine="360"/>
      </w:pPr>
    </w:p>
    <w:p w:rsidR="00DB2739" w:rsidRDefault="00DB2739" w:rsidP="00DB2739">
      <w:pPr>
        <w:ind w:left="720"/>
      </w:pPr>
      <w:r>
        <w:t xml:space="preserve">Note: </w:t>
      </w:r>
      <w:r w:rsidR="00B14B77">
        <w:t>E</w:t>
      </w:r>
      <w:r>
        <w:t>ven though “</w:t>
      </w:r>
      <w:proofErr w:type="spellStart"/>
      <w:r>
        <w:t>Income_House_Property</w:t>
      </w:r>
      <w:proofErr w:type="spellEnd"/>
      <w:r>
        <w:t>” is returned by the function</w:t>
      </w:r>
      <w:r w:rsidR="00EE0721">
        <w:t>,</w:t>
      </w:r>
      <w:r>
        <w:t xml:space="preserve"> it is declared </w:t>
      </w:r>
      <w:r w:rsidR="00F1363A">
        <w:t xml:space="preserve">as an input at </w:t>
      </w:r>
      <w:r>
        <w:t>the function definition</w:t>
      </w:r>
    </w:p>
    <w:p w:rsidR="00DB2739" w:rsidRDefault="00DB2739" w:rsidP="00DB2739">
      <w:pPr>
        <w:pStyle w:val="ListParagraph"/>
        <w:numPr>
          <w:ilvl w:val="0"/>
          <w:numId w:val="1"/>
        </w:numPr>
      </w:pPr>
      <w:r>
        <w:t xml:space="preserve">Declare the variables in the respective json files. </w:t>
      </w:r>
    </w:p>
    <w:p w:rsidR="00DB2739" w:rsidRDefault="00DB2739" w:rsidP="00DB2739">
      <w:pPr>
        <w:pStyle w:val="ListParagraph"/>
      </w:pPr>
      <w:r>
        <w:t>“INCOME_HP”</w:t>
      </w:r>
      <w:r>
        <w:t xml:space="preserve"> and </w:t>
      </w:r>
      <w:r>
        <w:t>“</w:t>
      </w:r>
      <w:proofErr w:type="spellStart"/>
      <w:r>
        <w:t>Income_House_Property</w:t>
      </w:r>
      <w:proofErr w:type="spellEnd"/>
      <w:r>
        <w:t>”</w:t>
      </w:r>
      <w:r>
        <w:t xml:space="preserve"> are declared in </w:t>
      </w:r>
      <w:proofErr w:type="spellStart"/>
      <w:r>
        <w:t>records_</w:t>
      </w:r>
      <w:proofErr w:type="gramStart"/>
      <w:r>
        <w:t>variable.json</w:t>
      </w:r>
      <w:proofErr w:type="spellEnd"/>
      <w:proofErr w:type="gramEnd"/>
      <w:r w:rsidR="009F7CDD">
        <w:t xml:space="preserve">. </w:t>
      </w:r>
      <w:r w:rsidR="009F7CDD">
        <w:t>“INCOME_HP”</w:t>
      </w:r>
      <w:r w:rsidR="009F7CDD">
        <w:t xml:space="preserve"> is declared as a “read” variable as it is directly read from the tax return/survey while </w:t>
      </w:r>
      <w:r w:rsidR="009F7CDD">
        <w:t>“</w:t>
      </w:r>
      <w:proofErr w:type="spellStart"/>
      <w:r w:rsidR="009F7CDD">
        <w:t>Income_House_Property</w:t>
      </w:r>
      <w:proofErr w:type="spellEnd"/>
      <w:r w:rsidR="009F7CDD">
        <w:t>”</w:t>
      </w:r>
      <w:r w:rsidR="009F7CDD">
        <w:t xml:space="preserve"> is declared as a “calc” (calculated) variable.</w:t>
      </w:r>
    </w:p>
    <w:p w:rsidR="009F7CDD" w:rsidRDefault="009F7CDD" w:rsidP="00DB27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6"/>
        <w:gridCol w:w="4309"/>
      </w:tblGrid>
      <w:tr w:rsidR="009F7CDD" w:rsidTr="009F7CDD">
        <w:trPr>
          <w:trHeight w:val="3424"/>
        </w:trPr>
        <w:tc>
          <w:tcPr>
            <w:tcW w:w="1860" w:type="dxa"/>
          </w:tcPr>
          <w:p w:rsidR="009F7CDD" w:rsidRDefault="009F7CDD" w:rsidP="009F7CD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1646555</wp:posOffset>
                      </wp:positionV>
                      <wp:extent cx="2032000" cy="438150"/>
                      <wp:effectExtent l="0" t="0" r="2540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4381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72D245" id="Oval 4" o:spid="_x0000_s1026" style="position:absolute;margin-left:1.35pt;margin-top:129.65pt;width:160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SOadQIAAEIFAAAOAAAAZHJzL2Uyb0RvYy54bWysVE1PGzEQvVfqf7B8L5uE0NKIDYpAVJUQ&#10;REDF2Xht1pLtccdONumv79i7WVBBPVS97Hq+3sw8z/jsfOcs2yqMBnzNp0cTzpSX0Bj/XPMfD1ef&#10;TjmLSfhGWPCq5nsV+fny44ezLizUDFqwjUJGID4uulDzNqWwqKooW+VEPIKgPBk1oBOJRHyuGhQd&#10;oTtbzSaTz1UH2AQEqWIk7WVv5MuCr7WS6VbrqBKzNafaUvli+T7lb7U8E4tnFKE1cihD/EMVThhP&#10;SUeoS5EE26B5A+WMRIig05EEV4HWRqrSA3UznfzRzX0rgiq9EDkxjDTF/wcrb7ZrZKap+ZwzLxxd&#10;0e1WWDbPzHQhLsjhPqxxkCIdc5s7jS7/qQG2K2zuRzbVLjFJytnkmG6ISJdkmx+fTk8K3dVLdMCY&#10;vilwLB9qrqw1IeaGxUJsr2OipOR98MpqD1fG2qzPtfXVlFPaW5UdrL9TmvrJ+QtQmSR1YZFRWzUX&#10;Uiqfpr2pFY3q1SdU6KG6MaJkL4AZWVPiEXsAyFP6Frsve/DPoaoM4hg8+VthffAYUTKDT2OwMx7w&#10;PQBLXQ2Ze/8DST01maUnaPZ02wj9GsQgrwwxfy1iWgukuafLol1Ot/TRFrqaw3DirAX89Z4++9M4&#10;kpWzjvao5vHnRqDizH73NKhfp/N5XrwizE++zEjA15an1xa/cRdA1zSlVyPIcsz+yR6OGsE90sqv&#10;clYyCS8pd81lwoNwkfr9pkdDqtWquNGyBZGu/X2QGTyzmsfqYfcoMAzjl2hwb+Cwc29GsPfNkR5W&#10;mwTalPl84XXgmxa1DM7wqOSX4LVcvF6evuVvAAAA//8DAFBLAwQUAAYACAAAACEAiewWQ9wAAAAJ&#10;AQAADwAAAGRycy9kb3ducmV2LnhtbEyPP0/DMBDFdyS+g3VIbNQhEdCGOBVCYoOBtgOjYx9JqH2O&#10;YjcNfHouE0z35z29+121nb0TE46xD6TgdpWBQDLB9tQqOOxfbtYgYtJktQuECr4xwra+vKh0acOZ&#10;3nHapVZwCMVSK+hSGkopo+nQ67gKAxJrn2H0OvE4ttKO+szh3sk8y+6l1z3xhU4P+NyhOe5OXoGx&#10;h/br9fgzpca4j711m0D9m1LXV/PTI4iEc/ozw4LP6FAzUxNOZKNwCvIHNnK52xQgWC/yZdMszboA&#10;WVfy/wf1LwAAAP//AwBQSwECLQAUAAYACAAAACEAtoM4kv4AAADhAQAAEwAAAAAAAAAAAAAAAAAA&#10;AAAAW0NvbnRlbnRfVHlwZXNdLnhtbFBLAQItABQABgAIAAAAIQA4/SH/1gAAAJQBAAALAAAAAAAA&#10;AAAAAAAAAC8BAABfcmVscy8ucmVsc1BLAQItABQABgAIAAAAIQCjNSOadQIAAEIFAAAOAAAAAAAA&#10;AAAAAAAAAC4CAABkcnMvZTJvRG9jLnhtbFBLAQItABQABgAIAAAAIQCJ7BZD3AAAAAkBAAAPAAAA&#10;AAAAAAAAAAAAAM8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1279E7" wp14:editId="14DB5B00">
                  <wp:extent cx="2159000" cy="2139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186" cy="237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9" w:type="dxa"/>
          </w:tcPr>
          <w:p w:rsidR="009F7CDD" w:rsidRDefault="009F7CDD" w:rsidP="009F7CDD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728BA9" wp14:editId="2E64D46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567055</wp:posOffset>
                      </wp:positionV>
                      <wp:extent cx="2032000" cy="552450"/>
                      <wp:effectExtent l="0" t="0" r="25400" b="1905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2000" cy="5524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C221C" id="Oval 5" o:spid="_x0000_s1026" style="position:absolute;margin-left:-3.45pt;margin-top:44.65pt;width:160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6gdAIAAEIFAAAOAAAAZHJzL2Uyb0RvYy54bWysVEtv2zAMvg/YfxB0X51k8R5BnSJo0WFA&#10;0RZrh55VWaoFSKJGKXGyXz9KdtxiHXYYdrHF10fyE6nTs72zbKcwGvANn5/MOFNeQmv8U8O/31++&#10;+8RZTMK3woJXDT+oyM/Wb9+c9mGlFtCBbRUyAvFx1YeGdymFVVVF2Skn4gkE5cmoAZ1IJOJT1aLo&#10;Cd3ZajGbfah6wDYgSBUjaS8GI18XfK2VTDdaR5WYbTjVlsoXy/cxf6v1qVg9oQidkWMZ4h+qcMJ4&#10;SjpBXYgk2BbNKyhnJEIEnU4kuAq0NlKVHqib+ey3bu46EVTphciJYaIp/j9Yeb27RWbahteceeHo&#10;im52wrI6M9OHuCKHu3CLoxTpmNvca3T5Tw2wfWHzMLGp9olJUi5m7+mGiHRJtrpeLOtCd/UcHTCm&#10;Lwocy4eGK2tNiLlhsRK7q5goKXkfvbLaw6WxNutzbUM15ZQOVmUH678pTf3k/AWoTJI6t8iorYYL&#10;KZVP88HUiVYN6poKPVY3RZTsBTAja0o8YY8AeUpfYw9lj/45VJVBnIJnfytsCJ4iSmbwaQp2xgP+&#10;CcBSV2Pmwf9I0kBNZukR2gPdNsKwBjHIS0PMX4mYbgXS3NNl0S6nG/poC33DYTxx1gH+/JM++9M4&#10;kpWznvao4fHHVqDizH71NKif58tlXrwiLOuPCxLwpeXxpcVv3TnQNc3p1QiyHLN/ssejRnAPtPKb&#10;nJVMwkvK3XCZ8Cicp2G/6dGQarMpbrRsQaQrfxdkBs+s5rG63z8IDOP4JRrcazju3KsRHHxzpIfN&#10;NoE2ZT6feR35pkUtgzM+KvkleCkXr+enb/0LAAD//wMAUEsDBBQABgAIAAAAIQA/zth/3QAAAAkB&#10;AAAPAAAAZHJzL2Rvd25yZXYueG1sTI8xT8MwEIV3JP6DdUhsrRMihSaNUyEkNhhoOzA68ZGktc9R&#10;7KaBX88xwXh6n977rtotzooZpzB4UpCuExBIrTcDdQqOh5fVBkSImoy2nlDBFwbY1bc3lS6Nv9I7&#10;zvvYCS6hUGoFfYxjKWVoe3Q6rP2IxNmnn5yOfE6dNJO+crmz8iFJcun0QLzQ6xGfe2zP+4tT0Jpj&#10;d3o9f8+xae3HwdjC0/Cm1P3d8rQFEXGJfzD86rM61OzU+AuZIKyCVV4wqWBTZCA4z9IsBdEw+Jhn&#10;IOtK/v+g/gEAAP//AwBQSwECLQAUAAYACAAAACEAtoM4kv4AAADhAQAAEwAAAAAAAAAAAAAAAAAA&#10;AAAAW0NvbnRlbnRfVHlwZXNdLnhtbFBLAQItABQABgAIAAAAIQA4/SH/1gAAAJQBAAALAAAAAAAA&#10;AAAAAAAAAC8BAABfcmVscy8ucmVsc1BLAQItABQABgAIAAAAIQBidu6gdAIAAEIFAAAOAAAAAAAA&#10;AAAAAAAAAC4CAABkcnMvZTJvRG9jLnhtbFBLAQItABQABgAIAAAAIQA/zth/3QAAAAkBAAAPAAAA&#10;AAAAAAAAAAAAAM4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3262A9" wp14:editId="54C20CD3">
                  <wp:extent cx="2000250" cy="163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20" cy="168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CDD" w:rsidRDefault="009F7CDD" w:rsidP="009F7CDD">
      <w:pPr>
        <w:ind w:left="360" w:firstLine="360"/>
      </w:pPr>
      <w:r>
        <w:lastRenderedPageBreak/>
        <w:t>“</w:t>
      </w:r>
      <w:proofErr w:type="spellStart"/>
      <w:r>
        <w:t>HP_deduction</w:t>
      </w:r>
      <w:proofErr w:type="spellEnd"/>
      <w:r>
        <w:t>” is a policy variable</w:t>
      </w:r>
      <w:r>
        <w:t xml:space="preserve"> and is declared in </w:t>
      </w:r>
      <w:proofErr w:type="spellStart"/>
      <w:r>
        <w:t>current_law_</w:t>
      </w:r>
      <w:proofErr w:type="gramStart"/>
      <w:r>
        <w:t>policy.json</w:t>
      </w:r>
      <w:proofErr w:type="spellEnd"/>
      <w:proofErr w:type="gramEnd"/>
      <w:r w:rsidR="00BC0ED6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0"/>
      </w:tblGrid>
      <w:tr w:rsidR="00BC0ED6" w:rsidTr="00BC0ED6">
        <w:trPr>
          <w:trHeight w:val="3750"/>
        </w:trPr>
        <w:tc>
          <w:tcPr>
            <w:tcW w:w="3600" w:type="dxa"/>
          </w:tcPr>
          <w:p w:rsidR="00BC0ED6" w:rsidRDefault="00BC0ED6" w:rsidP="00DB273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781852A" wp14:editId="6E2626A8">
                  <wp:extent cx="2025650" cy="249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739" w:rsidRDefault="00DB2739" w:rsidP="009F7CDD"/>
    <w:p w:rsidR="00B84388" w:rsidRDefault="00A52244" w:rsidP="009F7CDD">
      <w:pPr>
        <w:pStyle w:val="ListParagraph"/>
        <w:numPr>
          <w:ilvl w:val="0"/>
          <w:numId w:val="1"/>
        </w:numPr>
      </w:pPr>
      <w:r>
        <w:t>Next</w:t>
      </w:r>
      <w:r w:rsidR="00B84388">
        <w:t>, “read” variables are likely to grow with time and hence we need to incorporate their growth in “</w:t>
      </w:r>
      <w:proofErr w:type="spellStart"/>
      <w:r w:rsidR="00B84388">
        <w:t>growfactors</w:t>
      </w:r>
      <w:proofErr w:type="spellEnd"/>
      <w:r w:rsidR="00B84388">
        <w:t>” files and functions</w:t>
      </w:r>
      <w:r w:rsidR="0064199A">
        <w:t xml:space="preserve">. In case the variable is not included in </w:t>
      </w:r>
      <w:proofErr w:type="spellStart"/>
      <w:r w:rsidR="0064199A">
        <w:t>growfactors</w:t>
      </w:r>
      <w:proofErr w:type="spellEnd"/>
      <w:r w:rsidR="0064199A">
        <w:t xml:space="preserve"> it is understood that that variable grows with the CPI. Nothing needs to be done in such a case.</w:t>
      </w:r>
    </w:p>
    <w:p w:rsidR="0064199A" w:rsidRDefault="0064199A" w:rsidP="009F7CDD">
      <w:pPr>
        <w:pStyle w:val="ListParagraph"/>
        <w:numPr>
          <w:ilvl w:val="0"/>
          <w:numId w:val="1"/>
        </w:numPr>
      </w:pPr>
      <w:r>
        <w:t xml:space="preserve">In case we want the variable </w:t>
      </w:r>
      <w:r w:rsidR="00E03661">
        <w:t xml:space="preserve">“INCOME_HP” </w:t>
      </w:r>
      <w:r>
        <w:t xml:space="preserve">to grow at a certain defined rate, we first update “growfactors.csv” putting </w:t>
      </w:r>
      <w:r w:rsidR="00E03661">
        <w:t xml:space="preserve">the </w:t>
      </w:r>
      <w:r>
        <w:t>growth rate</w:t>
      </w:r>
      <w:r w:rsidR="00E03661">
        <w:t xml:space="preserve"> of the variable “GF_INCOME_HP”</w:t>
      </w:r>
      <w:r>
        <w:t>.</w:t>
      </w:r>
    </w:p>
    <w:p w:rsidR="0064199A" w:rsidRDefault="0064199A" w:rsidP="0064199A">
      <w:pPr>
        <w:pStyle w:val="ListParagraph"/>
      </w:pPr>
    </w:p>
    <w:p w:rsidR="0064199A" w:rsidRDefault="005C5B20" w:rsidP="0064199A">
      <w:pPr>
        <w:pStyle w:val="ListParagraph"/>
      </w:pPr>
      <w:r>
        <w:rPr>
          <w:noProof/>
        </w:rPr>
        <w:drawing>
          <wp:inline distT="0" distB="0" distL="0" distR="0" wp14:anchorId="2DE8099E" wp14:editId="48974A32">
            <wp:extent cx="3493584" cy="196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61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9A" w:rsidRDefault="0064199A" w:rsidP="0064199A">
      <w:pPr>
        <w:pStyle w:val="ListParagraph"/>
      </w:pPr>
    </w:p>
    <w:p w:rsidR="005C5B20" w:rsidRDefault="005C5B20" w:rsidP="009F7CDD">
      <w:pPr>
        <w:pStyle w:val="ListParagraph"/>
        <w:numPr>
          <w:ilvl w:val="0"/>
          <w:numId w:val="1"/>
        </w:numPr>
      </w:pPr>
      <w:r>
        <w:t xml:space="preserve">We now need to “blow up” the INCOME_HP by this </w:t>
      </w:r>
      <w:proofErr w:type="spellStart"/>
      <w:r w:rsidR="00E03661">
        <w:t>growfactor</w:t>
      </w:r>
      <w:proofErr w:type="spellEnd"/>
      <w:r w:rsidR="00E03661">
        <w:t xml:space="preserve"> </w:t>
      </w:r>
      <w:r>
        <w:t>“GF_INCOME_HP”</w:t>
      </w:r>
      <w:r>
        <w:t xml:space="preserve"> every year so we update growfactors.py</w:t>
      </w:r>
    </w:p>
    <w:p w:rsidR="00E434D1" w:rsidRDefault="00E434D1" w:rsidP="00E434D1">
      <w:pPr>
        <w:pStyle w:val="ListParagraph"/>
      </w:pPr>
    </w:p>
    <w:p w:rsidR="005C5B20" w:rsidRDefault="00E434D1" w:rsidP="009F7CDD">
      <w:pPr>
        <w:pStyle w:val="ListParagraph"/>
        <w:numPr>
          <w:ilvl w:val="0"/>
          <w:numId w:val="1"/>
        </w:numPr>
      </w:pPr>
      <w:r>
        <w:t xml:space="preserve">We then include the variable </w:t>
      </w:r>
      <w:r>
        <w:t>“GF_INCOME_HP”</w:t>
      </w:r>
      <w:r>
        <w:t xml:space="preserve"> as a “VALID_NAME” in the “</w:t>
      </w:r>
      <w:proofErr w:type="spellStart"/>
      <w:r>
        <w:t>GrowFactors</w:t>
      </w:r>
      <w:proofErr w:type="spellEnd"/>
      <w:r>
        <w:t>” Class.</w:t>
      </w:r>
    </w:p>
    <w:p w:rsidR="005C5B20" w:rsidRDefault="005C5B20" w:rsidP="005C5B20">
      <w:pPr>
        <w:pStyle w:val="ListParagraph"/>
      </w:pPr>
    </w:p>
    <w:p w:rsidR="005C5B20" w:rsidRDefault="005C5B20" w:rsidP="005C5B20">
      <w:pPr>
        <w:pStyle w:val="ListParagraph"/>
      </w:pPr>
      <w:r>
        <w:rPr>
          <w:noProof/>
        </w:rPr>
        <w:lastRenderedPageBreak/>
        <w:drawing>
          <wp:inline distT="0" distB="0" distL="0" distR="0" wp14:anchorId="0B735478" wp14:editId="2BB961AA">
            <wp:extent cx="3429000" cy="39521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041" cy="396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D1" w:rsidRDefault="00E434D1" w:rsidP="00E434D1">
      <w:pPr>
        <w:pStyle w:val="ListParagraph"/>
      </w:pPr>
    </w:p>
    <w:p w:rsidR="00E434D1" w:rsidRDefault="00211D98" w:rsidP="009F7CDD">
      <w:pPr>
        <w:pStyle w:val="ListParagraph"/>
        <w:numPr>
          <w:ilvl w:val="0"/>
          <w:numId w:val="1"/>
        </w:numPr>
      </w:pPr>
      <w:r>
        <w:t>Finally, w</w:t>
      </w:r>
      <w:r w:rsidR="00E434D1">
        <w:t xml:space="preserve">e </w:t>
      </w:r>
      <w:bookmarkStart w:id="0" w:name="_GoBack"/>
      <w:bookmarkEnd w:id="0"/>
      <w:r w:rsidR="00E434D1">
        <w:t>need to update the records each year at the respective growth rates. This is done in records.py in the _blowup function.</w:t>
      </w:r>
    </w:p>
    <w:p w:rsidR="00211D98" w:rsidRDefault="00211D98" w:rsidP="00211D98">
      <w:pPr>
        <w:pStyle w:val="ListParagraph"/>
      </w:pPr>
    </w:p>
    <w:p w:rsidR="00E434D1" w:rsidRDefault="00E434D1" w:rsidP="009F7CDD">
      <w:pPr>
        <w:pStyle w:val="ListParagraph"/>
        <w:numPr>
          <w:ilvl w:val="0"/>
          <w:numId w:val="1"/>
        </w:numPr>
      </w:pPr>
      <w:r>
        <w:t xml:space="preserve">First “import” the </w:t>
      </w:r>
      <w:r w:rsidR="00E03661">
        <w:t>variable</w:t>
      </w:r>
      <w:r w:rsidR="005C5B20">
        <w:t xml:space="preserve"> </w:t>
      </w:r>
      <w:r w:rsidR="005C5B20">
        <w:t>“GF_INCOME_HP”</w:t>
      </w:r>
      <w:r>
        <w:t xml:space="preserve"> from the growfactors.csv file (in the example below we use the same </w:t>
      </w:r>
      <w:proofErr w:type="gramStart"/>
      <w:r>
        <w:t>name</w:t>
      </w:r>
      <w:proofErr w:type="gramEnd"/>
      <w:r>
        <w:t xml:space="preserve"> but this need not be the case). We then update the INCOME_HP with INCOME_HP*GF_INCOME_HP.</w:t>
      </w:r>
    </w:p>
    <w:p w:rsidR="00E434D1" w:rsidRDefault="00E434D1" w:rsidP="00E434D1">
      <w:pPr>
        <w:pStyle w:val="ListParagraph"/>
      </w:pPr>
      <w:r>
        <w:rPr>
          <w:noProof/>
        </w:rPr>
        <w:drawing>
          <wp:inline distT="0" distB="0" distL="0" distR="0" wp14:anchorId="75A9950B" wp14:editId="0D57275C">
            <wp:extent cx="2959100" cy="26910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2093" cy="27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D1" w:rsidRDefault="00E434D1" w:rsidP="00E434D1">
      <w:pPr>
        <w:pStyle w:val="ListParagraph"/>
      </w:pPr>
    </w:p>
    <w:sectPr w:rsidR="00E4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F72AE"/>
    <w:multiLevelType w:val="hybridMultilevel"/>
    <w:tmpl w:val="2998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78"/>
    <w:rsid w:val="001022DB"/>
    <w:rsid w:val="00211D98"/>
    <w:rsid w:val="00397030"/>
    <w:rsid w:val="003E3615"/>
    <w:rsid w:val="004B6C40"/>
    <w:rsid w:val="005C5B20"/>
    <w:rsid w:val="0064199A"/>
    <w:rsid w:val="00687614"/>
    <w:rsid w:val="006A7243"/>
    <w:rsid w:val="006D6F24"/>
    <w:rsid w:val="006D76F9"/>
    <w:rsid w:val="008C4DC1"/>
    <w:rsid w:val="009F06EF"/>
    <w:rsid w:val="009F7CDD"/>
    <w:rsid w:val="00A52244"/>
    <w:rsid w:val="00AB55AA"/>
    <w:rsid w:val="00B14B77"/>
    <w:rsid w:val="00B24378"/>
    <w:rsid w:val="00B84388"/>
    <w:rsid w:val="00BC0ED6"/>
    <w:rsid w:val="00C14B60"/>
    <w:rsid w:val="00DB2739"/>
    <w:rsid w:val="00E03661"/>
    <w:rsid w:val="00E434D1"/>
    <w:rsid w:val="00EE0721"/>
    <w:rsid w:val="00EE1D52"/>
    <w:rsid w:val="00F1363A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4F6C"/>
  <w15:chartTrackingRefBased/>
  <w15:docId w15:val="{0AD7A303-D830-41C1-994E-6C0A391A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39"/>
    <w:pPr>
      <w:ind w:left="720"/>
      <w:contextualSpacing/>
    </w:pPr>
  </w:style>
  <w:style w:type="table" w:styleId="TableGrid">
    <w:name w:val="Table Grid"/>
    <w:basedOn w:val="TableNormal"/>
    <w:uiPriority w:val="39"/>
    <w:rsid w:val="00DB2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7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8</cp:revision>
  <dcterms:created xsi:type="dcterms:W3CDTF">2019-10-10T00:50:00Z</dcterms:created>
  <dcterms:modified xsi:type="dcterms:W3CDTF">2019-10-10T01:24:00Z</dcterms:modified>
</cp:coreProperties>
</file>