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90074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9F1500" w:rsidRPr="009F1500" w:rsidRDefault="009F150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9F1500">
        <w:rPr>
          <w:rFonts w:ascii="Arial" w:hAnsi="Arial" w:cs="Arial"/>
        </w:rPr>
        <w:t xml:space="preserve">Padronizar </w:t>
      </w:r>
      <w:r w:rsidR="00C11FE9">
        <w:rPr>
          <w:rFonts w:ascii="Arial" w:hAnsi="Arial" w:cs="Arial"/>
        </w:rPr>
        <w:t>o procedimento para</w:t>
      </w:r>
      <w:bookmarkStart w:id="0" w:name="_GoBack"/>
      <w:bookmarkEnd w:id="0"/>
      <w:r w:rsidR="00900745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administração de medicamento por via tópica ou cutânea m</w:t>
      </w:r>
      <w:r w:rsidRPr="009F1500">
        <w:rPr>
          <w:rFonts w:ascii="Arial" w:hAnsi="Arial" w:cs="Arial"/>
          <w:color w:val="000000"/>
        </w:rPr>
        <w:t>ucosa.</w:t>
      </w:r>
    </w:p>
    <w:p w:rsidR="009F1500" w:rsidRPr="009F1500" w:rsidRDefault="009F150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90074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90074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90074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7939"/>
        <w:gridCol w:w="2267"/>
      </w:tblGrid>
      <w:tr w:rsidR="00852D28" w:rsidRPr="00B42FE4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9F150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B42FE4" w:rsidRDefault="00852D28" w:rsidP="009F150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42FE4">
              <w:rPr>
                <w:rFonts w:ascii="Arial" w:hAnsi="Arial" w:cs="Arial"/>
                <w:b/>
              </w:rPr>
              <w:t>Agente Executor</w:t>
            </w:r>
          </w:p>
        </w:tc>
      </w:tr>
      <w:tr w:rsidR="009F1500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F1500" w:rsidRDefault="009F1500" w:rsidP="009F150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1500" w:rsidRPr="00B42FE4" w:rsidRDefault="00B42FE4" w:rsidP="009F150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52D28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9F1500" w:rsidP="009F150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9453BD" w:rsidRPr="0003309A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5A4C3B" w:rsidRDefault="00E56F4D" w:rsidP="008E13B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Default="009453BD" w:rsidP="009F150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309A">
              <w:rPr>
                <w:rFonts w:ascii="Arial" w:hAnsi="Arial" w:cs="Arial"/>
                <w:color w:val="000000"/>
              </w:rPr>
              <w:t xml:space="preserve">Preparar o material e </w:t>
            </w:r>
            <w:r w:rsidR="009F1500" w:rsidRPr="0003309A">
              <w:rPr>
                <w:rFonts w:ascii="Arial" w:hAnsi="Arial" w:cs="Arial"/>
                <w:color w:val="000000"/>
              </w:rPr>
              <w:t>levá-lo</w:t>
            </w:r>
            <w:r w:rsidRPr="0003309A">
              <w:rPr>
                <w:rFonts w:ascii="Arial" w:hAnsi="Arial" w:cs="Arial"/>
                <w:color w:val="000000"/>
              </w:rPr>
              <w:t xml:space="preserve"> para junto do cliente</w:t>
            </w:r>
            <w:r w:rsidR="009F1500">
              <w:rPr>
                <w:rFonts w:ascii="Arial" w:hAnsi="Arial" w:cs="Arial"/>
                <w:color w:val="000000"/>
              </w:rPr>
              <w:t>.</w:t>
            </w:r>
          </w:p>
          <w:p w:rsidR="009F1500" w:rsidRPr="0003309A" w:rsidRDefault="00DE0ADB" w:rsidP="009F150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="009F1500" w:rsidRPr="0003309A">
              <w:rPr>
                <w:rFonts w:ascii="Arial" w:hAnsi="Arial" w:cs="Arial"/>
                <w:color w:val="000000"/>
              </w:rPr>
              <w:t xml:space="preserve">edicamento </w:t>
            </w:r>
            <w:r w:rsidR="00BB3E01">
              <w:rPr>
                <w:rFonts w:ascii="Arial" w:hAnsi="Arial" w:cs="Arial"/>
                <w:color w:val="000000"/>
              </w:rPr>
              <w:t>a ser administrada</w:t>
            </w:r>
          </w:p>
          <w:p w:rsidR="009F1500" w:rsidRPr="0003309A" w:rsidRDefault="00DE0ADB" w:rsidP="009F150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  <w:r w:rsidR="009F1500" w:rsidRPr="0003309A">
              <w:rPr>
                <w:rFonts w:ascii="Arial" w:hAnsi="Arial" w:cs="Arial"/>
                <w:color w:val="000000"/>
              </w:rPr>
              <w:t>aze</w:t>
            </w:r>
          </w:p>
          <w:p w:rsidR="009F1500" w:rsidRPr="0003309A" w:rsidRDefault="00DE0ADB" w:rsidP="009F150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</w:t>
            </w:r>
            <w:r w:rsidR="009F1500" w:rsidRPr="0003309A">
              <w:rPr>
                <w:rFonts w:ascii="Arial" w:hAnsi="Arial" w:cs="Arial"/>
                <w:color w:val="000000"/>
              </w:rPr>
              <w:t>spátula</w:t>
            </w:r>
          </w:p>
          <w:p w:rsidR="009F1500" w:rsidRPr="0003309A" w:rsidRDefault="00DE0ADB" w:rsidP="009F150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9F1500" w:rsidRPr="0003309A">
              <w:rPr>
                <w:rFonts w:ascii="Arial" w:hAnsi="Arial" w:cs="Arial"/>
                <w:color w:val="000000"/>
              </w:rPr>
              <w:t>uvas de procedimento</w:t>
            </w:r>
          </w:p>
          <w:p w:rsidR="009F1500" w:rsidRPr="0003309A" w:rsidRDefault="00DE0ADB" w:rsidP="009F150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="009F1500" w:rsidRPr="0003309A">
              <w:rPr>
                <w:rFonts w:ascii="Arial" w:hAnsi="Arial" w:cs="Arial"/>
                <w:color w:val="000000"/>
              </w:rPr>
              <w:t>aco plástico para resíduos</w:t>
            </w:r>
          </w:p>
          <w:p w:rsidR="009F1500" w:rsidRPr="009F1500" w:rsidRDefault="00DE0ADB" w:rsidP="009F150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9F1500" w:rsidRPr="0003309A">
              <w:rPr>
                <w:rFonts w:ascii="Arial" w:hAnsi="Arial" w:cs="Arial"/>
                <w:color w:val="000000"/>
              </w:rPr>
              <w:t>ótulo de identificação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5A4C3B" w:rsidRDefault="009453BD" w:rsidP="006F02A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3309A">
              <w:rPr>
                <w:rFonts w:ascii="Arial" w:hAnsi="Arial" w:cs="Arial"/>
                <w:color w:val="000000"/>
              </w:rPr>
              <w:t xml:space="preserve">Explicar o </w:t>
            </w:r>
            <w:r w:rsidR="006F02A9">
              <w:rPr>
                <w:rFonts w:ascii="Arial" w:hAnsi="Arial" w:cs="Arial"/>
                <w:color w:val="000000"/>
              </w:rPr>
              <w:t>procedimento</w:t>
            </w:r>
            <w:r w:rsidRPr="0003309A">
              <w:rPr>
                <w:rFonts w:ascii="Arial" w:hAnsi="Arial" w:cs="Arial"/>
                <w:color w:val="000000"/>
              </w:rPr>
              <w:t>, orientar o cliente para que faça a higiene no local, se necessário</w:t>
            </w:r>
            <w:r w:rsidR="009F150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9453BD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5A4C3B" w:rsidRDefault="009F1500" w:rsidP="009F150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9453BD" w:rsidRPr="0003309A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 xml:space="preserve">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5A4C3B" w:rsidRDefault="009453BD" w:rsidP="009F150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3309A">
              <w:rPr>
                <w:rFonts w:ascii="Arial" w:hAnsi="Arial" w:cs="Arial"/>
                <w:color w:val="000000"/>
              </w:rPr>
              <w:lastRenderedPageBreak/>
              <w:t>Calçar as luvas</w:t>
            </w:r>
            <w:r w:rsidR="009F150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5A4C3B" w:rsidRDefault="009453BD" w:rsidP="009F150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3309A">
              <w:rPr>
                <w:rFonts w:ascii="Arial" w:hAnsi="Arial" w:cs="Arial"/>
                <w:color w:val="000000"/>
              </w:rPr>
              <w:t>Expor somente o local para a aplicação</w:t>
            </w:r>
            <w:r w:rsidR="009F150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5A4C3B" w:rsidRDefault="009453BD" w:rsidP="009F150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3309A">
              <w:rPr>
                <w:rFonts w:ascii="Arial" w:hAnsi="Arial" w:cs="Arial"/>
                <w:color w:val="000000"/>
              </w:rPr>
              <w:t>Colocar o medicamento sobre a gaze ou diretamente na pele, com a espátula</w:t>
            </w:r>
            <w:r w:rsidR="009F150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5A4C3B" w:rsidRDefault="009453BD" w:rsidP="009F150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3309A">
              <w:rPr>
                <w:rFonts w:ascii="Arial" w:hAnsi="Arial" w:cs="Arial"/>
                <w:color w:val="000000"/>
              </w:rPr>
              <w:t>Aplicar e espalhar delicadamente o medicamento, fazendo fricção, se necessário</w:t>
            </w:r>
            <w:r w:rsidR="009F150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5A4C3B" w:rsidRDefault="009453BD" w:rsidP="009F150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3309A">
              <w:rPr>
                <w:rFonts w:ascii="Arial" w:hAnsi="Arial" w:cs="Arial"/>
                <w:color w:val="000000"/>
              </w:rPr>
              <w:t>Deixar o cliente confortável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5A4C3B" w:rsidRDefault="00FF68BA" w:rsidP="00FF68B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Retirar o material, deixando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44F0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44F0D" w:rsidRPr="003B7C27" w:rsidRDefault="00C44F0D" w:rsidP="00FF68B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F0D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FF68BA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F68BA" w:rsidRPr="003B7C27" w:rsidRDefault="00FF68BA" w:rsidP="00FF68B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8BA" w:rsidRPr="009F1500" w:rsidRDefault="00B42FE4" w:rsidP="009F1500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453BD" w:rsidRPr="005A4C3B" w:rsidTr="009F1500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3BD" w:rsidRPr="0003309A" w:rsidRDefault="001776C5" w:rsidP="001776C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22479">
              <w:rPr>
                <w:rFonts w:ascii="Arial" w:hAnsi="Arial" w:cs="Arial"/>
              </w:rPr>
              <w:t>Checar na prescrição médica o medicamento administrado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3BD" w:rsidRPr="009F1500" w:rsidRDefault="00B42FE4" w:rsidP="00B42FE4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 xml:space="preserve">Técnico de       Enfermagem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ED7CA1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B42FE4" w:rsidRPr="009F1500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2FE4" w:rsidRPr="008C2F29" w:rsidRDefault="00B42FE4" w:rsidP="000D1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2FE4" w:rsidRPr="005A4C3B" w:rsidRDefault="00B42FE4" w:rsidP="000D1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2FE4" w:rsidRPr="005A4C3B" w:rsidRDefault="00B42FE4" w:rsidP="000D1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2FE4" w:rsidRPr="005A4C3B" w:rsidRDefault="00B42FE4" w:rsidP="000D1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2FE4" w:rsidRPr="005A4C3B" w:rsidRDefault="00B42FE4" w:rsidP="000D1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2FE4" w:rsidRPr="005A4C3B" w:rsidRDefault="00B42FE4" w:rsidP="000D1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94209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>Vejam quais são os “</w:t>
      </w:r>
      <w:r>
        <w:rPr>
          <w:rFonts w:ascii="Arial" w:hAnsi="Arial" w:cs="Arial"/>
        </w:rPr>
        <w:t>9 Certos da Medicação”</w:t>
      </w:r>
      <w:r w:rsidRPr="00E33652">
        <w:rPr>
          <w:rFonts w:ascii="Arial" w:hAnsi="Arial" w:cs="Arial"/>
        </w:rPr>
        <w:t xml:space="preserve">: 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lastRenderedPageBreak/>
        <w:t xml:space="preserve">5) Hora certa 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BD4A51" w:rsidRPr="00E33652" w:rsidRDefault="00BD4A51" w:rsidP="00BD4A51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9) Registro certo </w:t>
      </w:r>
    </w:p>
    <w:p w:rsidR="0026067C" w:rsidRPr="005A4C3B" w:rsidRDefault="0094209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9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30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94209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31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D46" w:rsidRDefault="00A55D46">
      <w:r>
        <w:separator/>
      </w:r>
    </w:p>
  </w:endnote>
  <w:endnote w:type="continuationSeparator" w:id="1">
    <w:p w:rsidR="00A55D46" w:rsidRDefault="00A55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9F1500" w:rsidRPr="009F1500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9F150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F150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9F1500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9F150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9F1500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9F1500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9F150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F150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9F1500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9F150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F150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9F1500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9F150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F1500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9F1500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9F150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F1500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9F1500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D46" w:rsidRDefault="00A55D46">
      <w:r>
        <w:rPr>
          <w:color w:val="000000"/>
        </w:rPr>
        <w:separator/>
      </w:r>
    </w:p>
  </w:footnote>
  <w:footnote w:type="continuationSeparator" w:id="1">
    <w:p w:rsidR="00A55D46" w:rsidRDefault="00A55D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9F1500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F1500" w:rsidRDefault="009F1500" w:rsidP="009F1500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F1500" w:rsidRDefault="009F1500" w:rsidP="009F15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68</w:t>
          </w:r>
        </w:p>
      </w:tc>
    </w:tr>
    <w:tr w:rsidR="009F1500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F1500" w:rsidRDefault="009F1500" w:rsidP="009F1500">
          <w:pPr>
            <w:pStyle w:val="Standard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Medicamento por Via Tópica ou Cutânea M</w:t>
          </w:r>
          <w:r w:rsidRPr="0003309A">
            <w:rPr>
              <w:rFonts w:ascii="Arial" w:hAnsi="Arial" w:cs="Arial"/>
              <w:b/>
              <w:color w:val="000000"/>
            </w:rPr>
            <w:t>ucosa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F1500" w:rsidRDefault="009F1500" w:rsidP="009F15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9F1500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F1500" w:rsidRDefault="009F1500" w:rsidP="009F1500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F1500" w:rsidRDefault="009F1500" w:rsidP="009F1500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776C5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776C5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9F1500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9F1500">
            <w:rPr>
              <w:rFonts w:ascii="Arial" w:hAnsi="Arial" w:cs="Arial"/>
              <w:b/>
              <w:bCs/>
              <w:sz w:val="18"/>
              <w:szCs w:val="18"/>
            </w:rPr>
            <w:t>68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9F1500">
          <w:pPr>
            <w:pStyle w:val="Standard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9F1500">
            <w:rPr>
              <w:rFonts w:ascii="Arial" w:hAnsi="Arial" w:cs="Arial"/>
              <w:b/>
              <w:color w:val="000000"/>
            </w:rPr>
            <w:t>Administração de Medicamento por Via Tópica ou Cutânea M</w:t>
          </w:r>
          <w:r w:rsidR="009F1500" w:rsidRPr="0003309A">
            <w:rPr>
              <w:rFonts w:ascii="Arial" w:hAnsi="Arial" w:cs="Arial"/>
              <w:b/>
              <w:color w:val="000000"/>
            </w:rPr>
            <w:t>ucosa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9F1500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B3E01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B3E01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94209C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636A"/>
    <w:multiLevelType w:val="hybridMultilevel"/>
    <w:tmpl w:val="39FAB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2744F"/>
    <w:rsid w:val="000868D0"/>
    <w:rsid w:val="000F43DB"/>
    <w:rsid w:val="00171435"/>
    <w:rsid w:val="001776C5"/>
    <w:rsid w:val="001D6D2F"/>
    <w:rsid w:val="0026067C"/>
    <w:rsid w:val="00317AAC"/>
    <w:rsid w:val="003B2271"/>
    <w:rsid w:val="003B6A43"/>
    <w:rsid w:val="003D6745"/>
    <w:rsid w:val="004D1227"/>
    <w:rsid w:val="00532EC0"/>
    <w:rsid w:val="00542C68"/>
    <w:rsid w:val="005575D8"/>
    <w:rsid w:val="005A4C3B"/>
    <w:rsid w:val="00626A7E"/>
    <w:rsid w:val="006456AB"/>
    <w:rsid w:val="00656058"/>
    <w:rsid w:val="006F02A9"/>
    <w:rsid w:val="008108BC"/>
    <w:rsid w:val="00852D28"/>
    <w:rsid w:val="008705EA"/>
    <w:rsid w:val="008A0B5E"/>
    <w:rsid w:val="008B1881"/>
    <w:rsid w:val="008E13BC"/>
    <w:rsid w:val="00900745"/>
    <w:rsid w:val="0094209C"/>
    <w:rsid w:val="009453BD"/>
    <w:rsid w:val="009D6342"/>
    <w:rsid w:val="009F1500"/>
    <w:rsid w:val="00A16733"/>
    <w:rsid w:val="00A340C3"/>
    <w:rsid w:val="00A55D46"/>
    <w:rsid w:val="00A664BB"/>
    <w:rsid w:val="00B07104"/>
    <w:rsid w:val="00B30425"/>
    <w:rsid w:val="00B42FE4"/>
    <w:rsid w:val="00B750B6"/>
    <w:rsid w:val="00B90D92"/>
    <w:rsid w:val="00B9337B"/>
    <w:rsid w:val="00BA101C"/>
    <w:rsid w:val="00BB3E01"/>
    <w:rsid w:val="00BD133C"/>
    <w:rsid w:val="00BD4A51"/>
    <w:rsid w:val="00C11FE9"/>
    <w:rsid w:val="00C40DCD"/>
    <w:rsid w:val="00C44F0D"/>
    <w:rsid w:val="00C7749A"/>
    <w:rsid w:val="00CD7B64"/>
    <w:rsid w:val="00DE0ADB"/>
    <w:rsid w:val="00DF659A"/>
    <w:rsid w:val="00E040E3"/>
    <w:rsid w:val="00E56F4D"/>
    <w:rsid w:val="00ED7CA1"/>
    <w:rsid w:val="00FA3D5C"/>
    <w:rsid w:val="00FF6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3B2271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B2271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3B227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3B2271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3B2271"/>
    <w:pPr>
      <w:jc w:val="center"/>
    </w:pPr>
    <w:rPr>
      <w:i/>
      <w:iCs/>
    </w:rPr>
  </w:style>
  <w:style w:type="paragraph" w:styleId="Lista">
    <w:name w:val="List"/>
    <w:basedOn w:val="Textbody"/>
    <w:rsid w:val="003B2271"/>
    <w:rPr>
      <w:rFonts w:cs="Tahoma"/>
    </w:rPr>
  </w:style>
  <w:style w:type="paragraph" w:styleId="Legenda">
    <w:name w:val="caption"/>
    <w:basedOn w:val="Standard"/>
    <w:rsid w:val="003B227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3B2271"/>
    <w:pPr>
      <w:suppressLineNumbers/>
    </w:pPr>
    <w:rPr>
      <w:rFonts w:cs="Tahoma"/>
    </w:rPr>
  </w:style>
  <w:style w:type="paragraph" w:styleId="Cabealho">
    <w:name w:val="header"/>
    <w:basedOn w:val="Normal"/>
    <w:rsid w:val="003B2271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3B2271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3B227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3B2271"/>
    <w:pPr>
      <w:suppressLineNumbers/>
    </w:pPr>
  </w:style>
  <w:style w:type="paragraph" w:customStyle="1" w:styleId="TableHeading">
    <w:name w:val="Table Heading"/>
    <w:basedOn w:val="TableContents"/>
    <w:rsid w:val="003B2271"/>
    <w:pPr>
      <w:jc w:val="center"/>
    </w:pPr>
    <w:rPr>
      <w:b/>
      <w:bCs/>
    </w:rPr>
  </w:style>
  <w:style w:type="character" w:styleId="Nmerodepgina">
    <w:name w:val="page number"/>
    <w:basedOn w:val="Fontepargpadro"/>
    <w:rsid w:val="003B2271"/>
  </w:style>
  <w:style w:type="character" w:customStyle="1" w:styleId="CabealhoChar">
    <w:name w:val="Cabeçalho Char"/>
    <w:basedOn w:val="Fontepargpadro"/>
    <w:rsid w:val="003B2271"/>
    <w:rPr>
      <w:rFonts w:cs="Mangal"/>
      <w:szCs w:val="21"/>
    </w:rPr>
  </w:style>
  <w:style w:type="character" w:customStyle="1" w:styleId="RodapChar">
    <w:name w:val="Rodapé Char"/>
    <w:basedOn w:val="Fontepargpadro"/>
    <w:rsid w:val="003B2271"/>
    <w:rPr>
      <w:rFonts w:cs="Mangal"/>
      <w:szCs w:val="21"/>
    </w:rPr>
  </w:style>
  <w:style w:type="character" w:customStyle="1" w:styleId="CabealhoChar1">
    <w:name w:val="Cabeçalho Char1"/>
    <w:basedOn w:val="Fontepargpadro"/>
    <w:rsid w:val="003B2271"/>
    <w:rPr>
      <w:rFonts w:cs="Mangal"/>
      <w:szCs w:val="21"/>
    </w:rPr>
  </w:style>
  <w:style w:type="character" w:customStyle="1" w:styleId="RodapChar1">
    <w:name w:val="Rodapé Char1"/>
    <w:basedOn w:val="Fontepargpadro"/>
    <w:rsid w:val="003B2271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3B2271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3B2271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2</TotalTime>
  <Pages>3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7</cp:revision>
  <cp:lastPrinted>2013-12-02T15:22:00Z</cp:lastPrinted>
  <dcterms:created xsi:type="dcterms:W3CDTF">2016-05-15T11:00:00Z</dcterms:created>
  <dcterms:modified xsi:type="dcterms:W3CDTF">2016-05-15T19:22:00Z</dcterms:modified>
</cp:coreProperties>
</file>