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9007AA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6C1C79" w:rsidRPr="00BE471A" w:rsidRDefault="006C1C79" w:rsidP="006C1C79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BE471A">
        <w:rPr>
          <w:rFonts w:ascii="Arial" w:hAnsi="Arial" w:cs="Arial"/>
        </w:rPr>
        <w:t xml:space="preserve">Padronizar </w:t>
      </w:r>
      <w:r w:rsidR="00B57F44">
        <w:rPr>
          <w:rFonts w:ascii="Arial" w:hAnsi="Arial" w:cs="Arial"/>
        </w:rPr>
        <w:t>e promover pratica segura</w:t>
      </w:r>
      <w:r w:rsidR="00DE1F4D">
        <w:rPr>
          <w:rFonts w:ascii="Arial" w:hAnsi="Arial" w:cs="Arial"/>
        </w:rPr>
        <w:t xml:space="preserve"> quanto ao</w:t>
      </w:r>
      <w:r w:rsidRPr="00BE471A">
        <w:rPr>
          <w:rFonts w:ascii="Arial" w:hAnsi="Arial" w:cs="Arial"/>
        </w:rPr>
        <w:t xml:space="preserve"> procedimento de </w:t>
      </w:r>
      <w:r>
        <w:rPr>
          <w:rFonts w:ascii="Arial" w:hAnsi="Arial" w:cs="Arial"/>
          <w:color w:val="000000"/>
        </w:rPr>
        <w:t>administração de medicamentos via endovenosa.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9007AA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9007AA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56137" w:rsidRPr="00256137" w:rsidRDefault="00256137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56137">
        <w:rPr>
          <w:rFonts w:ascii="Arial" w:hAnsi="Arial" w:cs="Arial"/>
        </w:rPr>
        <w:t>http://www20.anvisa.gov.br/segurancadopaciente/index.php/publicacoes/item/seguranca-na-prescricao-uso-e-administracao-de-medicamentos</w:t>
      </w:r>
      <w:r>
        <w:rPr>
          <w:rFonts w:ascii="Arial" w:hAnsi="Arial" w:cs="Arial"/>
        </w:rPr>
        <w:t>.</w:t>
      </w:r>
    </w:p>
    <w:p w:rsidR="0026067C" w:rsidRDefault="00D5650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Resolução RDC nº 306, de 07 de dezembro de 2004</w:t>
      </w:r>
      <w:r w:rsidR="00256137">
        <w:rPr>
          <w:rFonts w:ascii="Arial" w:hAnsi="Arial" w:cs="Arial"/>
        </w:rPr>
        <w:t>.</w:t>
      </w:r>
    </w:p>
    <w:p w:rsidR="00D56508" w:rsidRPr="005A4C3B" w:rsidRDefault="00D5650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Norma Regulamentadora 32 – NR 32 / Segurança e Saúde no Trabalho em Serviços de Saúde, anexo III – Plano de Prevenção de Risco de Acidentes com Materiais </w:t>
      </w:r>
      <w:proofErr w:type="spellStart"/>
      <w:r>
        <w:rPr>
          <w:rFonts w:ascii="Arial" w:hAnsi="Arial" w:cs="Arial"/>
        </w:rPr>
        <w:t>Perfurocortantes</w:t>
      </w:r>
      <w:proofErr w:type="spellEnd"/>
      <w:r>
        <w:rPr>
          <w:rFonts w:ascii="Arial" w:hAnsi="Arial" w:cs="Arial"/>
        </w:rPr>
        <w:t>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9007AA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81"/>
        <w:gridCol w:w="2125"/>
      </w:tblGrid>
      <w:tr w:rsidR="00852D28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9007A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2D28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83176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769" w:rsidRPr="005A4C3B" w:rsidRDefault="009007A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A60C5E">
              <w:rPr>
                <w:rFonts w:ascii="Arial" w:hAnsi="Arial" w:cs="Arial"/>
                <w:color w:val="000000"/>
              </w:rPr>
              <w:t xml:space="preserve">Fazer o rótulo, conferindo </w:t>
            </w:r>
            <w:r>
              <w:rPr>
                <w:rFonts w:ascii="Arial" w:hAnsi="Arial" w:cs="Arial"/>
                <w:color w:val="000000"/>
              </w:rPr>
              <w:t>os “9 Certos da Medicação”.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76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83176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769" w:rsidRPr="005A4C3B" w:rsidRDefault="009007A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1841D1">
              <w:rPr>
                <w:rFonts w:ascii="Arial" w:hAnsi="Arial" w:cs="Arial"/>
                <w:color w:val="000000"/>
              </w:rPr>
              <w:t xml:space="preserve"> as mãos conforme POP nº 51.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76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83176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769" w:rsidRPr="005A4C3B" w:rsidRDefault="009007A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3309A">
              <w:rPr>
                <w:rFonts w:ascii="Arial" w:hAnsi="Arial" w:cs="Arial"/>
                <w:color w:val="000000"/>
              </w:rPr>
              <w:t>Preparar o material</w:t>
            </w:r>
            <w:r w:rsidR="00BC6DFE">
              <w:rPr>
                <w:rFonts w:ascii="Arial" w:hAnsi="Arial" w:cs="Arial"/>
                <w:color w:val="000000"/>
              </w:rPr>
              <w:t>, a solução a ser administrada</w:t>
            </w:r>
            <w:r w:rsidRPr="0003309A">
              <w:rPr>
                <w:rFonts w:ascii="Arial" w:hAnsi="Arial" w:cs="Arial"/>
                <w:color w:val="000000"/>
              </w:rPr>
              <w:t xml:space="preserve"> e levá-lo para junto do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76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C07E3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7E39" w:rsidRPr="0003309A" w:rsidRDefault="00C07E3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A60C5E">
              <w:rPr>
                <w:rFonts w:ascii="Arial" w:hAnsi="Arial" w:cs="Arial"/>
                <w:color w:val="000000"/>
              </w:rPr>
              <w:lastRenderedPageBreak/>
              <w:t>Orientar o cliente</w:t>
            </w:r>
            <w:r>
              <w:rPr>
                <w:rFonts w:ascii="Arial" w:hAnsi="Arial" w:cs="Arial"/>
                <w:color w:val="000000"/>
              </w:rPr>
              <w:t xml:space="preserve"> quanto ao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3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C07E3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7E39" w:rsidRPr="00A60C5E" w:rsidRDefault="00C07E3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E55EBE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3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D25035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5035" w:rsidRDefault="00D25035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55EBE">
              <w:rPr>
                <w:rFonts w:ascii="Arial" w:hAnsi="Arial" w:cs="Arial"/>
                <w:color w:val="000000"/>
              </w:rPr>
              <w:t>Calçar as luvas de procedimento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5035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83176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769" w:rsidRPr="005A4C3B" w:rsidRDefault="001B340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Realizar punção venosa periférica conforme POP nº </w:t>
            </w:r>
            <w:r w:rsidR="00C55CFA">
              <w:rPr>
                <w:rFonts w:ascii="Arial" w:hAnsi="Arial" w:cs="Arial"/>
                <w:color w:val="000000"/>
              </w:rPr>
              <w:t>86, se o mesmo não estiver puncionado.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76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83176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769" w:rsidRPr="005A4C3B" w:rsidRDefault="00831769" w:rsidP="00A13B8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Injetar </w:t>
            </w:r>
            <w:r w:rsidR="00A13B8B">
              <w:rPr>
                <w:rFonts w:ascii="Arial" w:hAnsi="Arial" w:cs="Arial"/>
                <w:color w:val="000000"/>
              </w:rPr>
              <w:t>a medicação preparada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BD4A8E">
              <w:rPr>
                <w:rFonts w:ascii="Arial" w:hAnsi="Arial" w:cs="Arial"/>
                <w:color w:val="000000"/>
              </w:rPr>
              <w:t>lentamente</w:t>
            </w:r>
            <w:r w:rsidR="007B26F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76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83176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769" w:rsidRDefault="00831769" w:rsidP="002D398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Retirar a agulha e </w:t>
            </w:r>
            <w:r w:rsidR="002D3982">
              <w:rPr>
                <w:rFonts w:ascii="Arial" w:hAnsi="Arial" w:cs="Arial"/>
                <w:color w:val="000000"/>
              </w:rPr>
              <w:t xml:space="preserve">acionar o dispositivo de segurança, evitando acidente com o material </w:t>
            </w:r>
            <w:proofErr w:type="spellStart"/>
            <w:r w:rsidR="002D3982">
              <w:rPr>
                <w:rFonts w:ascii="Arial" w:hAnsi="Arial" w:cs="Arial"/>
                <w:color w:val="000000"/>
              </w:rPr>
              <w:t>perfurocortante</w:t>
            </w:r>
            <w:proofErr w:type="spellEnd"/>
            <w:r w:rsidR="002D398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76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27585B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7585B" w:rsidRDefault="0027585B" w:rsidP="002D3982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Desprezar os materiais </w:t>
            </w:r>
            <w:proofErr w:type="spellStart"/>
            <w:r>
              <w:rPr>
                <w:rFonts w:ascii="Arial" w:hAnsi="Arial" w:cs="Arial"/>
                <w:color w:val="000000"/>
              </w:rPr>
              <w:t>perfurocortantes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na caixa específica para descarte de materiais </w:t>
            </w:r>
            <w:proofErr w:type="spellStart"/>
            <w:r>
              <w:rPr>
                <w:rFonts w:ascii="Arial" w:hAnsi="Arial" w:cs="Arial"/>
                <w:color w:val="000000"/>
              </w:rPr>
              <w:t>perfurocortantes</w:t>
            </w:r>
            <w:proofErr w:type="spellEnd"/>
            <w:r>
              <w:rPr>
                <w:rFonts w:ascii="Arial" w:hAnsi="Arial" w:cs="Arial"/>
                <w:color w:val="000000"/>
              </w:rPr>
              <w:t>, observando que a caixa deve ser fechada ao atingir 2/3 da sua capacidade.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585B" w:rsidRPr="00B42FE4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F17DBB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DBB" w:rsidRDefault="00F17DB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DBB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F17DBB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DBB" w:rsidRDefault="0027585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 conforme POP nº 51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7DBB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B5298F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5298F" w:rsidRDefault="0027585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Manter o ambiente limpo e organizado.</w:t>
            </w:r>
            <w:bookmarkStart w:id="0" w:name="_GoBack"/>
            <w:bookmarkEnd w:id="0"/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98F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  <w:tr w:rsidR="0083176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769" w:rsidRPr="005A4C3B" w:rsidRDefault="00831769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Desprezar a seringa juntamente com a agulha na caixa de </w:t>
            </w:r>
            <w:proofErr w:type="spellStart"/>
            <w:r>
              <w:rPr>
                <w:rFonts w:ascii="Arial" w:hAnsi="Arial" w:cs="Arial"/>
                <w:color w:val="000000"/>
              </w:rPr>
              <w:t>perfurocortante</w:t>
            </w:r>
            <w:proofErr w:type="spellEnd"/>
            <w:r w:rsidR="00F17DB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76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Equipe Médica / Profissionais da </w:t>
            </w:r>
            <w:r>
              <w:rPr>
                <w:rFonts w:ascii="Arial" w:hAnsi="Arial" w:cs="Arial"/>
              </w:rPr>
              <w:lastRenderedPageBreak/>
              <w:t>Enfermagem</w:t>
            </w:r>
          </w:p>
        </w:tc>
      </w:tr>
      <w:tr w:rsidR="00831769" w:rsidRPr="005A4C3B" w:rsidTr="00BD4A8E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769" w:rsidRPr="005A4C3B" w:rsidRDefault="00F17DBB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lastRenderedPageBreak/>
              <w:t>Checar na prescrição médi</w:t>
            </w:r>
            <w:r w:rsidR="0027585B">
              <w:rPr>
                <w:rFonts w:ascii="Arial" w:hAnsi="Arial" w:cs="Arial"/>
              </w:rPr>
              <w:t xml:space="preserve">ca o medicamento administrado, registrar as </w:t>
            </w:r>
            <w:r w:rsidRPr="00522479">
              <w:rPr>
                <w:rFonts w:ascii="Arial" w:hAnsi="Arial" w:cs="Arial"/>
              </w:rPr>
              <w:t>observações importantes</w:t>
            </w:r>
            <w:r w:rsidRPr="00A60C5E">
              <w:rPr>
                <w:rFonts w:ascii="Arial" w:hAnsi="Arial" w:cs="Arial"/>
                <w:color w:val="000000"/>
              </w:rPr>
              <w:t>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769" w:rsidRPr="005A4C3B" w:rsidRDefault="008C668D" w:rsidP="005A4C3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Médica / Profissionais da Enfermagem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C210E0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C210E0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0E0" w:rsidRPr="008C2F29" w:rsidRDefault="00C210E0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0E0" w:rsidRPr="005A4C3B" w:rsidRDefault="00C210E0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0E0" w:rsidRPr="005A4C3B" w:rsidRDefault="00C210E0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0E0" w:rsidRPr="005A4C3B" w:rsidRDefault="00C210E0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0E0" w:rsidRPr="005A4C3B" w:rsidRDefault="00C210E0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10E0" w:rsidRPr="005A4C3B" w:rsidRDefault="00C210E0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C9279B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79B" w:rsidRPr="008C2F29" w:rsidRDefault="001F393C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F1FD9">
              <w:rPr>
                <w:rFonts w:ascii="Arial" w:hAnsi="Arial" w:cs="Arial"/>
                <w:sz w:val="20"/>
                <w:szCs w:val="20"/>
              </w:rPr>
              <w:t>Anotações de enfermagem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79B" w:rsidRDefault="001F393C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79B" w:rsidRDefault="001F393C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79B" w:rsidRDefault="001F393C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79B" w:rsidRDefault="001F393C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279B" w:rsidRDefault="001F393C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850504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BD4A8E" w:rsidRPr="00A02E60" w:rsidRDefault="00BD4A8E" w:rsidP="00A02E60">
      <w:pPr>
        <w:pStyle w:val="PargrafodaLista"/>
        <w:numPr>
          <w:ilvl w:val="0"/>
          <w:numId w:val="3"/>
        </w:numPr>
        <w:spacing w:line="360" w:lineRule="auto"/>
        <w:ind w:right="-574"/>
        <w:jc w:val="both"/>
        <w:rPr>
          <w:rFonts w:ascii="Arial" w:hAnsi="Arial" w:cs="Arial"/>
          <w:color w:val="000000"/>
        </w:rPr>
      </w:pPr>
      <w:r w:rsidRPr="00A02E60">
        <w:rPr>
          <w:rFonts w:ascii="Arial" w:hAnsi="Arial" w:cs="Arial"/>
          <w:color w:val="000000"/>
        </w:rPr>
        <w:t>Constante observação do gotejamento e de possível infiltração no local de inserção do cateter.</w:t>
      </w:r>
    </w:p>
    <w:p w:rsidR="00BD4A8E" w:rsidRPr="00A02E60" w:rsidRDefault="00BD4A8E" w:rsidP="00A02E60">
      <w:pPr>
        <w:pStyle w:val="PargrafodaLista"/>
        <w:numPr>
          <w:ilvl w:val="0"/>
          <w:numId w:val="3"/>
        </w:numPr>
        <w:spacing w:line="360" w:lineRule="auto"/>
        <w:ind w:right="-574"/>
        <w:jc w:val="both"/>
        <w:rPr>
          <w:rFonts w:ascii="Arial" w:hAnsi="Arial" w:cs="Arial"/>
          <w:color w:val="000000"/>
        </w:rPr>
      </w:pPr>
      <w:r w:rsidRPr="00A02E60">
        <w:rPr>
          <w:rFonts w:ascii="Arial" w:hAnsi="Arial" w:cs="Arial"/>
          <w:color w:val="000000"/>
        </w:rPr>
        <w:t>Se o paciente deambular, orientá-lo a manter o frasco elevado, evitando retorno sanguíneo e possibilidade de coagulação do sangue no cateter ou no equipo.</w:t>
      </w:r>
    </w:p>
    <w:p w:rsidR="00A02E60" w:rsidRPr="007B7276" w:rsidRDefault="00A02E60" w:rsidP="00A02E60">
      <w:pPr>
        <w:numPr>
          <w:ilvl w:val="0"/>
          <w:numId w:val="2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7B7276">
        <w:rPr>
          <w:rFonts w:ascii="Arial" w:hAnsi="Arial" w:cs="Arial"/>
        </w:rPr>
        <w:t xml:space="preserve">Vejam quais são os “9 Certos da Medicação”: </w:t>
      </w:r>
    </w:p>
    <w:p w:rsidR="00A02E60" w:rsidRPr="00E33652" w:rsidRDefault="00A02E60" w:rsidP="00A02E6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1) Paciente certo </w:t>
      </w:r>
    </w:p>
    <w:p w:rsidR="00A02E60" w:rsidRPr="00E33652" w:rsidRDefault="00A02E60" w:rsidP="00A02E6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2) Medicamento certo </w:t>
      </w:r>
    </w:p>
    <w:p w:rsidR="00A02E60" w:rsidRPr="00E33652" w:rsidRDefault="00A02E60" w:rsidP="00A02E6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3) Dose certa </w:t>
      </w:r>
    </w:p>
    <w:p w:rsidR="00A02E60" w:rsidRPr="00E33652" w:rsidRDefault="00A02E60" w:rsidP="00A02E6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4) Via certa </w:t>
      </w:r>
    </w:p>
    <w:p w:rsidR="00A02E60" w:rsidRPr="00E33652" w:rsidRDefault="00A02E60" w:rsidP="00A02E6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5) Hora certa </w:t>
      </w:r>
    </w:p>
    <w:p w:rsidR="00A02E60" w:rsidRPr="00E33652" w:rsidRDefault="00A02E60" w:rsidP="00A02E6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6) Tempo certo </w:t>
      </w:r>
    </w:p>
    <w:p w:rsidR="00A02E60" w:rsidRPr="00E33652" w:rsidRDefault="00A02E60" w:rsidP="00A02E6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7) Validade certa </w:t>
      </w:r>
    </w:p>
    <w:p w:rsidR="00A02E60" w:rsidRPr="00E33652" w:rsidRDefault="00A02E60" w:rsidP="00A02E6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8) Abordagem certa </w:t>
      </w:r>
    </w:p>
    <w:p w:rsidR="00A02E60" w:rsidRPr="00733C2F" w:rsidRDefault="00A02E60" w:rsidP="00A02E60">
      <w:pPr>
        <w:pStyle w:val="Standard"/>
        <w:spacing w:line="360" w:lineRule="auto"/>
        <w:ind w:right="-568"/>
        <w:rPr>
          <w:rFonts w:ascii="Arial" w:hAnsi="Arial" w:cs="Arial"/>
        </w:rPr>
      </w:pPr>
      <w:r w:rsidRPr="00E33652">
        <w:rPr>
          <w:rFonts w:ascii="Arial" w:hAnsi="Arial" w:cs="Arial"/>
        </w:rPr>
        <w:t xml:space="preserve">9) Registro certo </w:t>
      </w:r>
    </w:p>
    <w:p w:rsidR="00A02E60" w:rsidRDefault="00A02E60" w:rsidP="00BD4A8E">
      <w:pPr>
        <w:spacing w:line="360" w:lineRule="auto"/>
        <w:ind w:left="-574" w:right="-574"/>
        <w:jc w:val="both"/>
        <w:rPr>
          <w:rFonts w:ascii="Arial" w:hAnsi="Arial" w:cs="Arial"/>
          <w:color w:val="000000"/>
        </w:rPr>
      </w:pPr>
    </w:p>
    <w:p w:rsidR="0026067C" w:rsidRPr="005A4C3B" w:rsidRDefault="00850504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26067C" w:rsidRPr="005A4C3B" w:rsidRDefault="00850504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26067C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504" w:rsidRDefault="00850504">
      <w:r>
        <w:separator/>
      </w:r>
    </w:p>
  </w:endnote>
  <w:endnote w:type="continuationSeparator" w:id="0">
    <w:p w:rsidR="00850504" w:rsidRDefault="0085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0248" w:type="dxa"/>
      <w:jc w:val="center"/>
      <w:tblLook w:val="04A0" w:firstRow="1" w:lastRow="0" w:firstColumn="1" w:lastColumn="0" w:noHBand="0" w:noVBand="1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940BA6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940BA6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940BA6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940BA6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</w:p>
        <w:p w:rsidR="00B9337B" w:rsidRPr="00940BA6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 xml:space="preserve">                   __________________</w:t>
          </w:r>
          <w:r w:rsidR="00BE5CB1" w:rsidRPr="00940BA6">
            <w:rPr>
              <w:rFonts w:ascii="Arial" w:hAnsi="Arial" w:cs="Arial"/>
              <w:b/>
              <w:sz w:val="14"/>
              <w:szCs w:val="14"/>
            </w:rPr>
            <w:t>_________</w:t>
          </w:r>
        </w:p>
        <w:p w:rsidR="00B9337B" w:rsidRPr="00940BA6" w:rsidRDefault="00BE5CB1" w:rsidP="00BE5CB1">
          <w:pPr>
            <w:spacing w:line="360" w:lineRule="aut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>Gabriela A P Fonseca</w:t>
          </w:r>
        </w:p>
        <w:p w:rsidR="005575D8" w:rsidRPr="00940BA6" w:rsidRDefault="005575D8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>Data:</w:t>
          </w:r>
          <w:r w:rsidR="00675454" w:rsidRPr="00940BA6">
            <w:rPr>
              <w:rFonts w:ascii="Arial" w:hAnsi="Arial" w:cs="Arial"/>
              <w:b/>
              <w:sz w:val="14"/>
              <w:szCs w:val="14"/>
            </w:rPr>
            <w:t xml:space="preserve"> 10/01/2017</w:t>
          </w:r>
        </w:p>
      </w:tc>
      <w:tc>
        <w:tcPr>
          <w:tcW w:w="3260" w:type="dxa"/>
        </w:tcPr>
        <w:p w:rsidR="00B9337B" w:rsidRPr="00940BA6" w:rsidRDefault="00B9337B" w:rsidP="00FA3D5C">
          <w:pPr>
            <w:spacing w:line="360" w:lineRule="auto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  <w:p w:rsidR="00B9337B" w:rsidRPr="00940BA6" w:rsidRDefault="00B9337B" w:rsidP="00FA3D5C">
          <w:pPr>
            <w:spacing w:line="360" w:lineRule="aut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>______________________</w:t>
          </w:r>
          <w:r w:rsidR="0078594A" w:rsidRPr="00940BA6">
            <w:rPr>
              <w:rFonts w:ascii="Arial" w:hAnsi="Arial" w:cs="Arial"/>
              <w:b/>
              <w:sz w:val="14"/>
              <w:szCs w:val="14"/>
            </w:rPr>
            <w:t>____</w:t>
          </w:r>
        </w:p>
        <w:p w:rsidR="00B9337B" w:rsidRPr="00940BA6" w:rsidRDefault="0078594A" w:rsidP="00BE5CB1">
          <w:pPr>
            <w:spacing w:line="360" w:lineRule="aut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>Mayara Soares Peixoto</w:t>
          </w:r>
        </w:p>
        <w:p w:rsidR="00B9337B" w:rsidRPr="00940BA6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 xml:space="preserve">Data: </w:t>
          </w:r>
          <w:r w:rsidR="00675454" w:rsidRPr="00940BA6">
            <w:rPr>
              <w:rFonts w:ascii="Arial" w:hAnsi="Arial" w:cs="Arial"/>
              <w:b/>
              <w:sz w:val="14"/>
              <w:szCs w:val="14"/>
            </w:rPr>
            <w:t>13/01/2017</w:t>
          </w:r>
        </w:p>
      </w:tc>
      <w:tc>
        <w:tcPr>
          <w:tcW w:w="3138" w:type="dxa"/>
        </w:tcPr>
        <w:p w:rsidR="00B9337B" w:rsidRPr="00940BA6" w:rsidRDefault="00B9337B" w:rsidP="00FA3D5C">
          <w:pPr>
            <w:spacing w:line="360" w:lineRule="auto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  <w:p w:rsidR="00B9337B" w:rsidRPr="00940BA6" w:rsidRDefault="00B9337B" w:rsidP="00FA3D5C">
          <w:pPr>
            <w:spacing w:line="360" w:lineRule="aut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>__________________</w:t>
          </w:r>
          <w:r w:rsidR="00940BA6" w:rsidRPr="00940BA6">
            <w:rPr>
              <w:rFonts w:ascii="Arial" w:hAnsi="Arial" w:cs="Arial"/>
              <w:b/>
              <w:sz w:val="14"/>
              <w:szCs w:val="14"/>
            </w:rPr>
            <w:t>_________</w:t>
          </w:r>
        </w:p>
        <w:p w:rsidR="00B9337B" w:rsidRPr="00940BA6" w:rsidRDefault="00940BA6" w:rsidP="0078594A">
          <w:pPr>
            <w:spacing w:line="360" w:lineRule="auto"/>
            <w:jc w:val="center"/>
            <w:rPr>
              <w:rFonts w:ascii="Arial" w:hAnsi="Arial" w:cs="Arial"/>
              <w:b/>
              <w:sz w:val="14"/>
              <w:szCs w:val="14"/>
            </w:rPr>
          </w:pPr>
          <w:proofErr w:type="spellStart"/>
          <w:r w:rsidRPr="00940BA6">
            <w:rPr>
              <w:rFonts w:ascii="Arial" w:hAnsi="Arial" w:cs="Arial"/>
              <w:b/>
              <w:sz w:val="14"/>
              <w:szCs w:val="14"/>
            </w:rPr>
            <w:t>Valney</w:t>
          </w:r>
          <w:proofErr w:type="spellEnd"/>
          <w:r w:rsidRPr="00940BA6">
            <w:rPr>
              <w:rFonts w:ascii="Arial" w:hAnsi="Arial" w:cs="Arial"/>
              <w:b/>
              <w:sz w:val="14"/>
              <w:szCs w:val="14"/>
            </w:rPr>
            <w:t xml:space="preserve"> Luiz da Rocha</w:t>
          </w:r>
        </w:p>
        <w:p w:rsidR="00B9337B" w:rsidRPr="00940BA6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940BA6">
            <w:rPr>
              <w:rFonts w:ascii="Arial" w:hAnsi="Arial" w:cs="Arial"/>
              <w:b/>
              <w:sz w:val="14"/>
              <w:szCs w:val="14"/>
            </w:rPr>
            <w:t xml:space="preserve">Data: </w:t>
          </w:r>
          <w:r w:rsidR="00675454" w:rsidRPr="00940BA6">
            <w:rPr>
              <w:rFonts w:ascii="Arial" w:hAnsi="Arial" w:cs="Arial"/>
              <w:b/>
              <w:sz w:val="14"/>
              <w:szCs w:val="14"/>
            </w:rPr>
            <w:t>23/01/2017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Os promotores do evento não poderão alterar as instalações elétricas, hidráulicas,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Os equipamentos do auditório somente serão operados pela equipe técnica da Divisão de Eventos. Não é permitida a instalação ou substituição de quaisquer aparelhos,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dependência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refrigerantes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504" w:rsidRDefault="00850504">
      <w:r>
        <w:rPr>
          <w:color w:val="000000"/>
        </w:rPr>
        <w:separator/>
      </w:r>
    </w:p>
  </w:footnote>
  <w:footnote w:type="continuationSeparator" w:id="0">
    <w:p w:rsidR="00850504" w:rsidRDefault="00850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BD4A8E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D4A8E" w:rsidRDefault="00BD4A8E" w:rsidP="00BD4A8E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D4A8E" w:rsidRDefault="001704C5" w:rsidP="00BD4A8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078</w:t>
          </w:r>
        </w:p>
      </w:tc>
    </w:tr>
    <w:tr w:rsidR="00BD4A8E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D4A8E" w:rsidRDefault="00BD4A8E" w:rsidP="00BD4A8E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Medicamentos V</w:t>
          </w:r>
          <w:r w:rsidRPr="002B10E2">
            <w:rPr>
              <w:rFonts w:ascii="Arial" w:hAnsi="Arial" w:cs="Arial"/>
              <w:b/>
              <w:color w:val="000000"/>
            </w:rPr>
            <w:t xml:space="preserve">ia </w:t>
          </w:r>
          <w:r>
            <w:rPr>
              <w:rFonts w:ascii="Arial" w:hAnsi="Arial" w:cs="Arial"/>
              <w:b/>
              <w:color w:val="000000"/>
            </w:rPr>
            <w:t>Endovenosa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D4A8E" w:rsidRDefault="001704C5" w:rsidP="00BD4A8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02</w:t>
          </w:r>
        </w:p>
      </w:tc>
    </w:tr>
    <w:tr w:rsidR="00BD4A8E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D4A8E" w:rsidRDefault="00BD4A8E" w:rsidP="00BD4A8E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BD4A8E" w:rsidRDefault="00BD4A8E" w:rsidP="00BD4A8E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704C5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704C5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BD4A8E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584B16">
            <w:rPr>
              <w:rFonts w:ascii="Arial" w:hAnsi="Arial" w:cs="Arial"/>
              <w:b/>
              <w:bCs/>
              <w:sz w:val="18"/>
              <w:szCs w:val="18"/>
            </w:rPr>
            <w:t>078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BD4A8E">
            <w:rPr>
              <w:rFonts w:ascii="Arial" w:hAnsi="Arial" w:cs="Arial"/>
              <w:b/>
              <w:color w:val="000000"/>
            </w:rPr>
            <w:t>Administração de Medicamentos V</w:t>
          </w:r>
          <w:r w:rsidR="00BD4A8E" w:rsidRPr="002B10E2">
            <w:rPr>
              <w:rFonts w:ascii="Arial" w:hAnsi="Arial" w:cs="Arial"/>
              <w:b/>
              <w:color w:val="000000"/>
            </w:rPr>
            <w:t xml:space="preserve">ia </w:t>
          </w:r>
          <w:r w:rsidR="00BD4A8E">
            <w:rPr>
              <w:rFonts w:ascii="Arial" w:hAnsi="Arial" w:cs="Arial"/>
              <w:b/>
              <w:color w:val="000000"/>
            </w:rPr>
            <w:t>Endovenosa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0D215C">
            <w:rPr>
              <w:rFonts w:ascii="Arial" w:hAnsi="Arial" w:cs="Arial"/>
              <w:b/>
              <w:bCs/>
              <w:sz w:val="18"/>
              <w:szCs w:val="18"/>
            </w:rPr>
            <w:t>2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704C5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704C5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28120D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5EC2"/>
    <w:multiLevelType w:val="hybridMultilevel"/>
    <w:tmpl w:val="2AE85EF4"/>
    <w:lvl w:ilvl="0" w:tplc="04160001">
      <w:start w:val="1"/>
      <w:numFmt w:val="bullet"/>
      <w:lvlText w:val=""/>
      <w:lvlJc w:val="left"/>
      <w:pPr>
        <w:ind w:left="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</w:abstractNum>
  <w:abstractNum w:abstractNumId="1">
    <w:nsid w:val="611227B5"/>
    <w:multiLevelType w:val="hybridMultilevel"/>
    <w:tmpl w:val="887EDC3C"/>
    <w:lvl w:ilvl="0" w:tplc="04160001">
      <w:start w:val="1"/>
      <w:numFmt w:val="bullet"/>
      <w:lvlText w:val=""/>
      <w:lvlJc w:val="left"/>
      <w:pPr>
        <w:ind w:left="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06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0C3"/>
    <w:rsid w:val="000037AD"/>
    <w:rsid w:val="0002744F"/>
    <w:rsid w:val="000868D0"/>
    <w:rsid w:val="000D215C"/>
    <w:rsid w:val="001704C5"/>
    <w:rsid w:val="00171435"/>
    <w:rsid w:val="001841D1"/>
    <w:rsid w:val="001B340A"/>
    <w:rsid w:val="001F393C"/>
    <w:rsid w:val="00245FBA"/>
    <w:rsid w:val="0025419D"/>
    <w:rsid w:val="00256137"/>
    <w:rsid w:val="0026067C"/>
    <w:rsid w:val="0027585B"/>
    <w:rsid w:val="0028120D"/>
    <w:rsid w:val="002C093B"/>
    <w:rsid w:val="002D3982"/>
    <w:rsid w:val="0030214B"/>
    <w:rsid w:val="00317AAC"/>
    <w:rsid w:val="00383810"/>
    <w:rsid w:val="003B6A43"/>
    <w:rsid w:val="003C431B"/>
    <w:rsid w:val="003D6745"/>
    <w:rsid w:val="004C35EC"/>
    <w:rsid w:val="004D1227"/>
    <w:rsid w:val="0050651D"/>
    <w:rsid w:val="00532EC0"/>
    <w:rsid w:val="005575D8"/>
    <w:rsid w:val="00584B16"/>
    <w:rsid w:val="005A4C3B"/>
    <w:rsid w:val="0062767B"/>
    <w:rsid w:val="006456AB"/>
    <w:rsid w:val="00675454"/>
    <w:rsid w:val="006C1C79"/>
    <w:rsid w:val="0078594A"/>
    <w:rsid w:val="007B26FE"/>
    <w:rsid w:val="008108BC"/>
    <w:rsid w:val="00831769"/>
    <w:rsid w:val="00850504"/>
    <w:rsid w:val="00852D28"/>
    <w:rsid w:val="008A0B5E"/>
    <w:rsid w:val="008B1881"/>
    <w:rsid w:val="008B239D"/>
    <w:rsid w:val="008C668D"/>
    <w:rsid w:val="009007AA"/>
    <w:rsid w:val="00940BA6"/>
    <w:rsid w:val="009D6342"/>
    <w:rsid w:val="00A02E60"/>
    <w:rsid w:val="00A13B8B"/>
    <w:rsid w:val="00A16733"/>
    <w:rsid w:val="00A3151B"/>
    <w:rsid w:val="00A340C3"/>
    <w:rsid w:val="00A664BB"/>
    <w:rsid w:val="00B30425"/>
    <w:rsid w:val="00B5298F"/>
    <w:rsid w:val="00B57F44"/>
    <w:rsid w:val="00B750B6"/>
    <w:rsid w:val="00B90D92"/>
    <w:rsid w:val="00B9337B"/>
    <w:rsid w:val="00B9779C"/>
    <w:rsid w:val="00BA101C"/>
    <w:rsid w:val="00BC6DFE"/>
    <w:rsid w:val="00BD133C"/>
    <w:rsid w:val="00BD4A8E"/>
    <w:rsid w:val="00BE5CB1"/>
    <w:rsid w:val="00C07E39"/>
    <w:rsid w:val="00C210E0"/>
    <w:rsid w:val="00C40DCD"/>
    <w:rsid w:val="00C55CFA"/>
    <w:rsid w:val="00C7749A"/>
    <w:rsid w:val="00C9279B"/>
    <w:rsid w:val="00D25035"/>
    <w:rsid w:val="00D56508"/>
    <w:rsid w:val="00DE1F4D"/>
    <w:rsid w:val="00DF659A"/>
    <w:rsid w:val="00F17DBB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60686-F8AF-47BB-8495-33501438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2C093B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C093B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2C093B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2C093B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2C093B"/>
    <w:pPr>
      <w:jc w:val="center"/>
    </w:pPr>
    <w:rPr>
      <w:i/>
      <w:iCs/>
    </w:rPr>
  </w:style>
  <w:style w:type="paragraph" w:styleId="Lista">
    <w:name w:val="List"/>
    <w:basedOn w:val="Textbody"/>
    <w:rsid w:val="002C093B"/>
    <w:rPr>
      <w:rFonts w:cs="Tahoma"/>
    </w:rPr>
  </w:style>
  <w:style w:type="paragraph" w:styleId="Legenda">
    <w:name w:val="caption"/>
    <w:basedOn w:val="Standard"/>
    <w:rsid w:val="002C093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2C093B"/>
    <w:pPr>
      <w:suppressLineNumbers/>
    </w:pPr>
    <w:rPr>
      <w:rFonts w:cs="Tahoma"/>
    </w:rPr>
  </w:style>
  <w:style w:type="paragraph" w:styleId="Cabealho">
    <w:name w:val="header"/>
    <w:basedOn w:val="Normal"/>
    <w:rsid w:val="002C093B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2C093B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2C093B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2C093B"/>
    <w:pPr>
      <w:suppressLineNumbers/>
    </w:pPr>
  </w:style>
  <w:style w:type="paragraph" w:customStyle="1" w:styleId="TableHeading">
    <w:name w:val="Table Heading"/>
    <w:basedOn w:val="TableContents"/>
    <w:rsid w:val="002C093B"/>
    <w:pPr>
      <w:jc w:val="center"/>
    </w:pPr>
    <w:rPr>
      <w:b/>
      <w:bCs/>
    </w:rPr>
  </w:style>
  <w:style w:type="character" w:styleId="Nmerodepgina">
    <w:name w:val="page number"/>
    <w:basedOn w:val="Fontepargpadro"/>
    <w:rsid w:val="002C093B"/>
  </w:style>
  <w:style w:type="character" w:customStyle="1" w:styleId="CabealhoChar">
    <w:name w:val="Cabeçalho Char"/>
    <w:basedOn w:val="Fontepargpadro"/>
    <w:rsid w:val="002C093B"/>
    <w:rPr>
      <w:rFonts w:cs="Mangal"/>
      <w:szCs w:val="21"/>
    </w:rPr>
  </w:style>
  <w:style w:type="character" w:customStyle="1" w:styleId="RodapChar">
    <w:name w:val="Rodapé Char"/>
    <w:basedOn w:val="Fontepargpadro"/>
    <w:rsid w:val="002C093B"/>
    <w:rPr>
      <w:rFonts w:cs="Mangal"/>
      <w:szCs w:val="21"/>
    </w:rPr>
  </w:style>
  <w:style w:type="character" w:customStyle="1" w:styleId="CabealhoChar1">
    <w:name w:val="Cabeçalho Char1"/>
    <w:basedOn w:val="Fontepargpadro"/>
    <w:rsid w:val="002C093B"/>
    <w:rPr>
      <w:rFonts w:cs="Mangal"/>
      <w:szCs w:val="21"/>
    </w:rPr>
  </w:style>
  <w:style w:type="character" w:customStyle="1" w:styleId="RodapChar1">
    <w:name w:val="Rodapé Char1"/>
    <w:basedOn w:val="Fontepargpadro"/>
    <w:rsid w:val="002C093B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2C093B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2C093B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63</TotalTime>
  <Pages>3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Reserva</cp:lastModifiedBy>
  <cp:revision>34</cp:revision>
  <cp:lastPrinted>2013-12-02T15:22:00Z</cp:lastPrinted>
  <dcterms:created xsi:type="dcterms:W3CDTF">2016-05-18T12:12:00Z</dcterms:created>
  <dcterms:modified xsi:type="dcterms:W3CDTF">2017-06-07T13:40:00Z</dcterms:modified>
</cp:coreProperties>
</file>