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10"/>
        <w:gridCol w:w="810"/>
        <w:gridCol w:w="810"/>
        <w:gridCol w:w="810"/>
        <w:gridCol w:w="810"/>
        <w:gridCol w:w="810"/>
        <w:gridCol w:w="810"/>
        <w:gridCol w:w="810"/>
        <w:gridCol w:w="810"/>
        <w:gridCol w:w="810"/>
        <w:gridCol w:w="810"/>
        <w:gridCol w:w="810"/>
        <w:gridCol w:w="810"/>
        <w:gridCol w:w="810"/>
        <w:gridCol w:w="810"/>
        <w:gridCol w:w="810"/>
        <w:gridCol w:w="810"/>
        <w:gridCol w:w="810"/>
        <w:gridCol w:w="810"/>
      </w:tblGrid>
      <w:tr>
        <w:tc>
          <w:tcPr>
            <w:tcW w:type="dxa" w:w="795"/>
            <w:shd w:fill="FFFFFF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Filename</w:t>
            </w:r>
          </w:p>
        </w:tc>
        <w:tc>
          <w:tcPr>
            <w:tcW w:type="dxa" w:w="795"/>
            <w:shd w:fill="FFFFFF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Confidence</w:t>
            </w:r>
          </w:p>
        </w:tc>
        <w:tc>
          <w:tcPr>
            <w:tcW w:type="dxa" w:w="795"/>
            <w:shd w:fill="FFFFFF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Paper Title</w:t>
            </w:r>
          </w:p>
        </w:tc>
        <w:tc>
          <w:tcPr>
            <w:tcW w:type="dxa" w:w="795"/>
            <w:shd w:fill="FFFFFF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Journal</w:t>
            </w:r>
          </w:p>
        </w:tc>
        <w:tc>
          <w:tcPr>
            <w:tcW w:type="dxa" w:w="795"/>
            <w:shd w:fill="FFFFFF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DOI</w:t>
            </w:r>
          </w:p>
        </w:tc>
        <w:tc>
          <w:tcPr>
            <w:tcW w:type="dxa" w:w="795"/>
            <w:shd w:fill="FFFFFF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Category</w:t>
            </w:r>
          </w:p>
        </w:tc>
        <w:tc>
          <w:tcPr>
            <w:tcW w:type="dxa" w:w="795"/>
            <w:shd w:fill="FFFFFF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Therapeutic Area</w:t>
            </w:r>
          </w:p>
        </w:tc>
        <w:tc>
          <w:tcPr>
            <w:tcW w:type="dxa" w:w="795"/>
            <w:shd w:fill="FFFFFF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Medical Condition</w:t>
            </w:r>
          </w:p>
        </w:tc>
        <w:tc>
          <w:tcPr>
            <w:tcW w:type="dxa" w:w="795"/>
            <w:shd w:fill="FFFFFF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Concept of Interest</w:t>
            </w:r>
          </w:p>
        </w:tc>
        <w:tc>
          <w:tcPr>
            <w:tcW w:type="dxa" w:w="795"/>
            <w:shd w:fill="FFFFFF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Outcome Assessment</w:t>
            </w:r>
          </w:p>
        </w:tc>
        <w:tc>
          <w:tcPr>
            <w:tcW w:type="dxa" w:w="795"/>
            <w:shd w:fill="FFFFFF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Comparator Measure</w:t>
            </w:r>
          </w:p>
        </w:tc>
        <w:tc>
          <w:tcPr>
            <w:tcW w:type="dxa" w:w="795"/>
            <w:shd w:fill="FFFFFF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Technology</w:t>
            </w:r>
          </w:p>
        </w:tc>
        <w:tc>
          <w:tcPr>
            <w:tcW w:type="dxa" w:w="795"/>
            <w:shd w:fill="FFFFFF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Make and Model</w:t>
            </w:r>
          </w:p>
        </w:tc>
        <w:tc>
          <w:tcPr>
            <w:tcW w:type="dxa" w:w="795"/>
            <w:shd w:fill="FFFFFF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Wear Location</w:t>
            </w:r>
          </w:p>
        </w:tc>
        <w:tc>
          <w:tcPr>
            <w:tcW w:type="dxa" w:w="795"/>
            <w:shd w:fill="FFFFFF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Algorithm/Analysis Software</w:t>
            </w:r>
          </w:p>
        </w:tc>
        <w:tc>
          <w:tcPr>
            <w:tcW w:type="dxa" w:w="795"/>
            <w:shd w:fill="FFFFFF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Sample Size</w:t>
            </w:r>
          </w:p>
        </w:tc>
        <w:tc>
          <w:tcPr>
            <w:tcW w:type="dxa" w:w="795"/>
            <w:shd w:fill="FFFFFF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Participant Age</w:t>
            </w:r>
          </w:p>
        </w:tc>
        <w:tc>
          <w:tcPr>
            <w:tcW w:type="dxa" w:w="795"/>
            <w:shd w:fill="FFFFFF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Participant Gender.</w:t>
            </w:r>
          </w:p>
        </w:tc>
        <w:tc>
          <w:tcPr>
            <w:tcW w:type="dxa" w:w="795"/>
            <w:shd w:fill="FFFFFF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Sensor(s)</w:t>
            </w:r>
          </w:p>
        </w:tc>
      </w:tr>
      <w:tr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1-s2.0-S1532046414001518-main.pdf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0.2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Classifying obstructive sleep apnea using smartphones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Journal of Biomedical Informatics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http://dx.doi.org/10.1016/j.jbi.2014.07.004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Not Found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Not Found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Obstructive sleep apnea (OSA)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Classifying obstructive sleep apnea using smartphones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Accuracy metrics including sensitivity, specificity, PPV, NPV; AHI comparison with gold standard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Polysomnography (PSG)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Smartphone (Android)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Samsung-Galaxy SII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On patient's arm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Android SDK and Matlab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15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Not Found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14 male, 1 female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Not Found</w:t>
            </w:r>
          </w:p>
        </w:tc>
      </w:tr>
      <w:tr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10.1016@j.jneumeth.2018.02.015.pdf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0.2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Essential Tremor Quantiﬁcation Based on the Combined Use of a Smartphone and a Smartwatch: the NetMD study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Journal of Neuroscience Methods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https://doi.org/10.1016/j.jneumeth.2018.02.015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Not Found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Not Found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Essential Tremor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Tremor quantification using a smartphone and smartwatch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Tremor intensity quantification via root mean square of angular velocity from gyroscopes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Fahn-Tolosa-Marin Tremor Rating Scale (FTM-TRS)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Smartphone and Smartwatch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Sony Smartwatch3 (SW3)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Wrist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Matlab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34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64 years (mean)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Not Found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Not Found</w:t>
            </w:r>
          </w:p>
        </w:tc>
      </w:tr>
      <w:tr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2611062.pdf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0.6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Quantifying the relative change in physical activity after Total Knee Arthroplasty using accelerometer based measurements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Not Found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Not Found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Not Found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Total Knee Arthroplasty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Osteoarthritis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Quantifying the relative change in physical activity after Total Knee Arthroplasty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Accelerometer based physical activity measurements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Not Found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Accelerometer based measurement system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Not Found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Not Found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Not Found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Not Found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Not Found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Not Found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Accelerometer</w:t>
            </w:r>
          </w:p>
        </w:tc>
      </w:tr>
      <w:tr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Accuracy of Three Activity Monitors in Patients with Chronic Obstructive Pulmonary Disease  A Comparison with Video Recordings.pdf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0.9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Accuracy of Three Activity Monitors in Patients with Chronic Obstructive Pulmonary Disease: A Comparison with Video Recordings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COPD: Journal of Chronic Obstructive Pulmonary Disease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10.3109/15412555.2014.898033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Not Found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Chronic Obstructive Pulmonary Disease (COPD)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Chronic Obstructive Pulmonary Disease (COPD)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Accuracy of activity monitors (steps, body position, activity/inactivity differentiation) in COPD patients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Steps, body position, time spent in different body positions, and ability to differentiate physical activity and inactivity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Video recordings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Activity monitors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DynaPort ADL-monitor, DynaPort MiniMod, SenseWear Armband Pro 3 monitor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Waist (front side) + upper left thigh (DynaPort ADL), Waist (lumbar) (DynaPort MiniMod), Right arm triceps (SenseWear Armband)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Manufacturer's in-house analysis (McRoberts), Inner View PC software (SenseWear)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15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64 (59–69) years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8 females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Accelerometer(s) (triaxial for DynaPort, biaxial for SenseWear)</w:t>
            </w:r>
          </w:p>
        </w:tc>
      </w:tr>
      <w:tr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aghagolzadeh2016.pdf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0.8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Predicting Seizures from Local Field Potentials Recorded via Intracortical Microelectrode Arrays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Not Found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Not Found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Not Found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Not Found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Focal epilepsy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Seizure prediction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Seizure detection/prediction performance (80% detection; no false positives)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Not Found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Closed-loop systems for seizure control (using CNNs on LFPs)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Blackrock Microsystems, NeuroPort 10×10 microelectrode array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Middle temporal gyrus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Deep Convolutional Neural Networks (CNNs)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5 (5 clinical seizures)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Not Found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Not Found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Local field potentials (LFPs) from microelectrode array</w:t>
            </w:r>
          </w:p>
        </w:tc>
      </w:tr>
      <w:tr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alharbi2016.pdf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1.0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Validation of Fitbit-Flex as a measure of free-living physical activity in a community-based phase III cardiac rehabilitation population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European Journal of Preventive Cardiology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10.1177/2047487316634883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Not Found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Cardiac Rehabilitation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Coronary heart disease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Validation of Fitbit-Flex as a measure of free-living physical activity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step counts and minutes of moderate to vigorous physical activity (MVPA)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Actigraph accelerometer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Fitbit-Flex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Fitbit-Flex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Wrist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SPSS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48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65.6 ± 6.9 years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52.1% males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accelerometer</w:t>
            </w:r>
          </w:p>
        </w:tc>
      </w:tr>
      <w:tr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andrzejewski2016.pdf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0.9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Wearable Sensors in Huntington Disease: A Pilot Study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Journal of Huntington’s Disease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10.3233/JHD-160197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Not Found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Huntington Disease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Huntington Disease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Wearable sensors for motor impairment assessment in Huntington disease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Motor impairment (specifically gait measures)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Control group vs Huntington disease participants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Accelerometer-based wearable sensors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PAMSys-X™ (BioSensics)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Ankles, wrists, and chest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PAMWare™ (BioSensics)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20 (15 Huntington disease participants, 5 controls)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Mean age of Huntington disease participants: 56.8 ± 6.6 years; Controls: 53.4 ± 20.4 years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Huntington disease: 40% women; Controls: 60% women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Accelerometer-based sensors (chest, ankle, wrist)</w:t>
            </w:r>
          </w:p>
        </w:tc>
      </w:tr>
      <w:tr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arefin2015.pdf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0.8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QRS Complex Detection in ECG Signal for Wearable Devices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Not Found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Not Found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Not Found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Cardiovascular Disease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Arrhythmias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QRS complex detection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Detection rate, sensitivity, positive predictivity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Pan and Tompkins algorithm, Afonso algorithm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Wearable ECG technology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Not Found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Not Found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Dual slope based QRS detection algorithm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Not Found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Not Found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Not Found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Electrocardiogram (ECG) sensors</w:t>
            </w:r>
          </w:p>
        </w:tc>
      </w:tr>
      <w:tr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atallah2014.pdf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0.9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Gait asymmetry detection in older adults using a light ear-worn sensor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Physiological Measurement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10.1088/0967-3334/35/5/N29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Not Found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Orthopedic surgery and osteoarthritis management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Osteoarthritis, post-hip/knee replacement conditions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Gait asymmetry detection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Gait asymmetry (temporal features: gait cycle time, step-period asymmetry)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Instrumented treadmill (with force plates)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Ear-worn sensor system (3D accelerometer)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Not Found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Ear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Matlab (including peakdet.m for peak detection)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64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60.04 (15.36)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34 females, 30 males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3D accelerometer</w:t>
            </w:r>
          </w:p>
        </w:tc>
      </w:tr>
      <w:tr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bahr2014.pdf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0.9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Miniature ambulatory skin conductance monitor and algorithm for investigating hot flash events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Physiol. Meas.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10.1088/0967-3334/35/2/95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Not Found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Not Found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Hot flash (hot flush)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Hot flash detection via skin conductance monitoring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Accuracy of hot flash detection (sensitivity, specificity)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Expert-marked hot flash events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Miniature ambulatory skin conductance monitor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Not Found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Sternum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Matched filter (with multiple kernels) and Artificial Neural Network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17 (development cohort) and 20 (validation cohort)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45 to 60 years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Female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Skin conductance sensor</w:t>
            </w:r>
          </w:p>
        </w:tc>
      </w:tr>
      <w:tr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bailey2014.pdf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0.9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Clinical Accuracy of a Continuous Glucose Monitoring System With an Advanced Algorithm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Journal of Diabetes Science and Technology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10.1177/1932296814559746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Not Found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Diabetes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Diabetes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Performance of a modified Dexcom G4 Platinum CGM system with advanced algorithm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Clinical accuracy assessment (compared with YSI venous samples and SMBG)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Frequent venous samples (YSI laboratory reference) and self-monitored blood glucose (SMBG)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Continuous Glucose Monitoring (CGM) system (modified Dexcom G4 Platinum)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Dexcom G4 Platinum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Not Found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Advanced algorithm (modified calibration algorithm)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51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Not Found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Not Found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Dexcom G4 Platinum sensor</w:t>
            </w:r>
          </w:p>
        </w:tc>
      </w:tr>
      <w:tr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bailey2015.pdf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0.85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The Performance and Usability of a Factory-Calibrated Flash Glucose Monitoring System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Not Found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Not Found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Not Found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Diabetes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Type 1 or Type 2 Diabetes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Performance and Usability of Flash Glucose Monitoring System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Accuracy (e.g., percentage within Consensus Error Grid Zone A, mean absolute relative difference)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Capillary blood glucose results (BG meter and YSI analyzer)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FreeStyle Libre Flash glucose monitoring system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FreeStyle Libre (Abbott Diabetes Care)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Back of upper arm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Not Found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72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Not Found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Not Found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FreeStyle Libre sensor</w:t>
            </w:r>
          </w:p>
        </w:tc>
      </w:tr>
      <w:tr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bailey20140-.pdf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0.9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Accuracy and Acceptability of the 6-Day Enlite Continuous Subcutaneous Glucose Sensor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DIABETES TECHNOLOGY &amp; THERAPEUTICS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10.1089/dia.2013.0222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Not Found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Diabetes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Diabetes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Performance and acceptability of the 6-Day Enlite Continuous Subcutaneous Glucose Sensor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Accuracy assessment (mean absolute relative difference, ARD; agreement rates; consensus error grid analysis) and acceptability (subject satisfaction questionnaire)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Frequently sampled plasma glucose values (reference method: YSI 2300 STAT Plus glucose and lactate analyzer)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Continuous Subcutaneous Glucose Sensor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Medtronic MiniMed, Inc. Enlite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Abdomen and/or buttock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Not Found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90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18–75 years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54.4% male, 45.6% female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Enlite glucose sensor</w:t>
            </w:r>
          </w:p>
        </w:tc>
      </w:tr>
      <w:tr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banerjee20180?.pdf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0.2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Validating a commercial device for continuous activity measurement in the older adult population for dementia management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Smart Health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https://doi.org/10.1016/j.smhl.2017.11.001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Not Found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Dementia Management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Dementia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Continuous activity measurement for dementia management in older adults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Validation of physiological parameters (heart rate, breathing rate, step count, activity level) against clinical gold standard measures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Clinical gold standard measures (e.g., motion capture system, metabolic cart, Polar Heart rate monitor)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Hexoskin sensor vest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Hexoskin sensor vest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Under-shirt (anatomically closest to right anterior superior iliac spine for activity level)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Not Found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31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65 and older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12 male, 19 female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Not Found</w:t>
            </w:r>
          </w:p>
        </w:tc>
      </w:tr>
      <w:tr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banerjee20180?.pdf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0.2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Validating a commercial device for continuous activity measurement in the older adult population for dementia management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Smart Health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https://doi.org/10.1016/j.smhl.2017.11.001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Not Found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Dementia Management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Dementia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Continuous activity measurement for dementia management in older adults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Validation of physiological parameters (heart rate, breathing rate, step count, activity level) against clinical gold standard measures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Clinical gold standard measures (e.g., motion capture system, metabolic cart, Polar Heart rate monitor)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Hexoskin sensor vest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Hexoskin sensor vest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Under-shirt (anatomically closest to right anterior superior iliac spine for activity level)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Not Found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31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65 and older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12 male, 19 female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Not Found</w:t>
            </w:r>
          </w:p>
        </w:tc>
      </w:tr>
      <w:tr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baque2016.pdf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0.9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Reproducibility in measuring physical activity in children and adolescents with an acquired brain injury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Brain Injury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10.1080/02699052.2016.1201594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Not Found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Not Found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Acquired Brain Injury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Reproducibility in measuring physical activity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Physical activity performance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Not Found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Accelerometry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ActiGraph® GT3X+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Waist (mid-axilla line at the level of the anterior superior iliac spine on the side of the body with the least neurological impairment)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ActiLife™v6 and MATLAB scripts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51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8–16 years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Male (20 males in reproducibility tasks, 27 males in variability)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ActiGraph® GT3X+ accelerometer</w:t>
            </w:r>
          </w:p>
        </w:tc>
      </w:tr>
      <w:tr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file.pdf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0.9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Assessing Sleep Disturbance in Low Back Pain: The Validity of Portable Instruments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PLoS ONE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doi:10.1371/journal.pone.0095824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Not Found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Low Back Pain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Low Back Pain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Validity of portable instruments for assessing sleep disturbance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Sleep parameters (total sleep time, sleep onset latency, sleep efficiency, wake after sleep onset)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Polysomnography (PSG)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Portable actigraphy devices (Armband and Actiwatch)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BodyMedia SenseWear Armband (SenseWear-Pro3), Philips Respironics Actiwatch 2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Right upper arm (Armband), non-dominant wrist (Actiwatch)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SenseWear Professional Software (Armband), ActiWare (Actiwatch)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50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Mean 42.7 years, SD 15.15 years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48% female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Accelerometer (for Actiwatch), multi-sensor (accelerometer, skin temperature, GSR, heat flux for Armband)</w:t>
            </w:r>
          </w:p>
        </w:tc>
      </w:tr>
      <w:tr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mhealth-2015-3-e78.pdf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0.85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Mobile Phone-Connected Wearable Motion Sensors to Assess Postoperative Mobilization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JMIR mHealth uHealth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10.2196/mhealth.3785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Not Found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Not Found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Postoperative neurosurgical conditions (spine and cranial surgeries)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Remote monitoring of postoperative mobilization using wearable motion sensors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Accuracy of wearable motion sensors in counting steps during postoperative mobilization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Manual step counting by researchers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FitBit Zip (wearable activity sensor)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FitBit Zip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Hips and Ankles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SPSS version 21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27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Median 57 years (IQR 44-68)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Male: 13 (48%)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FitBit Zip</w:t>
            </w:r>
          </w:p>
        </w:tc>
      </w:tr>
      <w:tr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ptj0898.pdf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0.9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Reliability of Physical Activity Measures During Free-Living Activities in People After Total Knee Arthroplasty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Phys Ther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10.2522/ptj.20150407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Not Found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Not Found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Total Knee Arthroplasty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Physical Activity Measures Reliability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Test-retest reliability of physical activity measures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Actigraph, SenseWear Armband, CHAMPS questionnaire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Accelerometer-based and multisensor technology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Actigraph GT3X, SenseWear Pro-3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Waist (Actigraph), Upper Arm (SenseWear)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ActiLife 5 (Actigraph), Professional software v6.1 (SenseWear)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28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69 years (SD=8)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75% women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Accelerometer (Actigraph), Multisensor (SenseWear)</w:t>
            </w:r>
          </w:p>
        </w:tc>
      </w:tr>
      <w:tr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sensors-17-02406.pdf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0.9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A Wearable Magneto-Inertial System for Gait Analysis (H-Gait): Validation on Normal Weight and Overweight/Obese Young Healthy Adults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Sensors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10.3390/s17102406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Not Found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Not Found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Normal weight and overweight/obese young healthy adults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Gait analysis using wearable magneto-inertial system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Spatio-temporal parameters, joint kinematics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STEP32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Wearable magneto-inertial system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TSDN121 (ATR Promotions, Kyoto, Japan)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Pelvis, shanks (tibia), thighs, ankles (medial malleolus)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Extended Kalman filter (for orientation) and SPSS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22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20-30 years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Male</w:t>
            </w:r>
          </w:p>
        </w:tc>
        <w:tc>
          <w:tcPr>
            <w:tcW w:type="dxa" w:w="795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Magneto-inertial sensors (tri-axial accelerometer, gyroscope, magnetometer)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4" w:h="1190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/>
        <w:color w:val="646464"/>
        <w:sz w:val="16"/>
      </w:rPr>
      <w:t>Generated by ReviewAid on January 07,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65760" cy="36576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A_transparen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65760" cy="36576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