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1539"/>
        <w:gridCol w:w="1539"/>
        <w:gridCol w:w="1539"/>
        <w:gridCol w:w="1539"/>
        <w:gridCol w:w="1539"/>
        <w:gridCol w:w="1539"/>
        <w:gridCol w:w="1539"/>
        <w:gridCol w:w="1539"/>
        <w:gridCol w:w="1539"/>
        <w:gridCol w:w="1539"/>
      </w:tblGrid>
      <w:tr>
        <w:tc>
          <w:tcPr>
            <w:tcW w:type="dxa" w:w="1511"/>
            <w:shd w:fill="FFFFFF"/>
            <w:tcBorders>
              <w:bottom w:val="single" w:sz="4" w:space="0" w:color="000000"/>
            </w:tcBorders>
          </w:tcPr>
          <w:p>
            <w:pPr>
              <w:jc w:val="center"/>
            </w:pPr>
            <w:r>
              <w:rPr>
                <w:rFonts w:ascii="Arial" w:hAnsi="Arial"/>
                <w:b/>
                <w:color w:val="000000"/>
                <w:sz w:val="20"/>
              </w:rPr>
              <w:t>Filename</w:t>
            </w:r>
          </w:p>
        </w:tc>
        <w:tc>
          <w:tcPr>
            <w:tcW w:type="dxa" w:w="1511"/>
            <w:shd w:fill="FFFFFF"/>
            <w:tcBorders>
              <w:bottom w:val="single" w:sz="4" w:space="0" w:color="000000"/>
            </w:tcBorders>
          </w:tcPr>
          <w:p>
            <w:pPr>
              <w:jc w:val="center"/>
            </w:pPr>
            <w:r>
              <w:rPr>
                <w:rFonts w:ascii="Arial" w:hAnsi="Arial"/>
                <w:b/>
                <w:color w:val="000000"/>
                <w:sz w:val="20"/>
              </w:rPr>
              <w:t>Confidence</w:t>
            </w:r>
          </w:p>
        </w:tc>
        <w:tc>
          <w:tcPr>
            <w:tcW w:type="dxa" w:w="1511"/>
            <w:shd w:fill="FFFFFF"/>
            <w:tcBorders>
              <w:bottom w:val="single" w:sz="4" w:space="0" w:color="000000"/>
            </w:tcBorders>
          </w:tcPr>
          <w:p>
            <w:pPr>
              <w:jc w:val="center"/>
            </w:pPr>
            <w:r>
              <w:rPr>
                <w:rFonts w:ascii="Arial" w:hAnsi="Arial"/>
                <w:b/>
                <w:color w:val="000000"/>
                <w:sz w:val="20"/>
              </w:rPr>
              <w:t>Paper Title</w:t>
            </w:r>
          </w:p>
        </w:tc>
        <w:tc>
          <w:tcPr>
            <w:tcW w:type="dxa" w:w="1511"/>
            <w:shd w:fill="FFFFFF"/>
            <w:tcBorders>
              <w:bottom w:val="single" w:sz="4" w:space="0" w:color="000000"/>
            </w:tcBorders>
          </w:tcPr>
          <w:p>
            <w:pPr>
              <w:jc w:val="center"/>
            </w:pPr>
            <w:r>
              <w:rPr>
                <w:rFonts w:ascii="Arial" w:hAnsi="Arial"/>
                <w:b/>
                <w:color w:val="000000"/>
                <w:sz w:val="20"/>
              </w:rPr>
              <w:t>Conclusion</w:t>
            </w:r>
          </w:p>
        </w:tc>
        <w:tc>
          <w:tcPr>
            <w:tcW w:type="dxa" w:w="1511"/>
            <w:shd w:fill="FFFFFF"/>
            <w:tcBorders>
              <w:bottom w:val="single" w:sz="4" w:space="0" w:color="000000"/>
            </w:tcBorders>
          </w:tcPr>
          <w:p>
            <w:pPr>
              <w:jc w:val="center"/>
            </w:pPr>
            <w:r>
              <w:rPr>
                <w:rFonts w:ascii="Arial" w:hAnsi="Arial"/>
                <w:b/>
                <w:color w:val="000000"/>
                <w:sz w:val="20"/>
              </w:rPr>
              <w:t>Type of Study</w:t>
            </w:r>
          </w:p>
        </w:tc>
        <w:tc>
          <w:tcPr>
            <w:tcW w:type="dxa" w:w="1511"/>
            <w:shd w:fill="FFFFFF"/>
            <w:tcBorders>
              <w:bottom w:val="single" w:sz="4" w:space="0" w:color="000000"/>
            </w:tcBorders>
          </w:tcPr>
          <w:p>
            <w:pPr>
              <w:jc w:val="center"/>
            </w:pPr>
            <w:r>
              <w:rPr>
                <w:rFonts w:ascii="Arial" w:hAnsi="Arial"/>
                <w:b/>
                <w:color w:val="000000"/>
                <w:sz w:val="20"/>
              </w:rPr>
              <w:t>Population</w:t>
            </w:r>
          </w:p>
        </w:tc>
        <w:tc>
          <w:tcPr>
            <w:tcW w:type="dxa" w:w="1511"/>
            <w:shd w:fill="FFFFFF"/>
            <w:tcBorders>
              <w:bottom w:val="single" w:sz="4" w:space="0" w:color="000000"/>
            </w:tcBorders>
          </w:tcPr>
          <w:p>
            <w:pPr>
              <w:jc w:val="center"/>
            </w:pPr>
            <w:r>
              <w:rPr>
                <w:rFonts w:ascii="Arial" w:hAnsi="Arial"/>
                <w:b/>
                <w:color w:val="000000"/>
                <w:sz w:val="20"/>
              </w:rPr>
              <w:t>Intervention</w:t>
            </w:r>
          </w:p>
        </w:tc>
        <w:tc>
          <w:tcPr>
            <w:tcW w:type="dxa" w:w="1511"/>
            <w:shd w:fill="FFFFFF"/>
            <w:tcBorders>
              <w:bottom w:val="single" w:sz="4" w:space="0" w:color="000000"/>
            </w:tcBorders>
          </w:tcPr>
          <w:p>
            <w:pPr>
              <w:jc w:val="center"/>
            </w:pPr>
            <w:r>
              <w:rPr>
                <w:rFonts w:ascii="Arial" w:hAnsi="Arial"/>
                <w:b/>
                <w:color w:val="000000"/>
                <w:sz w:val="20"/>
              </w:rPr>
              <w:t>comparison</w:t>
            </w:r>
          </w:p>
        </w:tc>
        <w:tc>
          <w:tcPr>
            <w:tcW w:type="dxa" w:w="1511"/>
            <w:shd w:fill="FFFFFF"/>
            <w:tcBorders>
              <w:bottom w:val="single" w:sz="4" w:space="0" w:color="000000"/>
            </w:tcBorders>
          </w:tcPr>
          <w:p>
            <w:pPr>
              <w:jc w:val="center"/>
            </w:pPr>
            <w:r>
              <w:rPr>
                <w:rFonts w:ascii="Arial" w:hAnsi="Arial"/>
                <w:b/>
                <w:color w:val="000000"/>
                <w:sz w:val="20"/>
              </w:rPr>
              <w:t>outcome</w:t>
            </w:r>
          </w:p>
        </w:tc>
        <w:tc>
          <w:tcPr>
            <w:tcW w:type="dxa" w:w="1511"/>
            <w:shd w:fill="FFFFFF"/>
            <w:tcBorders>
              <w:bottom w:val="single" w:sz="4" w:space="0" w:color="000000"/>
            </w:tcBorders>
          </w:tcPr>
          <w:p>
            <w:pPr>
              <w:jc w:val="center"/>
            </w:pPr>
            <w:r>
              <w:rPr>
                <w:rFonts w:ascii="Arial" w:hAnsi="Arial"/>
                <w:b/>
                <w:color w:val="000000"/>
                <w:sz w:val="20"/>
              </w:rPr>
              <w:t>Results</w:t>
            </w:r>
          </w:p>
        </w:tc>
      </w:tr>
      <w:tr>
        <w:tc>
          <w:tcPr>
            <w:tcW w:type="dxa" w:w="1511"/>
            <w:shd w:fill="FFFFFF"/>
          </w:tcPr>
          <w:p>
            <w:r>
              <w:rPr>
                <w:rFonts w:ascii="Arial" w:hAnsi="Arial"/>
                <w:color w:val="000000"/>
                <w:sz w:val="18"/>
              </w:rPr>
              <w:t>1-s2.0-S0022510X21003166-main.pdf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Wearing-off symptoms during standard and extended natalizumab dosing intervals: Experiences from the COVID-19 pandemic</w:t>
            </w:r>
          </w:p>
        </w:tc>
        <w:tc>
          <w:tcPr>
            <w:tcW w:type="dxa" w:w="1511"/>
            <w:shd w:fill="FFFFFF"/>
          </w:tcPr>
          <w:p>
            <w:r>
              <w:rPr>
                <w:rFonts w:ascii="Arial" w:hAnsi="Arial"/>
                <w:color w:val="000000"/>
                <w:sz w:val="18"/>
              </w:rPr>
              <w:t>Our observations support the need to study the effect of EID on wearing-off symptoms in randomized controlled trials.</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RRMS patients over 18 years of age receiving natalizumab</w:t>
            </w:r>
          </w:p>
        </w:tc>
        <w:tc>
          <w:tcPr>
            <w:tcW w:type="dxa" w:w="1511"/>
            <w:shd w:fill="FFFFFF"/>
          </w:tcPr>
          <w:p>
            <w:r>
              <w:rPr>
                <w:rFonts w:ascii="Arial" w:hAnsi="Arial"/>
                <w:color w:val="000000"/>
                <w:sz w:val="18"/>
              </w:rPr>
              <w:t>extended interval dosing (EID) from 4 to 6 weeks</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wearing-off symptoms</w:t>
            </w:r>
          </w:p>
        </w:tc>
        <w:tc>
          <w:tcPr>
            <w:tcW w:type="dxa" w:w="1511"/>
            <w:shd w:fill="FFFFFF"/>
          </w:tcPr>
          <w:p>
            <w:r>
              <w:rPr>
                <w:rFonts w:ascii="Arial" w:hAnsi="Arial"/>
                <w:color w:val="000000"/>
                <w:sz w:val="18"/>
              </w:rPr>
              <w:t>New or increased wearing-off symptoms during EID were reported by 50%. Symptom increase was more frequent among patients with pre-existing wearing-off symptoms during standard dosing compared to patients without such pre-existing symptoms [p = 0.0005]. None had signs or symptoms of clinical relapse during or 6 months after starting treatment with EID. Median natalizumab RO at SID was lower in 9 of 11 leukocyte subtypes in patients who later reported symptom increase during EID compared to patients with unchanged symptoms during EID, but the difference was not statistically significant.</w:t>
            </w:r>
          </w:p>
        </w:tc>
      </w:tr>
      <w:tr>
        <w:tc>
          <w:tcPr>
            <w:tcW w:type="dxa" w:w="1511"/>
            <w:shd w:fill="FFFFFF"/>
          </w:tcPr>
          <w:p>
            <w:r>
              <w:rPr>
                <w:rFonts w:ascii="Arial" w:hAnsi="Arial"/>
                <w:color w:val="000000"/>
                <w:sz w:val="18"/>
              </w:rPr>
              <w:t>1-s2.0-S221103482100612X-main.pdf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Safety of Natalizumab infusion in multiple sclerosis patients during active SARS-CoV-2 infection</w:t>
            </w:r>
          </w:p>
        </w:tc>
        <w:tc>
          <w:tcPr>
            <w:tcW w:type="dxa" w:w="1511"/>
            <w:shd w:fill="FFFFFF"/>
          </w:tcPr>
          <w:p>
            <w:r>
              <w:rPr>
                <w:rFonts w:ascii="Arial" w:hAnsi="Arial"/>
                <w:color w:val="000000"/>
                <w:sz w:val="18"/>
              </w:rPr>
              <w:t>Our data supports the safety of NTZ redosing in patients with active SARS-CoV-2 infection.</w:t>
            </w:r>
          </w:p>
        </w:tc>
        <w:tc>
          <w:tcPr>
            <w:tcW w:type="dxa" w:w="1511"/>
            <w:shd w:fill="FFFFFF"/>
          </w:tcPr>
          <w:p>
            <w:r>
              <w:rPr>
                <w:rFonts w:ascii="Arial" w:hAnsi="Arial"/>
                <w:color w:val="000000"/>
                <w:sz w:val="18"/>
              </w:rPr>
              <w:t>Retrospective study</w:t>
            </w:r>
          </w:p>
        </w:tc>
        <w:tc>
          <w:tcPr>
            <w:tcW w:type="dxa" w:w="1511"/>
            <w:shd w:fill="FFFFFF"/>
          </w:tcPr>
          <w:p>
            <w:r>
              <w:rPr>
                <w:rFonts w:ascii="Arial" w:hAnsi="Arial"/>
                <w:color w:val="000000"/>
                <w:sz w:val="18"/>
              </w:rPr>
              <w:t>Relapsing-remitting multiple sclerosis patients (pwMS) receiving Natalizumab treatment, infected with SARS-CoV-2</w:t>
            </w:r>
          </w:p>
        </w:tc>
        <w:tc>
          <w:tcPr>
            <w:tcW w:type="dxa" w:w="1511"/>
            <w:shd w:fill="FFFFFF"/>
          </w:tcPr>
          <w:p>
            <w:r>
              <w:rPr>
                <w:rFonts w:ascii="Arial" w:hAnsi="Arial"/>
                <w:color w:val="000000"/>
                <w:sz w:val="18"/>
              </w:rPr>
              <w:t>Natalizumab (NTZ) infusion</w:t>
            </w:r>
          </w:p>
        </w:tc>
        <w:tc>
          <w:tcPr>
            <w:tcW w:type="dxa" w:w="1511"/>
            <w:shd w:fill="FFFFFF"/>
          </w:tcPr>
          <w:p>
            <w:r>
              <w:rPr>
                <w:rFonts w:ascii="Arial" w:hAnsi="Arial"/>
                <w:color w:val="000000"/>
                <w:sz w:val="18"/>
              </w:rPr>
              <w:t>Safety of NTZ reinfusion during active SARS-CoV-2 infection</w:t>
            </w:r>
          </w:p>
        </w:tc>
        <w:tc>
          <w:tcPr>
            <w:tcW w:type="dxa" w:w="1511"/>
            <w:shd w:fill="FFFFFF"/>
          </w:tcPr>
          <w:p>
            <w:r>
              <w:rPr>
                <w:rFonts w:ascii="Arial" w:hAnsi="Arial"/>
                <w:color w:val="000000"/>
                <w:sz w:val="18"/>
              </w:rPr>
              <w:t>Safety of NTZ reinfusion (no worsening of SARS-CoV-2 infection or recovery delay)</w:t>
            </w:r>
          </w:p>
        </w:tc>
        <w:tc>
          <w:tcPr>
            <w:tcW w:type="dxa" w:w="1511"/>
            <w:shd w:fill="FFFFFF"/>
          </w:tcPr>
          <w:p>
            <w:r>
              <w:rPr>
                <w:rFonts w:ascii="Arial" w:hAnsi="Arial"/>
                <w:color w:val="000000"/>
                <w:sz w:val="18"/>
              </w:rPr>
              <w:t>No worsening of SARS-CoV-2 infection or recovery delay observed in 18 pwMS receiving NTZ retreatment during confirmed SARS-CoV-2 infection; mean time to full recovery after NTZ was 10±12 days for symptomatic patients at reinfusion.</w:t>
            </w:r>
          </w:p>
        </w:tc>
      </w:tr>
      <w:tr>
        <w:tc>
          <w:tcPr>
            <w:tcW w:type="dxa" w:w="1511"/>
            <w:shd w:fill="FFFFFF"/>
          </w:tcPr>
          <w:p>
            <w:r>
              <w:rPr>
                <w:rFonts w:ascii="Arial" w:hAnsi="Arial"/>
                <w:color w:val="000000"/>
                <w:sz w:val="18"/>
              </w:rPr>
              <w:t>1-s2.0-S1878747924000370-main.pdf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Extended interval dosing of natalizumab: More evidence in support</w:t>
            </w:r>
          </w:p>
        </w:tc>
        <w:tc>
          <w:tcPr>
            <w:tcW w:type="dxa" w:w="1511"/>
            <w:shd w:fill="FFFFFF"/>
          </w:tcPr>
          <w:p>
            <w:r>
              <w:rPr>
                <w:rFonts w:ascii="Arial" w:hAnsi="Arial"/>
                <w:color w:val="000000"/>
                <w:sz w:val="18"/>
              </w:rPr>
              <w:t>The main findings show similar benefits with EID versus SID at a 6-week dosing interval, supporting the ability to extend natalizumab dosing without compromising expected benefits and potentially reducing PML risk. However, EID has not been studied as a first-line approach, and most participants were on prior treatments; additional data are needed for patients with more recently diagnosed, likely more active, disease. Further studies on natalizumab concentrations and target receptor saturation are needed. Continued monitoring of registries is needed to assess PML risk reduction from EID.</w:t>
            </w:r>
          </w:p>
        </w:tc>
        <w:tc>
          <w:tcPr>
            <w:tcW w:type="dxa" w:w="1511"/>
            <w:shd w:fill="FFFFFF"/>
          </w:tcPr>
          <w:p>
            <w:r>
              <w:rPr>
                <w:rFonts w:ascii="Arial" w:hAnsi="Arial"/>
                <w:color w:val="000000"/>
                <w:sz w:val="18"/>
              </w:rPr>
              <w:t>Retrospective analysis</w:t>
            </w:r>
          </w:p>
        </w:tc>
        <w:tc>
          <w:tcPr>
            <w:tcW w:type="dxa" w:w="1511"/>
            <w:shd w:fill="FFFFFF"/>
          </w:tcPr>
          <w:p>
            <w:r>
              <w:rPr>
                <w:rFonts w:ascii="Arial" w:hAnsi="Arial"/>
                <w:color w:val="000000"/>
                <w:sz w:val="18"/>
              </w:rPr>
              <w:t>745 adults with multiple sclerosis, mostly female (&gt;65%), average disease duration of 8.5 years, majority with prior disease-modifying therapy</w:t>
            </w:r>
          </w:p>
        </w:tc>
        <w:tc>
          <w:tcPr>
            <w:tcW w:type="dxa" w:w="1511"/>
            <w:shd w:fill="FFFFFF"/>
          </w:tcPr>
          <w:p>
            <w:r>
              <w:rPr>
                <w:rFonts w:ascii="Arial" w:hAnsi="Arial"/>
                <w:color w:val="000000"/>
                <w:sz w:val="18"/>
              </w:rPr>
              <w:t>Extended interval dosing (EID) of natalizumab</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Evidence of disease activity (EDA), defined as clinical relapses, MRI activity, or disability worsening per the Expanded Disability Status Scale (EDSS)</w:t>
            </w:r>
          </w:p>
        </w:tc>
        <w:tc>
          <w:tcPr>
            <w:tcW w:type="dxa" w:w="1511"/>
            <w:shd w:fill="FFFFFF"/>
          </w:tcPr>
          <w:p>
            <w:r>
              <w:rPr>
                <w:rFonts w:ascii="Arial" w:hAnsi="Arial"/>
                <w:color w:val="000000"/>
                <w:sz w:val="18"/>
              </w:rPr>
              <w:t>Primary analysis showed no differences between SID and EID (5–7 weeks) for specified outcomes. Secondary analysis (7–8 weeks) showed a trend toward greater hazard for clinical relapses with EID. Exploratory BMI analysis showed an interaction between BMI and treatment for EDA, but inverse probability weighting removed this effect. Overall, results align with previous studies showing similar benefits of EID at 6 weeks.</w:t>
            </w:r>
          </w:p>
        </w:tc>
      </w:tr>
      <w:tr>
        <w:tc>
          <w:tcPr>
            <w:tcW w:type="dxa" w:w="1511"/>
            <w:shd w:fill="FFFFFF"/>
          </w:tcPr>
          <w:p>
            <w:r>
              <w:rPr>
                <w:rFonts w:ascii="Arial" w:hAnsi="Arial"/>
                <w:color w:val="000000"/>
                <w:sz w:val="18"/>
              </w:rPr>
              <w:t>1-s2.0-S2211034819309642-main11.pdf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Long-term real-world evidence for sustained clinical benefits of fingolimod following switch from natalizumab</w:t>
            </w:r>
          </w:p>
        </w:tc>
        <w:tc>
          <w:tcPr>
            <w:tcW w:type="dxa" w:w="1511"/>
            <w:shd w:fill="FFFFFF"/>
          </w:tcPr>
          <w:p>
            <w:r>
              <w:rPr>
                <w:rFonts w:ascii="Arial" w:hAnsi="Arial"/>
                <w:color w:val="000000"/>
                <w:sz w:val="18"/>
              </w:rPr>
              <w:t>In patients discontinuing natalizumab, fingolimod has a favorable benefit–risk profile over 48 months. These findings also suggest using a short washout following natalizumab discontinuation, consistent with guidelines and current clinical practice in Germany.</w:t>
            </w:r>
          </w:p>
        </w:tc>
        <w:tc>
          <w:tcPr>
            <w:tcW w:type="dxa" w:w="1511"/>
            <w:shd w:fill="FFFFFF"/>
          </w:tcPr>
          <w:p>
            <w:r>
              <w:rPr>
                <w:rFonts w:ascii="Arial" w:hAnsi="Arial"/>
                <w:color w:val="000000"/>
                <w:sz w:val="18"/>
              </w:rPr>
              <w:t>German multicenter, prospective, non-interventional, observational study</w:t>
            </w:r>
          </w:p>
        </w:tc>
        <w:tc>
          <w:tcPr>
            <w:tcW w:type="dxa" w:w="1511"/>
            <w:shd w:fill="FFFFFF"/>
          </w:tcPr>
          <w:p>
            <w:r>
              <w:rPr>
                <w:rFonts w:ascii="Arial" w:hAnsi="Arial"/>
                <w:color w:val="000000"/>
                <w:sz w:val="18"/>
              </w:rPr>
              <w:t>Patients with multiple sclerosis who switched from natalizumab (natalizumab subpopulation) and a reference population of patients who switched from other disease-modifying therapies or were treatment-naïve (non-natalizumab subpopulation)</w:t>
            </w:r>
          </w:p>
        </w:tc>
        <w:tc>
          <w:tcPr>
            <w:tcW w:type="dxa" w:w="1511"/>
            <w:shd w:fill="FFFFFF"/>
          </w:tcPr>
          <w:p>
            <w:r>
              <w:rPr>
                <w:rFonts w:ascii="Arial" w:hAnsi="Arial"/>
                <w:color w:val="000000"/>
                <w:sz w:val="18"/>
              </w:rPr>
              <w:t>Fingolimod</w:t>
            </w:r>
          </w:p>
        </w:tc>
        <w:tc>
          <w:tcPr>
            <w:tcW w:type="dxa" w:w="1511"/>
            <w:shd w:fill="FFFFFF"/>
          </w:tcPr>
          <w:p>
            <w:r>
              <w:rPr>
                <w:rFonts w:ascii="Arial" w:hAnsi="Arial"/>
                <w:color w:val="000000"/>
                <w:sz w:val="18"/>
              </w:rPr>
              <w:t>Patients switching from natalizumab compared to patients switching from other treatments or treatment-naïve</w:t>
            </w:r>
          </w:p>
        </w:tc>
        <w:tc>
          <w:tcPr>
            <w:tcW w:type="dxa" w:w="1511"/>
            <w:shd w:fill="FFFFFF"/>
          </w:tcPr>
          <w:p>
            <w:r>
              <w:rPr>
                <w:rFonts w:ascii="Arial" w:hAnsi="Arial"/>
                <w:color w:val="000000"/>
                <w:sz w:val="18"/>
              </w:rPr>
              <w:t>Annualized relapse rates, proportion of patients with relapse, 6-month confirmed disability worsening</w:t>
            </w:r>
          </w:p>
        </w:tc>
        <w:tc>
          <w:tcPr>
            <w:tcW w:type="dxa" w:w="1511"/>
            <w:shd w:fill="FFFFFF"/>
          </w:tcPr>
          <w:p>
            <w:r>
              <w:rPr>
                <w:rFonts w:ascii="Arial" w:hAnsi="Arial"/>
                <w:color w:val="000000"/>
                <w:sz w:val="18"/>
              </w:rPr>
              <w:t>Over 48 months of fingolimod treatment, 58.2% of patients remained on fingolimod. Mean annualized relapse rates (ARRs) and proportions of patients who relapsed were similar across washout durations, ranging from 0.455 to 0.546 and 54.1% to 60.2%, respectively. Overall, 17.1% had 6-month confirmed disability worsening. In the non-natalizumab subpopulation, ARR was 0.300, 40.9% relapsed, and 16.6% had disability worsening. Safety profile consistent with randomized controlled trials.</w:t>
            </w:r>
          </w:p>
        </w:tc>
      </w:tr>
      <w:tr>
        <w:tc>
          <w:tcPr>
            <w:tcW w:type="dxa" w:w="1511"/>
            <w:shd w:fill="FFFFFF"/>
          </w:tcPr>
          <w:p>
            <w:r>
              <w:rPr>
                <w:rFonts w:ascii="Arial" w:hAnsi="Arial"/>
                <w:color w:val="000000"/>
                <w:sz w:val="18"/>
              </w:rPr>
              <w:t>1-s2.0-S2211034822005065-main-2.pdf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Use of natalizumab in persons with multiple sclerosis: 2022 update</w:t>
            </w:r>
          </w:p>
        </w:tc>
        <w:tc>
          <w:tcPr>
            <w:tcW w:type="dxa" w:w="1511"/>
            <w:shd w:fill="FFFFFF"/>
          </w:tcPr>
          <w:p>
            <w:r>
              <w:rPr>
                <w:rFonts w:ascii="Arial" w:hAnsi="Arial"/>
                <w:color w:val="000000"/>
                <w:sz w:val="18"/>
              </w:rPr>
              <w:t>The recommendations of clinical neurologists seek to optimize the management of PwMS who may benefit from treatment with natalizumab. Long-term studies confirm natalizumab's high effectiveness; risk stratification for PML and management strategies (including EID) have improved outcomes and reduced PML incidence. An individualized approach to patient selection and monitoring is key for optimizing benefit-risk ratio.</w:t>
            </w:r>
          </w:p>
        </w:tc>
        <w:tc>
          <w:tcPr>
            <w:tcW w:type="dxa" w:w="1511"/>
            <w:shd w:fill="FFFFFF"/>
          </w:tcPr>
          <w:p>
            <w:r>
              <w:rPr>
                <w:rFonts w:ascii="Arial" w:hAnsi="Arial"/>
                <w:color w:val="000000"/>
                <w:sz w:val="18"/>
              </w:rPr>
              <w:t>Review article</w:t>
            </w:r>
          </w:p>
        </w:tc>
        <w:tc>
          <w:tcPr>
            <w:tcW w:type="dxa" w:w="1511"/>
            <w:shd w:fill="FFFFFF"/>
          </w:tcPr>
          <w:p>
            <w:r>
              <w:rPr>
                <w:rFonts w:ascii="Arial" w:hAnsi="Arial"/>
                <w:color w:val="000000"/>
                <w:sz w:val="18"/>
              </w:rPr>
              <w:t>Persons with multiple sclerosis (PwMS), specifically those with relapsing-remitting multiple sclerosis (RRMS)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Comparison with other disease-modifying therapies (DMTs) such as interferon-beta, glatiramer acetate, fingolimod, etc.</w:t>
            </w:r>
          </w:p>
        </w:tc>
        <w:tc>
          <w:tcPr>
            <w:tcW w:type="dxa" w:w="1511"/>
            <w:shd w:fill="FFFFFF"/>
          </w:tcPr>
          <w:p>
            <w:r>
              <w:rPr>
                <w:rFonts w:ascii="Arial" w:hAnsi="Arial"/>
                <w:color w:val="000000"/>
                <w:sz w:val="18"/>
              </w:rPr>
              <w:t>Reduction in relapse frequency, decrease in MRI lesions, delay in disability progression, risk of progressive multifocal leukoencephalopathy (PML), etc.</w:t>
            </w:r>
          </w:p>
        </w:tc>
        <w:tc>
          <w:tcPr>
            <w:tcW w:type="dxa" w:w="1511"/>
            <w:shd w:fill="FFFFFF"/>
          </w:tcPr>
          <w:p>
            <w:r>
              <w:rPr>
                <w:rFonts w:ascii="Arial" w:hAnsi="Arial"/>
                <w:color w:val="000000"/>
                <w:sz w:val="18"/>
              </w:rPr>
              <w:t>Long-term efficacy and safety data from real-world studies show natalizumab maintains effectiveness; extended interval dosing (EID) has comparable efficacy to standard interval dosing (SID) while minimizing PML risk; patient selection based on JCV index, risk management strategies for PML, and options for switching to other DMTs are key updates.</w:t>
            </w:r>
          </w:p>
        </w:tc>
      </w:tr>
      <w:tr>
        <w:tc>
          <w:tcPr>
            <w:tcW w:type="dxa" w:w="1511"/>
            <w:shd w:fill="FFFFFF"/>
          </w:tcPr>
          <w:p>
            <w:r>
              <w:rPr>
                <w:rFonts w:ascii="Arial" w:hAnsi="Arial"/>
                <w:color w:val="000000"/>
                <w:sz w:val="18"/>
              </w:rPr>
              <w:t>3_Managing_disease_activity_during_treatment_with_.pdf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Managing disease activity during treatment with natalizumab in relapsing-remitting multiple sclerosis</w:t>
            </w:r>
          </w:p>
        </w:tc>
        <w:tc>
          <w:tcPr>
            <w:tcW w:type="dxa" w:w="1511"/>
            <w:shd w:fill="FFFFFF"/>
          </w:tcPr>
          <w:p>
            <w:r>
              <w:rPr>
                <w:rFonts w:ascii="Arial" w:hAnsi="Arial"/>
                <w:color w:val="000000"/>
                <w:sz w:val="18"/>
              </w:rPr>
              <w:t>We have shown that following natalizumab failure, switching to B-cell depleting agents (ocrelizumab and rituximab), but not alemtuzumab, is associated with a clinically meaningful reduction in the risk of relapses in comparison to continuing natalizumab therapy. Clinicians should consider B-cell depletion following natalizumab failure where appropriate.</w:t>
            </w:r>
          </w:p>
        </w:tc>
        <w:tc>
          <w:tcPr>
            <w:tcW w:type="dxa" w:w="1511"/>
            <w:shd w:fill="FFFFFF"/>
          </w:tcPr>
          <w:p>
            <w:r>
              <w:rPr>
                <w:rFonts w:ascii="Arial" w:hAnsi="Arial"/>
                <w:color w:val="000000"/>
                <w:sz w:val="18"/>
              </w:rPr>
              <w:t>Observational cohort study (using multivariable Andersen-Gill cumulative hazard models to analyze associations with risk of further relapses)</w:t>
            </w:r>
          </w:p>
        </w:tc>
        <w:tc>
          <w:tcPr>
            <w:tcW w:type="dxa" w:w="1511"/>
            <w:shd w:fill="FFFFFF"/>
          </w:tcPr>
          <w:p>
            <w:r>
              <w:rPr>
                <w:rFonts w:ascii="Arial" w:hAnsi="Arial"/>
                <w:color w:val="000000"/>
                <w:sz w:val="18"/>
              </w:rPr>
              <w:t>Patients from the MSBase cohort suffering failure of natalizumab therapy, defined as breakthrough relapses or ≥3 new or gadolinium-enhancing lesions on MRI</w:t>
            </w:r>
          </w:p>
        </w:tc>
        <w:tc>
          <w:tcPr>
            <w:tcW w:type="dxa" w:w="1511"/>
            <w:shd w:fill="FFFFFF"/>
          </w:tcPr>
          <w:p>
            <w:r>
              <w:rPr>
                <w:rFonts w:ascii="Arial" w:hAnsi="Arial"/>
                <w:color w:val="000000"/>
                <w:sz w:val="18"/>
              </w:rPr>
              <w:t>Natalizumab therapy (subsequent interventions included de-escalation of treatment, switching to anti-CD20 therapy, or switching to alemtuzumab)</w:t>
            </w:r>
          </w:p>
        </w:tc>
        <w:tc>
          <w:tcPr>
            <w:tcW w:type="dxa" w:w="1511"/>
            <w:shd w:fill="FFFFFF"/>
          </w:tcPr>
          <w:p>
            <w:r>
              <w:rPr>
                <w:rFonts w:ascii="Arial" w:hAnsi="Arial"/>
                <w:color w:val="000000"/>
                <w:sz w:val="18"/>
              </w:rPr>
              <w:t>Continuing natalizumab therapy vs switching to anti-CD20 therapy, treatment de-escalation, or switching to alemtuzumab</w:t>
            </w:r>
          </w:p>
        </w:tc>
        <w:tc>
          <w:tcPr>
            <w:tcW w:type="dxa" w:w="1511"/>
            <w:shd w:fill="FFFFFF"/>
          </w:tcPr>
          <w:p>
            <w:r>
              <w:rPr>
                <w:rFonts w:ascii="Arial" w:hAnsi="Arial"/>
                <w:color w:val="000000"/>
                <w:sz w:val="18"/>
              </w:rPr>
              <w:t>Risk of relapse, new MRI activity, expanded disability status scale (EDSS) worsening, and disease-activity free survival</w:t>
            </w:r>
          </w:p>
        </w:tc>
        <w:tc>
          <w:tcPr>
            <w:tcW w:type="dxa" w:w="1511"/>
            <w:shd w:fill="FFFFFF"/>
          </w:tcPr>
          <w:p>
            <w:r>
              <w:rPr>
                <w:rFonts w:ascii="Arial" w:hAnsi="Arial"/>
                <w:color w:val="000000"/>
                <w:sz w:val="18"/>
              </w:rPr>
              <w:t>Switch to anti-CD20 therapy was associated with a significantly lower risk of relapse (HR=0.51, 95%CI=0.29–0.88) compared to continuing natalizumab. Treatment de-escalation or cessation were associated with increased risk of subsequent relapses. No evidence of difference for switching to alemtuzumab in primary analysis; secondary outcomes not fully detailed but primary result focused on relapse risk reduction with anti-CD20 switch.</w:t>
            </w:r>
          </w:p>
        </w:tc>
      </w:tr>
      <w:tr>
        <w:tc>
          <w:tcPr>
            <w:tcW w:type="dxa" w:w="1511"/>
            <w:shd w:fill="FFFFFF"/>
          </w:tcPr>
          <w:p>
            <w:r>
              <w:rPr>
                <w:rFonts w:ascii="Arial" w:hAnsi="Arial"/>
                <w:color w:val="000000"/>
                <w:sz w:val="18"/>
              </w:rPr>
              <w:t>004_Pregnancy-related_relapse_in_natalizumab_fingo.pdf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004 PREGNANCY-RELATED RELAPSE IN NATALIZUMAB, FINGOLIMOD AND DIMETHYL FUMARATE-TREATED WOMEN WITH MULTIPLE SCLEROSIS</w:t>
            </w:r>
          </w:p>
        </w:tc>
        <w:tc>
          <w:tcPr>
            <w:tcW w:type="dxa" w:w="1511"/>
            <w:shd w:fill="FFFFFF"/>
          </w:tcPr>
          <w:p>
            <w:r>
              <w:rPr>
                <w:rFonts w:ascii="Arial" w:hAnsi="Arial"/>
                <w:color w:val="000000"/>
                <w:sz w:val="18"/>
              </w:rPr>
              <w:t>Women with MS prescribed natalizumab or fingolimod preconception had higher rates of intrapartum and postpartum relapse. In women considered to be at high relapse risk, use of natalizumab before pregnancy and continued up to 32-34 weeks gestation, with early re-initiation after delivery is an effective option to minimise relapse risks. Strategies of DMT use have to be balanced against potential foetal/neonatal complications.</w:t>
            </w:r>
          </w:p>
        </w:tc>
        <w:tc>
          <w:tcPr>
            <w:tcW w:type="dxa" w:w="1511"/>
            <w:shd w:fill="FFFFFF"/>
          </w:tcPr>
          <w:p>
            <w:r>
              <w:rPr>
                <w:rFonts w:ascii="Arial" w:hAnsi="Arial"/>
                <w:color w:val="000000"/>
                <w:sz w:val="18"/>
              </w:rPr>
              <w:t>Cohort study (observational, using MSBase Registry data)</w:t>
            </w:r>
          </w:p>
        </w:tc>
        <w:tc>
          <w:tcPr>
            <w:tcW w:type="dxa" w:w="1511"/>
            <w:shd w:fill="FFFFFF"/>
          </w:tcPr>
          <w:p>
            <w:r>
              <w:rPr>
                <w:rFonts w:ascii="Arial" w:hAnsi="Arial"/>
                <w:color w:val="000000"/>
                <w:sz w:val="18"/>
              </w:rPr>
              <w:t>Women with multiple sclerosis (MS) who conceived from 2011-2019, using natalizumab, fingolimod, dimethyl fumarate or other disease-modifying therapies (DMTs) preconception.</w:t>
            </w:r>
          </w:p>
        </w:tc>
        <w:tc>
          <w:tcPr>
            <w:tcW w:type="dxa" w:w="1511"/>
            <w:shd w:fill="FFFFFF"/>
          </w:tcPr>
          <w:p>
            <w:r>
              <w:rPr>
                <w:rFonts w:ascii="Arial" w:hAnsi="Arial"/>
                <w:color w:val="000000"/>
                <w:sz w:val="18"/>
              </w:rPr>
              <w:t>Natalizumab, fingolimod, dimethyl fumarate (DMF) and other disease-modifying therapies (DMTs) used before conception.</w:t>
            </w:r>
          </w:p>
        </w:tc>
        <w:tc>
          <w:tcPr>
            <w:tcW w:type="dxa" w:w="1511"/>
            <w:shd w:fill="FFFFFF"/>
          </w:tcPr>
          <w:p>
            <w:r>
              <w:rPr>
                <w:rFonts w:ascii="Arial" w:hAnsi="Arial"/>
                <w:color w:val="000000"/>
                <w:sz w:val="18"/>
              </w:rPr>
              <w:t>Comparison of different DMT classes (natalizumab vs fingolimod vs DMF vs low-efficacy vs no DMT) regarding pregnancy-related relapse rates.</w:t>
            </w:r>
          </w:p>
        </w:tc>
        <w:tc>
          <w:tcPr>
            <w:tcW w:type="dxa" w:w="1511"/>
            <w:shd w:fill="FFFFFF"/>
          </w:tcPr>
          <w:p>
            <w:r>
              <w:rPr>
                <w:rFonts w:ascii="Arial" w:hAnsi="Arial"/>
                <w:color w:val="000000"/>
                <w:sz w:val="18"/>
              </w:rPr>
              <w:t>Annualised relapse rates (ARR) before, during, and after pregnancy; predictors of intrapartum and early postpartum relapse.</w:t>
            </w:r>
          </w:p>
        </w:tc>
        <w:tc>
          <w:tcPr>
            <w:tcW w:type="dxa" w:w="1511"/>
            <w:shd w:fill="FFFFFF"/>
          </w:tcPr>
          <w:p>
            <w:r>
              <w:rPr>
                <w:rFonts w:ascii="Arial" w:hAnsi="Arial"/>
                <w:color w:val="000000"/>
                <w:sz w:val="18"/>
              </w:rPr>
              <w:t>Included 1640 pregnancies from 1452 women. Preconception ARR by DMT class: natalizumab 0.29 (95% CI 0.22-0.37); fingolimod 0.37 (0.28-0.49); DMF 0.24 (0.13-0.41); low-efficacy 0.29 (0.25-0.33); none 0.24 (0.19-0.31). ARR increased during pregnancy for fingolimod and natalizumab users. Intrapartum ARR decreased in preconception DMF, low-efficacy, or no DMT groups. ARR spiked after delivery across all DMT groups. Natalizumab continuation into pregnancy reduced pregnancy relapse odds (OR 0.76 per month [0.60-0.95], p=0.017). DMT re-initiation with natalizumab protected against postpartum relapse (HR 0.11 [0.04-0.32], p&lt;0.0001). Breastfeeding women were less likely to relapse (HR 0.61 [0.41-0.91], p=0.016).</w:t>
            </w:r>
          </w:p>
        </w:tc>
      </w:tr>
      <w:tr>
        <w:tc>
          <w:tcPr>
            <w:tcW w:type="dxa" w:w="1511"/>
            <w:shd w:fill="FFFFFF"/>
          </w:tcPr>
          <w:p>
            <w:r>
              <w:rPr>
                <w:rFonts w:ascii="Arial" w:hAnsi="Arial"/>
                <w:color w:val="000000"/>
                <w:sz w:val="18"/>
              </w:rPr>
              <w:t>10.1007@s00415-014-7574-6.pdf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Intense immunosuppression for the treatment of an immune reconstitution inflammatory syndrome-like exacerbation after natalizumab withdrawal: a case report</w:t>
            </w:r>
          </w:p>
        </w:tc>
        <w:tc>
          <w:tcPr>
            <w:tcW w:type="dxa" w:w="1511"/>
            <w:shd w:fill="FFFFFF"/>
          </w:tcPr>
          <w:p>
            <w:r>
              <w:rPr>
                <w:rFonts w:ascii="Arial" w:hAnsi="Arial"/>
                <w:color w:val="000000"/>
                <w:sz w:val="18"/>
              </w:rPr>
              <w:t>In the meantime, IRIS can be a serious manifestation related to NTZ treatment interruption and the administration of intense immunosuppression, once PML is ruled out, a therapeutic option for such rapidly worsening condition. The information provided may be useful because controlled trials for this rare complication are unlikely.</w:t>
            </w:r>
          </w:p>
        </w:tc>
        <w:tc>
          <w:tcPr>
            <w:tcW w:type="dxa" w:w="1511"/>
            <w:shd w:fill="FFFFFF"/>
          </w:tcPr>
          <w:p>
            <w:r>
              <w:rPr>
                <w:rFonts w:ascii="Arial" w:hAnsi="Arial"/>
                <w:color w:val="000000"/>
                <w:sz w:val="18"/>
              </w:rPr>
              <w:t>Case report</w:t>
            </w:r>
          </w:p>
        </w:tc>
        <w:tc>
          <w:tcPr>
            <w:tcW w:type="dxa" w:w="1511"/>
            <w:shd w:fill="FFFFFF"/>
          </w:tcPr>
          <w:p>
            <w:r>
              <w:rPr>
                <w:rFonts w:ascii="Arial" w:hAnsi="Arial"/>
                <w:color w:val="000000"/>
                <w:sz w:val="18"/>
              </w:rPr>
              <w:t>43-year-old woman with relapsing–remitting multiple sclerosis (MS)</w:t>
            </w:r>
          </w:p>
        </w:tc>
        <w:tc>
          <w:tcPr>
            <w:tcW w:type="dxa" w:w="1511"/>
            <w:shd w:fill="FFFFFF"/>
          </w:tcPr>
          <w:p>
            <w:r>
              <w:rPr>
                <w:rFonts w:ascii="Arial" w:hAnsi="Arial"/>
                <w:color w:val="000000"/>
                <w:sz w:val="18"/>
              </w:rPr>
              <w:t>Intense immunosuppression (including IV cyclophosphamide and rituximab)</w:t>
            </w:r>
          </w:p>
        </w:tc>
        <w:tc>
          <w:tcPr>
            <w:tcW w:type="dxa" w:w="1511"/>
            <w:shd w:fill="FFFFFF"/>
          </w:tcPr>
          <w:p>
            <w:r>
              <w:rPr>
                <w:rFonts w:ascii="Arial" w:hAnsi="Arial"/>
                <w:color w:val="000000"/>
                <w:sz w:val="18"/>
              </w:rPr>
              <w:t>Standard therapies (IVMP, plasma exchange) vs. intense immunosuppression</w:t>
            </w:r>
          </w:p>
        </w:tc>
        <w:tc>
          <w:tcPr>
            <w:tcW w:type="dxa" w:w="1511"/>
            <w:shd w:fill="FFFFFF"/>
          </w:tcPr>
          <w:p>
            <w:r>
              <w:rPr>
                <w:rFonts w:ascii="Arial" w:hAnsi="Arial"/>
                <w:color w:val="000000"/>
                <w:sz w:val="18"/>
              </w:rPr>
              <w:t>Clinical and radiological improvement (EDSS improved from 9.0 to 3.0)</w:t>
            </w:r>
          </w:p>
        </w:tc>
        <w:tc>
          <w:tcPr>
            <w:tcW w:type="dxa" w:w="1511"/>
            <w:shd w:fill="FFFFFF"/>
          </w:tcPr>
          <w:p>
            <w:r>
              <w:rPr>
                <w:rFonts w:ascii="Arial" w:hAnsi="Arial"/>
                <w:color w:val="000000"/>
                <w:sz w:val="18"/>
              </w:rPr>
              <w:t>Patient showed clinical and radiological improvement after intense immunosuppression, with EDSS decreasing from 9.0 to 3.0 over time.</w:t>
            </w:r>
          </w:p>
        </w:tc>
      </w:tr>
      <w:tr>
        <w:tc>
          <w:tcPr>
            <w:tcW w:type="dxa" w:w="1511"/>
            <w:shd w:fill="FFFFFF"/>
          </w:tcPr>
          <w:p>
            <w:r>
              <w:rPr>
                <w:rFonts w:ascii="Arial" w:hAnsi="Arial"/>
                <w:color w:val="000000"/>
                <w:sz w:val="18"/>
              </w:rPr>
              <w:t>1222BC-008_final530-534.pdf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Genetic polymorphisms and adverse effects that affect the natalizumab clinical response: a review</w:t>
            </w:r>
          </w:p>
        </w:tc>
        <w:tc>
          <w:tcPr>
            <w:tcW w:type="dxa" w:w="1511"/>
            <w:shd w:fill="FFFFFF"/>
          </w:tcPr>
          <w:p>
            <w:r>
              <w:rPr>
                <w:rFonts w:ascii="Arial" w:hAnsi="Arial"/>
                <w:color w:val="000000"/>
                <w:sz w:val="18"/>
              </w:rPr>
              <w:t>Poor responsiveness to natalizumab has been linked to the homozygous CC genotype of the rs2304166 variant in GP6, which may be associated with progressive MS disability. Continued research is needed in order to elucidate the relationship between specific genetic variants and natalizumab responsiveness, with a focus on identifying the most influential genes.</w:t>
            </w:r>
          </w:p>
        </w:tc>
        <w:tc>
          <w:tcPr>
            <w:tcW w:type="dxa" w:w="1511"/>
            <w:shd w:fill="FFFFFF"/>
          </w:tcPr>
          <w:p>
            <w:r>
              <w:rPr>
                <w:rFonts w:ascii="Arial" w:hAnsi="Arial"/>
                <w:color w:val="000000"/>
                <w:sz w:val="18"/>
              </w:rPr>
              <w:t>Review</w:t>
            </w:r>
          </w:p>
        </w:tc>
        <w:tc>
          <w:tcPr>
            <w:tcW w:type="dxa" w:w="1511"/>
            <w:shd w:fill="FFFFFF"/>
          </w:tcPr>
          <w:p>
            <w:r>
              <w:rPr>
                <w:rFonts w:ascii="Arial" w:hAnsi="Arial"/>
                <w:color w:val="000000"/>
                <w:sz w:val="18"/>
              </w:rPr>
              <w:t>Patients with multiple sclerosis (MS)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Genetic polymorphisms (e.g., ITGA4, NQO1, GSTP1, GP6, AKT1) vs. clinical response to natalizumab</w:t>
            </w:r>
          </w:p>
        </w:tc>
        <w:tc>
          <w:tcPr>
            <w:tcW w:type="dxa" w:w="1511"/>
            <w:shd w:fill="FFFFFF"/>
          </w:tcPr>
          <w:p>
            <w:r>
              <w:rPr>
                <w:rFonts w:ascii="Arial" w:hAnsi="Arial"/>
                <w:color w:val="000000"/>
                <w:sz w:val="18"/>
              </w:rPr>
              <w:t>Clinical response to natalizumab</w:t>
            </w:r>
          </w:p>
        </w:tc>
        <w:tc>
          <w:tcPr>
            <w:tcW w:type="dxa" w:w="1511"/>
            <w:shd w:fill="FFFFFF"/>
          </w:tcPr>
          <w:p>
            <w:r>
              <w:rPr>
                <w:rFonts w:ascii="Arial" w:hAnsi="Arial"/>
                <w:color w:val="000000"/>
                <w:sz w:val="18"/>
              </w:rPr>
              <w:t>Several genetic loci were found to be linked to natalizumab responsiveness, including the integrin subunit alpha 4 (ITGA4), the nicotinamide adenine dinucleotide phosphate (NADPH) quinone oxidoreductase 1 (NQO1), the glutathione S-transferase pi 1 (GSTP1), the glycoprotein VI platelet (GP6), and the alpha serine/threonine-protein kinase (AKT1) genes. Poor responsiveness to natalizumab has been linked to the homozygous CC genotype of the rs2304166 variant in GP6, which may be associated with progressive MS disability.</w:t>
            </w:r>
          </w:p>
        </w:tc>
      </w:tr>
      <w:tr>
        <w:tc>
          <w:tcPr>
            <w:tcW w:type="dxa" w:w="1511"/>
            <w:shd w:fill="FFFFFF"/>
          </w:tcPr>
          <w:p>
            <w:r>
              <w:rPr>
                <w:rFonts w:ascii="Arial" w:hAnsi="Arial"/>
                <w:color w:val="000000"/>
                <w:sz w:val="18"/>
              </w:rPr>
              <w:t>2024Blantetal.NeurolNeuroimmunolNeuroinflamm..pdf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Presentation and Outcome in S1P-RM and Natalizumab-Associated Progressive Multifocal Leukoencephalopathy A Multicenter Cohort Study</w:t>
            </w:r>
          </w:p>
        </w:tc>
        <w:tc>
          <w:tcPr>
            <w:tcW w:type="dxa" w:w="1511"/>
            <w:shd w:fill="FFFFFF"/>
          </w:tcPr>
          <w:p>
            <w:r>
              <w:rPr>
                <w:rFonts w:ascii="Arial" w:hAnsi="Arial"/>
                <w:color w:val="000000"/>
                <w:sz w:val="18"/>
              </w:rPr>
              <w:t>S1P-RM–associated PML shows reduced IRIS risk but higher post-treatment MS activity. Clinicians should tailor post-PML treatment based on pre-PML medication.</w:t>
            </w:r>
          </w:p>
        </w:tc>
        <w:tc>
          <w:tcPr>
            <w:tcW w:type="dxa" w:w="1511"/>
            <w:shd w:fill="FFFFFF"/>
          </w:tcPr>
          <w:p>
            <w:r>
              <w:rPr>
                <w:rFonts w:ascii="Arial" w:hAnsi="Arial"/>
                <w:color w:val="000000"/>
                <w:sz w:val="18"/>
              </w:rPr>
              <w:t>Retrospective multicenter cohort study</w:t>
            </w:r>
          </w:p>
        </w:tc>
        <w:tc>
          <w:tcPr>
            <w:tcW w:type="dxa" w:w="1511"/>
            <w:shd w:fill="FFFFFF"/>
          </w:tcPr>
          <w:p>
            <w:r>
              <w:rPr>
                <w:rFonts w:ascii="Arial" w:hAnsi="Arial"/>
                <w:color w:val="000000"/>
                <w:sz w:val="18"/>
              </w:rPr>
              <w:t>Adults (≥18 years) with PML treated with S1P-RMs or natalizumab, meeting 2013 AAN criteria for definite/probable/possible PML</w:t>
            </w:r>
          </w:p>
        </w:tc>
        <w:tc>
          <w:tcPr>
            <w:tcW w:type="dxa" w:w="1511"/>
            <w:shd w:fill="FFFFFF"/>
          </w:tcPr>
          <w:p>
            <w:r>
              <w:rPr>
                <w:rFonts w:ascii="Arial" w:hAnsi="Arial"/>
                <w:color w:val="000000"/>
                <w:sz w:val="18"/>
              </w:rPr>
              <w:t>Treatment with sphingosine-1-phosphate receptor modulators (S1P-RMs) such as fingolimod and siponimod</w:t>
            </w:r>
          </w:p>
        </w:tc>
        <w:tc>
          <w:tcPr>
            <w:tcW w:type="dxa" w:w="1511"/>
            <w:shd w:fill="FFFFFF"/>
          </w:tcPr>
          <w:p>
            <w:r>
              <w:rPr>
                <w:rFonts w:ascii="Arial" w:hAnsi="Arial"/>
                <w:color w:val="000000"/>
                <w:sz w:val="18"/>
              </w:rPr>
              <w:t>S1P-RM-associated PML compared to natalizumab-associated PML</w:t>
            </w:r>
          </w:p>
        </w:tc>
        <w:tc>
          <w:tcPr>
            <w:tcW w:type="dxa" w:w="1511"/>
            <w:shd w:fill="FFFFFF"/>
          </w:tcPr>
          <w:p>
            <w:r>
              <w:rPr>
                <w:rFonts w:ascii="Arial" w:hAnsi="Arial"/>
                <w:color w:val="000000"/>
                <w:sz w:val="18"/>
              </w:rPr>
              <w:t>Clinical presentation, IRIS occurrence, survival, disability (modified Rankin Scale - mRS), and post-PML multiple sclerosis (MS) relapse activity</w:t>
            </w:r>
          </w:p>
        </w:tc>
        <w:tc>
          <w:tcPr>
            <w:tcW w:type="dxa" w:w="1511"/>
            <w:shd w:fill="FFFFFF"/>
          </w:tcPr>
          <w:p>
            <w:r>
              <w:rPr>
                <w:rFonts w:ascii="Arial" w:hAnsi="Arial"/>
                <w:color w:val="000000"/>
                <w:sz w:val="18"/>
              </w:rPr>
              <w:t>S1P-RM–associated PML diagnosed in older patients (median age 52 vs 44 years) and after longer treatment duration; more symptomatic at diagnosis (100% vs 80.6%), more disseminated lesions (80% vs 34.9%), higher gadolinium enhancement (65% vs 39.1%); natalizumab group had higher IRIS rate (OR: 8.3); 12-month mRS similar between groups; higher post-treatment MS activity in S1P-RM group (OR: 5.7)</w:t>
            </w:r>
          </w:p>
        </w:tc>
      </w:tr>
      <w:tr>
        <w:tc>
          <w:tcPr>
            <w:tcW w:type="dxa" w:w="1511"/>
            <w:shd w:fill="FFFFFF"/>
          </w:tcPr>
          <w:p>
            <w:r>
              <w:rPr>
                <w:rFonts w:ascii="Arial" w:hAnsi="Arial"/>
                <w:color w:val="000000"/>
                <w:sz w:val="18"/>
              </w:rPr>
              <w:t>2025.10.20.25338391v3.full.pdf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Treatment Continuum in RRMS: A Systematic Review and Meta-Analysis of Cessation Risks and Dosing Strategies</w:t>
            </w:r>
          </w:p>
        </w:tc>
        <w:tc>
          <w:tcPr>
            <w:tcW w:type="dxa" w:w="1511"/>
            <w:shd w:fill="FFFFFF"/>
          </w:tcPr>
          <w:p>
            <w:r>
              <w:rPr>
                <w:rFonts w:ascii="Arial" w:hAnsi="Arial"/>
                <w:color w:val="000000"/>
                <w:sz w:val="18"/>
              </w:rPr>
              <w:t>This review demonstrates a substantial 41.7% relapse risk within 12 months of natalizumab cessation, representing the most critical clinical implication. While EID may maintain efficacy comparable to SID, the high withdrawal relapse rate necessitates prompt therapy transition and patient counseling. Treatment decisions must encompass the entire continuum from initiation to discontinuation.</w:t>
            </w:r>
          </w:p>
        </w:tc>
        <w:tc>
          <w:tcPr>
            <w:tcW w:type="dxa" w:w="1511"/>
            <w:shd w:fill="FFFFFF"/>
          </w:tcPr>
          <w:p>
            <w:r>
              <w:rPr>
                <w:rFonts w:ascii="Arial" w:hAnsi="Arial"/>
                <w:color w:val="000000"/>
                <w:sz w:val="18"/>
              </w:rPr>
              <w:t>Systematic Review and Meta-Analysis</w:t>
            </w:r>
          </w:p>
        </w:tc>
        <w:tc>
          <w:tcPr>
            <w:tcW w:type="dxa" w:w="1511"/>
            <w:shd w:fill="FFFFFF"/>
          </w:tcPr>
          <w:p>
            <w:r>
              <w:rPr>
                <w:rFonts w:ascii="Arial" w:hAnsi="Arial"/>
                <w:color w:val="000000"/>
                <w:sz w:val="18"/>
              </w:rPr>
              <w:t>Adults (≥18 years) with relapsing-remitting multiple sclerosis (RRMS) treated with natalizumab monotherapy.</w:t>
            </w:r>
          </w:p>
        </w:tc>
        <w:tc>
          <w:tcPr>
            <w:tcW w:type="dxa" w:w="1511"/>
            <w:shd w:fill="FFFFFF"/>
          </w:tcPr>
          <w:p>
            <w:r>
              <w:rPr>
                <w:rFonts w:ascii="Arial" w:hAnsi="Arial"/>
                <w:color w:val="000000"/>
                <w:sz w:val="18"/>
              </w:rPr>
              <w:t>Natalizumab treatment (standard-interval dosing, extended-interval dosing, and cessation)</w:t>
            </w:r>
          </w:p>
        </w:tc>
        <w:tc>
          <w:tcPr>
            <w:tcW w:type="dxa" w:w="1511"/>
            <w:shd w:fill="FFFFFF"/>
          </w:tcPr>
          <w:p>
            <w:r>
              <w:rPr>
                <w:rFonts w:ascii="Arial" w:hAnsi="Arial"/>
                <w:color w:val="000000"/>
                <w:sz w:val="18"/>
              </w:rPr>
              <w:t>Extended-interval dosing (EID) vs. standard-interval dosing (SID), and cessation vs. continuation of natalizumab therapy</w:t>
            </w:r>
          </w:p>
        </w:tc>
        <w:tc>
          <w:tcPr>
            <w:tcW w:type="dxa" w:w="1511"/>
            <w:shd w:fill="FFFFFF"/>
          </w:tcPr>
          <w:p>
            <w:r>
              <w:rPr>
                <w:rFonts w:ascii="Arial" w:hAnsi="Arial"/>
                <w:color w:val="000000"/>
                <w:sz w:val="18"/>
              </w:rPr>
              <w:t>Annualized relapse rate (ARR), disability progression; secondary: PML incidence and post-cessation relapse</w:t>
            </w:r>
          </w:p>
        </w:tc>
        <w:tc>
          <w:tcPr>
            <w:tcW w:type="dxa" w:w="1511"/>
            <w:shd w:fill="FFFFFF"/>
          </w:tcPr>
          <w:p>
            <w:r>
              <w:rPr>
                <w:rFonts w:ascii="Arial" w:hAnsi="Arial"/>
                <w:color w:val="000000"/>
                <w:sz w:val="18"/>
              </w:rPr>
              <w:t>Twenty-eight studies (n=45,803) were included. The key finding was a substantial 41.7% (95% CI 30.8–53.6%) pooled relapse risk within 12 months of cessation (4 studies, n=857) using a random-effects model. Sensitivity analysis excluding the outlier study (Weinstock-Guttman 2016) showed a relapse risk of 36.9% (95% CI 33.7–40.3%). Narrative synthesis of ARR (9 studies) showed no consistent SID vs. EID difference (median difference 0.00). Meta-analysis of PML risk (3 studies) found no significant difference (RR 0.70, 95% CI 0.20-2.54). Disability outcomes were too heterogeneous for meta-analysis.</w:t>
            </w:r>
          </w:p>
        </w:tc>
      </w:tr>
      <w:tr>
        <w:tc>
          <w:tcPr>
            <w:tcW w:type="dxa" w:w="1511"/>
            <w:shd w:fill="FFFFFF"/>
          </w:tcPr>
          <w:p>
            <w:r>
              <w:rPr>
                <w:rFonts w:ascii="Arial" w:hAnsi="Arial"/>
                <w:color w:val="000000"/>
                <w:sz w:val="18"/>
              </w:rPr>
              <w:t>3138_Effectiveness_of_cladribine_compared_to_fingo.pdf</w:t>
            </w:r>
          </w:p>
        </w:tc>
        <w:tc>
          <w:tcPr>
            <w:tcW w:type="dxa" w:w="1511"/>
            <w:shd w:fill="FFFFFF"/>
          </w:tcPr>
          <w:p>
            <w:r>
              <w:rPr>
                <w:rFonts w:ascii="Arial" w:hAnsi="Arial"/>
                <w:color w:val="000000"/>
                <w:sz w:val="18"/>
              </w:rPr>
              <w:t>0.6</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Further research is required for risk stratification of RCVS to guide the early implantation of intraarterial vasodilation to avoid permanent neurological injury.</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early implantation of intraarterial vasodilation</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avoid permanent neurological injury</w:t>
            </w:r>
          </w:p>
        </w:tc>
        <w:tc>
          <w:tcPr>
            <w:tcW w:type="dxa" w:w="1511"/>
            <w:shd w:fill="FFFFFF"/>
          </w:tcPr>
          <w:p>
            <w:r>
              <w:rPr>
                <w:rFonts w:ascii="Arial" w:hAnsi="Arial"/>
                <w:color w:val="000000"/>
                <w:sz w:val="18"/>
              </w:rPr>
              <w:t>Not Found</w:t>
            </w:r>
          </w:p>
        </w:tc>
      </w:tr>
      <w:tr>
        <w:tc>
          <w:tcPr>
            <w:tcW w:type="dxa" w:w="1511"/>
            <w:shd w:fill="FFFFFF"/>
          </w:tcPr>
          <w:p>
            <w:r>
              <w:rPr>
                <w:rFonts w:ascii="Arial" w:hAnsi="Arial"/>
                <w:color w:val="000000"/>
                <w:sz w:val="18"/>
              </w:rPr>
              <w:t>113334.pdf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Role of Natalizumab in Relapsing-Remitting Multiple Sclerosis: A review.</w:t>
            </w:r>
          </w:p>
        </w:tc>
        <w:tc>
          <w:tcPr>
            <w:tcW w:type="dxa" w:w="1511"/>
            <w:shd w:fill="FFFFFF"/>
          </w:tcPr>
          <w:p>
            <w:r>
              <w:rPr>
                <w:rFonts w:ascii="Arial" w:hAnsi="Arial"/>
                <w:color w:val="000000"/>
                <w:sz w:val="18"/>
              </w:rPr>
              <w:t>The literature review suggests that Natalizumab has favorable outcomes in patients with relapsing-remitting multiple sclerosis. Since progressive multifocal leukoencephalopathy is one of the serious side effects of natalizumab, risk stratification should be done.</w:t>
            </w:r>
          </w:p>
        </w:tc>
        <w:tc>
          <w:tcPr>
            <w:tcW w:type="dxa" w:w="1511"/>
            <w:shd w:fill="FFFFFF"/>
          </w:tcPr>
          <w:p>
            <w:r>
              <w:rPr>
                <w:rFonts w:ascii="Arial" w:hAnsi="Arial"/>
                <w:color w:val="000000"/>
                <w:sz w:val="18"/>
              </w:rPr>
              <w:t>Review Article</w:t>
            </w:r>
          </w:p>
        </w:tc>
        <w:tc>
          <w:tcPr>
            <w:tcW w:type="dxa" w:w="1511"/>
            <w:shd w:fill="FFFFFF"/>
          </w:tcPr>
          <w:p>
            <w:r>
              <w:rPr>
                <w:rFonts w:ascii="Arial" w:hAnsi="Arial"/>
                <w:color w:val="000000"/>
                <w:sz w:val="18"/>
              </w:rPr>
              <w:t>Relapsing-Remitting Multiple Sclerosis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 (and other disease-modifying therapies such as interferon beta, fingolimod)</w:t>
            </w:r>
          </w:p>
        </w:tc>
        <w:tc>
          <w:tcPr>
            <w:tcW w:type="dxa" w:w="1511"/>
            <w:shd w:fill="FFFFFF"/>
          </w:tcPr>
          <w:p>
            <w:r>
              <w:rPr>
                <w:rFonts w:ascii="Arial" w:hAnsi="Arial"/>
                <w:color w:val="000000"/>
                <w:sz w:val="18"/>
              </w:rPr>
              <w:t>Reduction in disease progression, relapse rate, and MRI lesion activity; risk of Progressive multifocal leukoencephalopathy (PML)</w:t>
            </w:r>
          </w:p>
        </w:tc>
        <w:tc>
          <w:tcPr>
            <w:tcW w:type="dxa" w:w="1511"/>
            <w:shd w:fill="FFFFFF"/>
          </w:tcPr>
          <w:p>
            <w:r>
              <w:rPr>
                <w:rFonts w:ascii="Arial" w:hAnsi="Arial"/>
                <w:color w:val="000000"/>
                <w:sz w:val="18"/>
              </w:rPr>
              <w:t>The literature review suggests that natalizumab reduces the rate of sustained progression of the disease and disability, and was associated with a lower relapse rate in patients with relapsing-remitting multiple sclerosis. However, Progressive multifocal leukoencephalopathy is one of the serious side effects of natalizumab.</w:t>
            </w:r>
          </w:p>
        </w:tc>
      </w:tr>
      <w:tr>
        <w:tc>
          <w:tcPr>
            <w:tcW w:type="dxa" w:w="1511"/>
            <w:shd w:fill="FFFFFF"/>
          </w:tcPr>
          <w:p>
            <w:r>
              <w:rPr>
                <w:rFonts w:ascii="Arial" w:hAnsi="Arial"/>
                <w:color w:val="000000"/>
                <w:sz w:val="18"/>
              </w:rPr>
              <w:t>20251026-557220-cdhuxb.pdf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Comparative Efficacy of Ublitixumab Versus Natalizumab in the Treatment of Relapsing and Remitting Multiple Sclerosis</w:t>
            </w:r>
          </w:p>
        </w:tc>
        <w:tc>
          <w:tcPr>
            <w:tcW w:type="dxa" w:w="1511"/>
            <w:shd w:fill="FFFFFF"/>
          </w:tcPr>
          <w:p>
            <w:r>
              <w:rPr>
                <w:rFonts w:ascii="Arial" w:hAnsi="Arial"/>
                <w:color w:val="000000"/>
                <w:sz w:val="18"/>
              </w:rPr>
              <w:t>Ublituximab and natalizumab are both highly effective in managing RRMS, significantly reducing relapse rates and disease activity. For patients with RRMS, natalizumab continues to be a crucial component of the therapeutic regimen. It is very effective in preventing new MRI activity and lowering clinical relapses. But ublituximab's lower risk of PML and longer dosing interval may make it the safer and more convenient option for most patients. Future research focuses on creating new biomarkers that could enhance natalizumab's safety and more accurately predict a person's risk of PML. While direct comparative trials are unavailable, available data suggest they provide similar benefits. The selection of an optimal treatment should be individualized.</w:t>
            </w:r>
          </w:p>
        </w:tc>
        <w:tc>
          <w:tcPr>
            <w:tcW w:type="dxa" w:w="1511"/>
            <w:shd w:fill="FFFFFF"/>
          </w:tcPr>
          <w:p>
            <w:r>
              <w:rPr>
                <w:rFonts w:ascii="Arial" w:hAnsi="Arial"/>
                <w:color w:val="000000"/>
                <w:sz w:val="18"/>
              </w:rPr>
              <w:t>Narrative review</w:t>
            </w:r>
          </w:p>
        </w:tc>
        <w:tc>
          <w:tcPr>
            <w:tcW w:type="dxa" w:w="1511"/>
            <w:shd w:fill="FFFFFF"/>
          </w:tcPr>
          <w:p>
            <w:r>
              <w:rPr>
                <w:rFonts w:ascii="Arial" w:hAnsi="Arial"/>
                <w:color w:val="000000"/>
                <w:sz w:val="18"/>
              </w:rPr>
              <w:t>Relapsing and remitting multiple sclerosis (RRMS)</w:t>
            </w:r>
          </w:p>
        </w:tc>
        <w:tc>
          <w:tcPr>
            <w:tcW w:type="dxa" w:w="1511"/>
            <w:shd w:fill="FFFFFF"/>
          </w:tcPr>
          <w:p>
            <w:r>
              <w:rPr>
                <w:rFonts w:ascii="Arial" w:hAnsi="Arial"/>
                <w:color w:val="000000"/>
                <w:sz w:val="18"/>
              </w:rPr>
              <w:t>Ublitixumab</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Relapse frequency, disease activity (MRI lesions, disability progression)</w:t>
            </w:r>
          </w:p>
        </w:tc>
        <w:tc>
          <w:tcPr>
            <w:tcW w:type="dxa" w:w="1511"/>
            <w:shd w:fill="FFFFFF"/>
          </w:tcPr>
          <w:p>
            <w:r>
              <w:rPr>
                <w:rFonts w:ascii="Arial" w:hAnsi="Arial"/>
                <w:color w:val="000000"/>
                <w:sz w:val="18"/>
              </w:rPr>
              <w:t>Ublituximab significantly reduced annualized relapse rates (ARR) compared to teriflunomide. Natalizumab lowered the risk of sustained disability progression by 42% and reduced ARR by 68% over two years. Comparative efficacy suggests similar benefits in controlling disease activity in RRMS.</w:t>
            </w:r>
          </w:p>
        </w:tc>
      </w:tr>
      <w:tr>
        <w:tc>
          <w:tcPr>
            <w:tcW w:type="dxa" w:w="1511"/>
            <w:shd w:fill="FFFFFF"/>
          </w:tcPr>
          <w:p>
            <w:r>
              <w:rPr>
                <w:rFonts w:ascii="Arial" w:hAnsi="Arial"/>
                <w:color w:val="000000"/>
                <w:sz w:val="18"/>
              </w:rPr>
              <w:t>A real world multi center study on efficacy and safety of natalizumab in Indian patients with multiple sclerosis_Author links open overlay panel_Thomas Mathew a_, _Vikram Kamath b_, _Saji K John a_, _M Netravat.pdf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 real world multi center study on efficacy and safety of natalizumab in Indian patients with multiple sclerosis</w:t>
            </w:r>
          </w:p>
        </w:tc>
        <w:tc>
          <w:tcPr>
            <w:tcW w:type="dxa" w:w="1511"/>
            <w:shd w:fill="FFFFFF"/>
          </w:tcPr>
          <w:p>
            <w:r>
              <w:rPr>
                <w:rFonts w:ascii="Arial" w:hAnsi="Arial"/>
                <w:color w:val="000000"/>
                <w:sz w:val="18"/>
              </w:rPr>
              <w:t>Natalizumab is highly effective and safe in Indian MS patients, with no cases of PML identified at last follow up.</w:t>
            </w:r>
          </w:p>
        </w:tc>
        <w:tc>
          <w:tcPr>
            <w:tcW w:type="dxa" w:w="1511"/>
            <w:shd w:fill="FFFFFF"/>
          </w:tcPr>
          <w:p>
            <w:r>
              <w:rPr>
                <w:rFonts w:ascii="Arial" w:hAnsi="Arial"/>
                <w:color w:val="000000"/>
                <w:sz w:val="18"/>
              </w:rPr>
              <w:t>Multicentre ambispective study</w:t>
            </w:r>
          </w:p>
        </w:tc>
        <w:tc>
          <w:tcPr>
            <w:tcW w:type="dxa" w:w="1511"/>
            <w:shd w:fill="FFFFFF"/>
          </w:tcPr>
          <w:p>
            <w:r>
              <w:rPr>
                <w:rFonts w:ascii="Arial" w:hAnsi="Arial"/>
                <w:color w:val="000000"/>
                <w:sz w:val="18"/>
              </w:rPr>
              <w:t>Multiple sclerosis patients (aged ≥18 years) in India</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Pre-treatment vs post-treatment (before vs after natalizumab treatment)</w:t>
            </w:r>
          </w:p>
        </w:tc>
        <w:tc>
          <w:tcPr>
            <w:tcW w:type="dxa" w:w="1511"/>
            <w:shd w:fill="FFFFFF"/>
          </w:tcPr>
          <w:p>
            <w:r>
              <w:rPr>
                <w:rFonts w:ascii="Arial" w:hAnsi="Arial"/>
                <w:color w:val="000000"/>
                <w:sz w:val="18"/>
              </w:rPr>
              <w:t>Relapse rate, EDSS score, occurrence of PML</w:t>
            </w:r>
          </w:p>
        </w:tc>
        <w:tc>
          <w:tcPr>
            <w:tcW w:type="dxa" w:w="1511"/>
            <w:shd w:fill="FFFFFF"/>
          </w:tcPr>
          <w:p>
            <w:r>
              <w:rPr>
                <w:rFonts w:ascii="Arial" w:hAnsi="Arial"/>
                <w:color w:val="000000"/>
                <w:sz w:val="18"/>
              </w:rPr>
              <w:t>During the 9-year study, 116 MS patients (71.6% female, mean age 35.6±9.7 years) received natalizumab. Relapse rate decreased from 3.1±1.51 to 0.20±0.57 (p=0.001). EDSS improved from 4.5±1.94 to 3.8±2.7 (p=0.013). No PML cases were identified at last follow-up (38.3±22.78 months).</w:t>
            </w:r>
          </w:p>
        </w:tc>
      </w:tr>
      <w:tr>
        <w:tc>
          <w:tcPr>
            <w:tcW w:type="dxa" w:w="1511"/>
            <w:shd w:fill="FFFFFF"/>
          </w:tcPr>
          <w:p>
            <w:r>
              <w:rPr>
                <w:rFonts w:ascii="Arial" w:hAnsi="Arial"/>
                <w:color w:val="000000"/>
                <w:sz w:val="18"/>
              </w:rPr>
              <w:t>A_comparison_of_JC_virus_assay_performance_provide.pdf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A comparison of JC virus assay performance provided with originator and biosimilar natalizumab</w:t>
            </w:r>
          </w:p>
        </w:tc>
        <w:tc>
          <w:tcPr>
            <w:tcW w:type="dxa" w:w="1511"/>
            <w:shd w:fill="FFFFFF"/>
          </w:tcPr>
          <w:p>
            <w:r>
              <w:rPr>
                <w:rFonts w:ascii="Arial" w:hAnsi="Arial"/>
                <w:color w:val="000000"/>
                <w:sz w:val="18"/>
              </w:rPr>
              <w:t>These observed differences create uncertainty in how to counsel patients and best carry out PML surveillance. Specific concerns include overestimating risk leading to increased patient concern, increased monitoring burden and associated healthcare costs and lack of access to a highly effective therapy. It is incumbent on all stakeholders including pharmaceutical industry and test developers, patient groups, governmental authorities (including regulatory bodies) and clinicians to work together to find an expeditious solution.</w:t>
            </w:r>
          </w:p>
        </w:tc>
        <w:tc>
          <w:tcPr>
            <w:tcW w:type="dxa" w:w="1511"/>
            <w:shd w:fill="FFFFFF"/>
          </w:tcPr>
          <w:p>
            <w:r>
              <w:rPr>
                <w:rFonts w:ascii="Arial" w:hAnsi="Arial"/>
                <w:color w:val="000000"/>
                <w:sz w:val="18"/>
              </w:rPr>
              <w:t>Service evaluation</w:t>
            </w:r>
          </w:p>
        </w:tc>
        <w:tc>
          <w:tcPr>
            <w:tcW w:type="dxa" w:w="1511"/>
            <w:shd w:fill="FFFFFF"/>
          </w:tcPr>
          <w:p>
            <w:r>
              <w:rPr>
                <w:rFonts w:ascii="Arial" w:hAnsi="Arial"/>
                <w:color w:val="000000"/>
                <w:sz w:val="18"/>
              </w:rPr>
              <w:t>People with multiple sclerosis (MS)</w:t>
            </w:r>
          </w:p>
        </w:tc>
        <w:tc>
          <w:tcPr>
            <w:tcW w:type="dxa" w:w="1511"/>
            <w:shd w:fill="FFFFFF"/>
          </w:tcPr>
          <w:p>
            <w:r>
              <w:rPr>
                <w:rFonts w:ascii="Arial" w:hAnsi="Arial"/>
                <w:color w:val="000000"/>
                <w:sz w:val="18"/>
              </w:rPr>
              <w:t>Biosimilar natalizumab (Tyruko)</w:t>
            </w:r>
          </w:p>
        </w:tc>
        <w:tc>
          <w:tcPr>
            <w:tcW w:type="dxa" w:w="1511"/>
            <w:shd w:fill="FFFFFF"/>
          </w:tcPr>
          <w:p>
            <w:r>
              <w:rPr>
                <w:rFonts w:ascii="Arial" w:hAnsi="Arial"/>
                <w:color w:val="000000"/>
                <w:sz w:val="18"/>
              </w:rPr>
              <w:t>Originator natalizumab (Tysabri) JCV assay (Stratify-JCV) vs. Biosimilar natalizumab (Tyruko) JCV assay (ImmunoWELL)</w:t>
            </w:r>
          </w:p>
        </w:tc>
        <w:tc>
          <w:tcPr>
            <w:tcW w:type="dxa" w:w="1511"/>
            <w:shd w:fill="FFFFFF"/>
          </w:tcPr>
          <w:p>
            <w:r>
              <w:rPr>
                <w:rFonts w:ascii="Arial" w:hAnsi="Arial"/>
                <w:color w:val="000000"/>
                <w:sz w:val="18"/>
              </w:rPr>
              <w:t>JC virus (JCV) serostatus (positive/negative) and its impact on PML risk stratification</w:t>
            </w:r>
          </w:p>
        </w:tc>
        <w:tc>
          <w:tcPr>
            <w:tcW w:type="dxa" w:w="1511"/>
            <w:shd w:fill="FFFFFF"/>
          </w:tcPr>
          <w:p>
            <w:r>
              <w:rPr>
                <w:rFonts w:ascii="Arial" w:hAnsi="Arial"/>
                <w:color w:val="000000"/>
                <w:sz w:val="18"/>
              </w:rPr>
              <w:t>A total of 497 people with MS who switched from Tysabri to Tyruko were included. Of 250 patients negative on Stratify-JCV, 119 (47.6%) were subsequently positive on ImmunoWELL; 111 were low positive (JCV index &lt; 1.5) and 8 were high positive (JCV index &gt; 1.5). Of 140 patients who were low positive on Stratify-JCV, 31 (22.1%) were now high positive. Agreement was poorest at lower JCV index. This led to 47.6% of previously low-risk patients undergoing additional monitoring, 22.1% of moderate-risk patients being reclassified as high-risk, 76 additional outpatient clinic visits, 52 treatment switches (mostly to originator natalizumab), and increased MRI monitoring.</w:t>
            </w:r>
          </w:p>
        </w:tc>
      </w:tr>
      <w:tr>
        <w:tc>
          <w:tcPr>
            <w:tcW w:type="dxa" w:w="1511"/>
            <w:shd w:fill="FFFFFF"/>
          </w:tcPr>
          <w:p>
            <w:r>
              <w:rPr>
                <w:rFonts w:ascii="Arial" w:hAnsi="Arial"/>
                <w:color w:val="000000"/>
                <w:sz w:val="18"/>
              </w:rPr>
              <w:t>A_comparison_of_natalizumab_and_ocrelizumab_on_dis.pdf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 comparison of natalizumab and ocrelizumab on disease progression in multiple sclerosis</w:t>
            </w:r>
          </w:p>
        </w:tc>
        <w:tc>
          <w:tcPr>
            <w:tcW w:type="dxa" w:w="1511"/>
            <w:shd w:fill="FFFFFF"/>
          </w:tcPr>
          <w:p>
            <w:r>
              <w:rPr>
                <w:rFonts w:ascii="Arial" w:hAnsi="Arial"/>
                <w:color w:val="000000"/>
                <w:sz w:val="18"/>
              </w:rPr>
              <w:t>Our results confirm that both OCR and NTZ effectively eliminate RAW events in RRMS patients. In the short term, the number and risk of PIRA, EDSS 4.0 irreversible and EDSS 6.0 events were not significantly different between the two treated groups. A longer follow-up and a larger cohort will be essential to confirm data on the effects of NTZ and OCR especially on disability progression outcomes.</w:t>
            </w:r>
          </w:p>
        </w:tc>
        <w:tc>
          <w:tcPr>
            <w:tcW w:type="dxa" w:w="1511"/>
            <w:shd w:fill="FFFFFF"/>
          </w:tcPr>
          <w:p>
            <w:r>
              <w:rPr>
                <w:rFonts w:ascii="Arial" w:hAnsi="Arial"/>
                <w:color w:val="000000"/>
                <w:sz w:val="18"/>
              </w:rPr>
              <w:t>Retrospective cohort study</w:t>
            </w:r>
          </w:p>
        </w:tc>
        <w:tc>
          <w:tcPr>
            <w:tcW w:type="dxa" w:w="1511"/>
            <w:shd w:fill="FFFFFF"/>
          </w:tcPr>
          <w:p>
            <w:r>
              <w:rPr>
                <w:rFonts w:ascii="Arial" w:hAnsi="Arial"/>
                <w:color w:val="000000"/>
                <w:sz w:val="18"/>
              </w:rPr>
              <w:t>Relapsing-remitting multiple sclerosis (RRMS) patients with a first visit within 1 year from disease onset, a first DMT prescription with natalizumab or ocrelizumab after 31 December 2017, and ≥3 EDSS score evaluations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Ocrelizumab</w:t>
            </w:r>
          </w:p>
        </w:tc>
        <w:tc>
          <w:tcPr>
            <w:tcW w:type="dxa" w:w="1511"/>
            <w:shd w:fill="FFFFFF"/>
          </w:tcPr>
          <w:p>
            <w:r>
              <w:rPr>
                <w:rFonts w:ascii="Arial" w:hAnsi="Arial"/>
                <w:color w:val="000000"/>
                <w:sz w:val="18"/>
              </w:rPr>
              <w:t>First 6 months confirmed progression independent of relapse activity (PIRA) and relapse-associated worsening (RAW) events, and irreversible Expanded Disability Status Scale (EDSS) 4.0 and 6.0</w:t>
            </w:r>
          </w:p>
        </w:tc>
        <w:tc>
          <w:tcPr>
            <w:tcW w:type="dxa" w:w="1511"/>
            <w:shd w:fill="FFFFFF"/>
          </w:tcPr>
          <w:p>
            <w:r>
              <w:rPr>
                <w:rFonts w:ascii="Arial" w:hAnsi="Arial"/>
                <w:color w:val="000000"/>
                <w:sz w:val="18"/>
              </w:rPr>
              <w:t>In total, 770 subjects were included (natalizumab = 568; ocrelizumab = 212) and the propensity score-matching retrieved 195 pairs. No RAW events were found in natalizumab group and only 1 was reported in ocrelizumab group. A first PIRA event was reached by 23 natalizumab and 25 ocrelizumab exposed patients; 7 natalizumab- and 10 ocrelizumab-treated patients obtained an irreversible EDSS 4.0, while 13 natalizumab- and 15 ocrelizumab-treated patients reached an irreversible EDSS 6.0. No differences between the two groups were found in the risk (HR, 95%CI) of reaching a first PIRA (1.04, 0.59–1.84; p = 0.88) event, an irreversible EDSS 4.0 (1.23, 0.57–2.66; p = 0.60) and 6.0 (0.93, 0.32–2.68; p = 0.89).</w:t>
            </w:r>
          </w:p>
        </w:tc>
      </w:tr>
      <w:tr>
        <w:tc>
          <w:tcPr>
            <w:tcW w:type="dxa" w:w="1511"/>
            <w:shd w:fill="FFFFFF"/>
          </w:tcPr>
          <w:p>
            <w:r>
              <w:rPr>
                <w:rFonts w:ascii="Arial" w:hAnsi="Arial"/>
                <w:color w:val="000000"/>
                <w:sz w:val="18"/>
              </w:rPr>
              <w:t>Access_satisfaction_adherence_and_safety_to_subcut.pdf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Argentina Access, satisfaction, adherence and safety to subcutaneous natalizumab compared to intravenous natalizumab in multiple sclerosis in a real-life cohort: first report from Latin America</w:t>
            </w:r>
          </w:p>
        </w:tc>
        <w:tc>
          <w:tcPr>
            <w:tcW w:type="dxa" w:w="1511"/>
            <w:shd w:fill="FFFFFF"/>
          </w:tcPr>
          <w:p>
            <w:r>
              <w:rPr>
                <w:rFonts w:ascii="Arial" w:hAnsi="Arial"/>
                <w:color w:val="000000"/>
                <w:sz w:val="18"/>
              </w:rPr>
              <w:t>We found a high rate of change to scN from ivN, associated with a higher score in the comfort and convenience items in people receiving scN, compared to ivN. Access barriers should be addressed in order to improve treatment comfort.</w:t>
            </w:r>
          </w:p>
        </w:tc>
        <w:tc>
          <w:tcPr>
            <w:tcW w:type="dxa" w:w="1511"/>
            <w:shd w:fill="FFFFFF"/>
          </w:tcPr>
          <w:p>
            <w:r>
              <w:rPr>
                <w:rFonts w:ascii="Arial" w:hAnsi="Arial"/>
                <w:color w:val="000000"/>
                <w:sz w:val="18"/>
              </w:rPr>
              <w:t>cross-sectional study</w:t>
            </w:r>
          </w:p>
        </w:tc>
        <w:tc>
          <w:tcPr>
            <w:tcW w:type="dxa" w:w="1511"/>
            <w:shd w:fill="FFFFFF"/>
          </w:tcPr>
          <w:p>
            <w:r>
              <w:rPr>
                <w:rFonts w:ascii="Arial" w:hAnsi="Arial"/>
                <w:color w:val="000000"/>
                <w:sz w:val="18"/>
              </w:rPr>
              <w:t>People with multiple sclerosis (pwMS) receiving subcutaneous or intravenous natalizumab from public and private MS Centres in Argentina</w:t>
            </w:r>
          </w:p>
        </w:tc>
        <w:tc>
          <w:tcPr>
            <w:tcW w:type="dxa" w:w="1511"/>
            <w:shd w:fill="FFFFFF"/>
          </w:tcPr>
          <w:p>
            <w:r>
              <w:rPr>
                <w:rFonts w:ascii="Arial" w:hAnsi="Arial"/>
                <w:color w:val="000000"/>
                <w:sz w:val="18"/>
              </w:rPr>
              <w:t>Subcutaneous natalizumab (scN)</w:t>
            </w:r>
          </w:p>
        </w:tc>
        <w:tc>
          <w:tcPr>
            <w:tcW w:type="dxa" w:w="1511"/>
            <w:shd w:fill="FFFFFF"/>
          </w:tcPr>
          <w:p>
            <w:r>
              <w:rPr>
                <w:rFonts w:ascii="Arial" w:hAnsi="Arial"/>
                <w:color w:val="000000"/>
                <w:sz w:val="18"/>
              </w:rPr>
              <w:t>Intravenous natalizumab (ivN)</w:t>
            </w:r>
          </w:p>
        </w:tc>
        <w:tc>
          <w:tcPr>
            <w:tcW w:type="dxa" w:w="1511"/>
            <w:shd w:fill="FFFFFF"/>
          </w:tcPr>
          <w:p>
            <w:r>
              <w:rPr>
                <w:rFonts w:ascii="Arial" w:hAnsi="Arial"/>
                <w:color w:val="000000"/>
                <w:sz w:val="18"/>
              </w:rPr>
              <w:t>Access, satisfaction, adherence and safety to subcutaneous natalizumab compared to intravenous natalizumab</w:t>
            </w:r>
          </w:p>
        </w:tc>
        <w:tc>
          <w:tcPr>
            <w:tcW w:type="dxa" w:w="1511"/>
            <w:shd w:fill="FFFFFF"/>
          </w:tcPr>
          <w:p>
            <w:r>
              <w:rPr>
                <w:rFonts w:ascii="Arial" w:hAnsi="Arial"/>
                <w:color w:val="000000"/>
                <w:sz w:val="18"/>
              </w:rPr>
              <w:t>84 pwMS were included, 58.3% female, mean EDSS: 2.4 ± 1.2, mean age: 34.8 ± 10.8 years, mean disease duration: 7.8 ± 4.5 years, mean time under N: 43.7 ± 28.7 months, 45.2% naïve of prior disease modifying treatments, 77.4% (n = 65) under scN (60.7%, n = 51 are switchers from ivN, 49% due to difficult access to an infusion centre); and 22.6% 8 (n = 19) under ivN. The main barrier for change from iv to sc was the refusal from health insurance. Of the total of pwMS, 42% (n = 36) had a delay or lack of at least one dose from their social insurance, all from public hospitals. We found an association between scN use and high scores on the convenience items of TSQM (p &lt; 0.0001, X2 = 74), unlike ivN. Regardless of route of administration, most of pwMS showed high percentages of satisfaction in the effectiveness and global satisfaction items, without differences between ivN and scN. Side effects were reported by 10.8% (n = 7) in scN group versus 10.6% (n = 2) of ivN group, without significant ...</w:t>
            </w:r>
          </w:p>
        </w:tc>
      </w:tr>
      <w:tr>
        <w:tc>
          <w:tcPr>
            <w:tcW w:type="dxa" w:w="1511"/>
            <w:shd w:fill="FFFFFF"/>
          </w:tcPr>
          <w:p>
            <w:r>
              <w:rPr>
                <w:rFonts w:ascii="Arial" w:hAnsi="Arial"/>
                <w:color w:val="000000"/>
                <w:sz w:val="18"/>
              </w:rPr>
              <w:t>Balduzzi et al. - 2019 - How to perform a meta-analysis with R a practical tutorial.pdf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How to perform a meta-analysis with R: a practical tutorial</w:t>
            </w:r>
          </w:p>
        </w:tc>
        <w:tc>
          <w:tcPr>
            <w:tcW w:type="dxa" w:w="1511"/>
            <w:shd w:fill="FFFFFF"/>
          </w:tcPr>
          <w:p>
            <w:r>
              <w:rPr>
                <w:rFonts w:ascii="Arial" w:hAnsi="Arial"/>
                <w:color w:val="000000"/>
                <w:sz w:val="18"/>
              </w:rPr>
              <w:t>R represents a powerful and flexible tool to conduct meta-analyses. This publication gives a brief glimpse into the topic and provides directions to more advanced meta-analysis methods available in R.</w:t>
            </w:r>
          </w:p>
        </w:tc>
        <w:tc>
          <w:tcPr>
            <w:tcW w:type="dxa" w:w="1511"/>
            <w:shd w:fill="FFFFFF"/>
          </w:tcPr>
          <w:p>
            <w:r>
              <w:rPr>
                <w:rFonts w:ascii="Arial" w:hAnsi="Arial"/>
                <w:color w:val="000000"/>
                <w:sz w:val="18"/>
              </w:rPr>
              <w:t>Practical tutorial (meta-analysis with R)</w:t>
            </w:r>
          </w:p>
        </w:tc>
        <w:tc>
          <w:tcPr>
            <w:tcW w:type="dxa" w:w="1511"/>
            <w:shd w:fill="FFFFFF"/>
          </w:tcPr>
          <w:p>
            <w:r>
              <w:rPr>
                <w:rFonts w:ascii="Arial" w:hAnsi="Arial"/>
                <w:color w:val="000000"/>
                <w:sz w:val="18"/>
              </w:rPr>
              <w:t>Patients with schizophrenia symptoms (from 17 trials comparing haloperidol and placebo)</w:t>
            </w:r>
          </w:p>
        </w:tc>
        <w:tc>
          <w:tcPr>
            <w:tcW w:type="dxa" w:w="1511"/>
            <w:shd w:fill="FFFFFF"/>
          </w:tcPr>
          <w:p>
            <w:r>
              <w:rPr>
                <w:rFonts w:ascii="Arial" w:hAnsi="Arial"/>
                <w:color w:val="000000"/>
                <w:sz w:val="18"/>
              </w:rPr>
              <w:t>Haloperidol</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Clinical improvement (binary outcome: response to treatment vs. failure)</w:t>
            </w:r>
          </w:p>
        </w:tc>
        <w:tc>
          <w:tcPr>
            <w:tcW w:type="dxa" w:w="1511"/>
            <w:shd w:fill="FFFFFF"/>
          </w:tcPr>
          <w:p>
            <w:r>
              <w:rPr>
                <w:rFonts w:ascii="Arial" w:hAnsi="Arial"/>
                <w:color w:val="000000"/>
                <w:sz w:val="18"/>
              </w:rPr>
              <w:t>Fixed-effect and random-effects meta-analyses showed haloperidol significantly more effective than placebo, but with moderate heterogeneity (I2=54%). Subgroup analysis by missing data showed differences, sensitivity analyses for missing data yielded similar results. Funnel plot asymmetry indicated small-study effects, trim-and-fill and limit meta-analysis adjusted estimates, suggesting non-significant benefit of haloperidol after adjustment.</w:t>
            </w:r>
          </w:p>
        </w:tc>
      </w:tr>
      <w:tr>
        <w:tc>
          <w:tcPr>
            <w:tcW w:type="dxa" w:w="1511"/>
            <w:shd w:fill="FFFFFF"/>
          </w:tcPr>
          <w:p>
            <w:r>
              <w:rPr>
                <w:rFonts w:ascii="Arial" w:hAnsi="Arial"/>
                <w:color w:val="000000"/>
                <w:sz w:val="18"/>
              </w:rPr>
              <w:t>Bernardes et al. - 2024 - Natalizumab extended interval dosing what about wearing-off effect.pdf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extended interval dosing: what about wearing-off effect?</w:t>
            </w:r>
          </w:p>
        </w:tc>
        <w:tc>
          <w:tcPr>
            <w:tcW w:type="dxa" w:w="1511"/>
            <w:shd w:fill="FFFFFF"/>
          </w:tcPr>
          <w:p>
            <w:r>
              <w:rPr>
                <w:rFonts w:ascii="Arial" w:hAnsi="Arial"/>
                <w:color w:val="000000"/>
                <w:sz w:val="18"/>
              </w:rPr>
              <w:t>WO affects a significant proportion of MS patients under natalizumab. Despite clinical effectiveness maintenance, its prevalence, severity, and duration increase on EID, and therefore, we recommend that this posology should be individualized. Further investigation to elucidate the cause of WO and possible association with disease activity, namely on EID, is needed to ultimately guide dosing decisions.</w:t>
            </w:r>
          </w:p>
        </w:tc>
        <w:tc>
          <w:tcPr>
            <w:tcW w:type="dxa" w:w="1511"/>
            <w:shd w:fill="FFFFFF"/>
          </w:tcPr>
          <w:p>
            <w:r>
              <w:rPr>
                <w:rFonts w:ascii="Arial" w:hAnsi="Arial"/>
                <w:color w:val="000000"/>
                <w:sz w:val="18"/>
              </w:rPr>
              <w:t>Observational retrospective study</w:t>
            </w:r>
          </w:p>
        </w:tc>
        <w:tc>
          <w:tcPr>
            <w:tcW w:type="dxa" w:w="1511"/>
            <w:shd w:fill="FFFFFF"/>
          </w:tcPr>
          <w:p>
            <w:r>
              <w:rPr>
                <w:rFonts w:ascii="Arial" w:hAnsi="Arial"/>
                <w:color w:val="000000"/>
                <w:sz w:val="18"/>
              </w:rPr>
              <w:t>Patients with multiple sclerosis (MS) under natalizumab therapy</w:t>
            </w:r>
          </w:p>
        </w:tc>
        <w:tc>
          <w:tcPr>
            <w:tcW w:type="dxa" w:w="1511"/>
            <w:shd w:fill="FFFFFF"/>
          </w:tcPr>
          <w:p>
            <w:r>
              <w:rPr>
                <w:rFonts w:ascii="Arial" w:hAnsi="Arial"/>
                <w:color w:val="000000"/>
                <w:sz w:val="18"/>
              </w:rPr>
              <w:t>Extended interval dosing (EID) with every six weeks infusions</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Wearing-off (WO) effect prevalence, severity, and duration</w:t>
            </w:r>
          </w:p>
        </w:tc>
        <w:tc>
          <w:tcPr>
            <w:tcW w:type="dxa" w:w="1511"/>
            <w:shd w:fill="FFFFFF"/>
          </w:tcPr>
          <w:p>
            <w:r>
              <w:rPr>
                <w:rFonts w:ascii="Arial" w:hAnsi="Arial"/>
                <w:color w:val="000000"/>
                <w:sz w:val="18"/>
              </w:rPr>
              <w:t>Seventy-six patients were included. No significant differences were found in the annual relapse rate after the switch to EID (p = 0.083). However, there was a significant increase in the proportion of patients complaining of WO from 38.2% to 56.6% (p = 0.001). Moreover, patients with WO on SID, referred a significant increase in severity (p = 0.019) and duration of WO symptoms (p = 0.029), due to an anticipation of the symptoms relative to the day of natalizumab infusion (p = 0.019), when switching to EID. Symptoms improved with treatment maintenance in 23.3% of patients; instead, a reduction in interval dosing was needed in 54.8% with symptom improvement.</w:t>
            </w:r>
          </w:p>
        </w:tc>
      </w:tr>
      <w:tr>
        <w:tc>
          <w:tcPr>
            <w:tcW w:type="dxa" w:w="1511"/>
            <w:shd w:fill="FFFFFF"/>
          </w:tcPr>
          <w:p>
            <w:r>
              <w:rPr>
                <w:rFonts w:ascii="Arial" w:hAnsi="Arial"/>
                <w:color w:val="000000"/>
                <w:sz w:val="18"/>
              </w:rPr>
              <w:t>Bigaut et al. - 2021 - Long-term effect of natalizumab in patients with RRMS TYSTEN cohort.pdf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Long-term effect of natalizumab in patients with RRMS: TYSTEN cohort</w:t>
            </w:r>
          </w:p>
        </w:tc>
        <w:tc>
          <w:tcPr>
            <w:tcW w:type="dxa" w:w="1511"/>
            <w:shd w:fill="FFFFFF"/>
          </w:tcPr>
          <w:p>
            <w:r>
              <w:rPr>
                <w:rFonts w:ascii="Arial" w:hAnsi="Arial"/>
                <w:color w:val="000000"/>
                <w:sz w:val="18"/>
              </w:rPr>
              <w:t>In our cohort of patients treated with NTZ, poor outcomes were infrequent and are driven by disease activity.</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relapsing-remitting multiple sclerosis (RRMS) patients starting natalizumab (NTZ) between 2007 and 2012</w:t>
            </w:r>
          </w:p>
        </w:tc>
        <w:tc>
          <w:tcPr>
            <w:tcW w:type="dxa" w:w="1511"/>
            <w:shd w:fill="FFFFFF"/>
          </w:tcPr>
          <w:p>
            <w:r>
              <w:rPr>
                <w:rFonts w:ascii="Arial" w:hAnsi="Arial"/>
                <w:color w:val="000000"/>
                <w:sz w:val="18"/>
              </w:rPr>
              <w:t>natalizumab (NTZ)</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time of onset of secondary progressive phase, cumulative probability of SPMS conversion, EDSS worsening, EDSS 4.0/6.0, treatment failure, NEDA-3 status</w:t>
            </w:r>
          </w:p>
        </w:tc>
        <w:tc>
          <w:tcPr>
            <w:tcW w:type="dxa" w:w="1511"/>
            <w:shd w:fill="FFFFFF"/>
          </w:tcPr>
          <w:p>
            <w:r>
              <w:rPr>
                <w:rFonts w:ascii="Arial" w:hAnsi="Arial"/>
                <w:color w:val="000000"/>
                <w:sz w:val="18"/>
              </w:rPr>
              <w:t>770 patients included with mean follow-up 97 months and mean NTZ exposure 66 months. At 10 years, cumulative probability of SPMS was 27.7%. Predictive factors for poor outcomes included ≥1-point EDSS increase, new MRI lesions, relapse at 1/2 years, while NEDA-3 was protective.</w:t>
            </w:r>
          </w:p>
        </w:tc>
      </w:tr>
      <w:tr>
        <w:tc>
          <w:tcPr>
            <w:tcW w:type="dxa" w:w="1511"/>
            <w:shd w:fill="FFFFFF"/>
          </w:tcPr>
          <w:p>
            <w:r>
              <w:rPr>
                <w:rFonts w:ascii="Arial" w:hAnsi="Arial"/>
                <w:color w:val="000000"/>
                <w:sz w:val="18"/>
              </w:rPr>
              <w:t>Bomprezzi and Pawate - 2014 - Extended interval dosing of natalizumab a two-center, 7-year experience.pdf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Extended interval dosing of natalizumab: a two-center, 7-year experience</w:t>
            </w:r>
          </w:p>
        </w:tc>
        <w:tc>
          <w:tcPr>
            <w:tcW w:type="dxa" w:w="1511"/>
            <w:shd w:fill="FFFFFF"/>
          </w:tcPr>
          <w:p>
            <w:r>
              <w:rPr>
                <w:rFonts w:ascii="Arial" w:hAnsi="Arial"/>
                <w:color w:val="000000"/>
                <w:sz w:val="18"/>
              </w:rPr>
              <w:t>Natalizumab is effective in controlling MS as very few clinical relapses were observed in our dataset. We found that EID did not compromise the treatment effect as measured by relapse rate and no significant breakthrough disease activity was observed. EID is an optional regimen for maintenance natalizumab therapy, but prospective studies are warranted to determine its efficacy.</w:t>
            </w:r>
          </w:p>
        </w:tc>
        <w:tc>
          <w:tcPr>
            <w:tcW w:type="dxa" w:w="1511"/>
            <w:shd w:fill="FFFFFF"/>
          </w:tcPr>
          <w:p>
            <w:r>
              <w:rPr>
                <w:rFonts w:ascii="Arial" w:hAnsi="Arial"/>
                <w:color w:val="000000"/>
                <w:sz w:val="18"/>
              </w:rPr>
              <w:t>Retrospective review</w:t>
            </w:r>
          </w:p>
        </w:tc>
        <w:tc>
          <w:tcPr>
            <w:tcW w:type="dxa" w:w="1511"/>
            <w:shd w:fill="FFFFFF"/>
          </w:tcPr>
          <w:p>
            <w:r>
              <w:rPr>
                <w:rFonts w:ascii="Arial" w:hAnsi="Arial"/>
                <w:color w:val="000000"/>
                <w:sz w:val="18"/>
              </w:rPr>
              <w:t>Patients with multiple sclerosis (MS) treated with natalizumab at two MS centers for at least 6 months</w:t>
            </w:r>
          </w:p>
        </w:tc>
        <w:tc>
          <w:tcPr>
            <w:tcW w:type="dxa" w:w="1511"/>
            <w:shd w:fill="FFFFFF"/>
          </w:tcPr>
          <w:p>
            <w:r>
              <w:rPr>
                <w:rFonts w:ascii="Arial" w:hAnsi="Arial"/>
                <w:color w:val="000000"/>
                <w:sz w:val="18"/>
              </w:rPr>
              <w:t>Extended interval dosing (EID) of natalizumab (administered every 6 or 8 weeks)</w:t>
            </w:r>
          </w:p>
        </w:tc>
        <w:tc>
          <w:tcPr>
            <w:tcW w:type="dxa" w:w="1511"/>
            <w:shd w:fill="FFFFFF"/>
          </w:tcPr>
          <w:p>
            <w:r>
              <w:rPr>
                <w:rFonts w:ascii="Arial" w:hAnsi="Arial"/>
                <w:color w:val="000000"/>
                <w:sz w:val="18"/>
              </w:rPr>
              <w:t>Monthly dosing (natalizumab every 4 weeks) vs. Extended interval dosing (natalizumab every 6 or 8 weeks)</w:t>
            </w:r>
          </w:p>
        </w:tc>
        <w:tc>
          <w:tcPr>
            <w:tcW w:type="dxa" w:w="1511"/>
            <w:shd w:fill="FFFFFF"/>
          </w:tcPr>
          <w:p>
            <w:r>
              <w:rPr>
                <w:rFonts w:ascii="Arial" w:hAnsi="Arial"/>
                <w:color w:val="000000"/>
                <w:sz w:val="18"/>
              </w:rPr>
              <w:t>Clinical relapse rate and MRI activity (new T2, FLAIR, or contrast-enhancing lesions)</w:t>
            </w:r>
          </w:p>
        </w:tc>
        <w:tc>
          <w:tcPr>
            <w:tcW w:type="dxa" w:w="1511"/>
            <w:shd w:fill="FFFFFF"/>
          </w:tcPr>
          <w:p>
            <w:r>
              <w:rPr>
                <w:rFonts w:ascii="Arial" w:hAnsi="Arial"/>
                <w:color w:val="000000"/>
                <w:sz w:val="18"/>
              </w:rPr>
              <w:t>Relapse rate was 13% for monthly dosing and 13% for EID (no significant difference). New MRI lesions: 11% in monthly dosing, 9% in EID. No significant breakthrough disease activity observed with EID.</w:t>
            </w:r>
          </w:p>
        </w:tc>
      </w:tr>
      <w:tr>
        <w:tc>
          <w:tcPr>
            <w:tcW w:type="dxa" w:w="1511"/>
            <w:shd w:fill="FFFFFF"/>
          </w:tcPr>
          <w:p>
            <w:r>
              <w:rPr>
                <w:rFonts w:ascii="Arial" w:hAnsi="Arial"/>
                <w:color w:val="000000"/>
                <w:sz w:val="18"/>
              </w:rPr>
              <w:t>Brandstadter et al. - 2017 - The use of natalizumab for multiple sclerosis.pdf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The use of natalizumab for multiple sclerosis</w:t>
            </w:r>
          </w:p>
        </w:tc>
        <w:tc>
          <w:tcPr>
            <w:tcW w:type="dxa" w:w="1511"/>
            <w:shd w:fill="FFFFFF"/>
          </w:tcPr>
          <w:p>
            <w:r>
              <w:rPr>
                <w:rFonts w:ascii="Arial" w:hAnsi="Arial"/>
                <w:color w:val="000000"/>
                <w:sz w:val="18"/>
              </w:rPr>
              <w:t>Natalizumab remains an important part of the treatment arsenal for patients with RRMS. It has proven to be highly efficacious in the reduction of clinical relapses and prevention of new MRI activity. Though generally well-tolerated, natalizumab does carry a risk for the life-threatening condition PML. Risk mitigation awareness and development of a formal monitoring program have encouraged careful prescribing of natalizumab, though the risk of PML has not been fully eliminated. Future work continues into the development of new biomarkers that may better predict an individual’s risk of PML and further improve upon natalizumab’s safety.</w:t>
            </w:r>
          </w:p>
        </w:tc>
        <w:tc>
          <w:tcPr>
            <w:tcW w:type="dxa" w:w="1511"/>
            <w:shd w:fill="FFFFFF"/>
          </w:tcPr>
          <w:p>
            <w:r>
              <w:rPr>
                <w:rFonts w:ascii="Arial" w:hAnsi="Arial"/>
                <w:color w:val="000000"/>
                <w:sz w:val="18"/>
              </w:rPr>
              <w:t>Review</w:t>
            </w:r>
          </w:p>
        </w:tc>
        <w:tc>
          <w:tcPr>
            <w:tcW w:type="dxa" w:w="1511"/>
            <w:shd w:fill="FFFFFF"/>
          </w:tcPr>
          <w:p>
            <w:r>
              <w:rPr>
                <w:rFonts w:ascii="Arial" w:hAnsi="Arial"/>
                <w:color w:val="000000"/>
                <w:sz w:val="18"/>
              </w:rPr>
              <w:t>Multiple sclerosis patients (including relapsing-remitting and secondary progressive subtypes)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Annualized relapse rate, MRI lesion activity, disability progression</w:t>
            </w:r>
          </w:p>
        </w:tc>
        <w:tc>
          <w:tcPr>
            <w:tcW w:type="dxa" w:w="1511"/>
            <w:shd w:fill="FFFFFF"/>
          </w:tcPr>
          <w:p>
            <w:r>
              <w:rPr>
                <w:rFonts w:ascii="Arial" w:hAnsi="Arial"/>
                <w:color w:val="000000"/>
                <w:sz w:val="18"/>
              </w:rPr>
              <w:t>In relapsing–remitting multiple sclerosis, natalizumab reduced the annualized relapse rate by 68% at 1 year and the risk of sustained disability worsening by 42% at 2 years compared to placebo. It also reduced the mean number of new/enlarging T2 hyperintense MRI lesions by 83% over 2 years. In secondary progressive multiple sclerosis, natalizumab did not show significant difference in disability progression at 2 years but reduced upper extremity disability. Safety concerns include progressive multifocal leukoencephalopathy (PML), with risk factors including positive anti-JCV antibodies, prior immunosuppressant use, and duration of therapy.</w:t>
            </w:r>
          </w:p>
        </w:tc>
      </w:tr>
      <w:tr>
        <w:tc>
          <w:tcPr>
            <w:tcW w:type="dxa" w:w="1511"/>
            <w:shd w:fill="FFFFFF"/>
          </w:tcPr>
          <w:p>
            <w:r>
              <w:rPr>
                <w:rFonts w:ascii="Arial" w:hAnsi="Arial"/>
                <w:color w:val="000000"/>
                <w:sz w:val="18"/>
              </w:rPr>
              <w:t>Budget_impact_analysis_of_natalizumab_biosimilar_o.pdf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Analisi di impatto del biosimilare di natalizumab sulla spesa farmaceutica per il trattamento della sclerosi multipla recidivante-remittente in Italia</w:t>
            </w:r>
          </w:p>
        </w:tc>
        <w:tc>
          <w:tcPr>
            <w:tcW w:type="dxa" w:w="1511"/>
            <w:shd w:fill="FFFFFF"/>
          </w:tcPr>
          <w:p>
            <w:r>
              <w:rPr>
                <w:rFonts w:ascii="Arial" w:hAnsi="Arial"/>
                <w:color w:val="000000"/>
                <w:sz w:val="18"/>
              </w:rPr>
              <w:t>Considering the results of this budget impact analysis, it is realistic to expect that the presence of biosimilar natalizumab will contribute to the sustainability of public pharmaceutical expenditure.</w:t>
            </w:r>
          </w:p>
        </w:tc>
        <w:tc>
          <w:tcPr>
            <w:tcW w:type="dxa" w:w="1511"/>
            <w:shd w:fill="FFFFFF"/>
          </w:tcPr>
          <w:p>
            <w:r>
              <w:rPr>
                <w:rFonts w:ascii="Arial" w:hAnsi="Arial"/>
                <w:color w:val="000000"/>
                <w:sz w:val="18"/>
              </w:rPr>
              <w:t>Budget impact analysis</w:t>
            </w:r>
          </w:p>
        </w:tc>
        <w:tc>
          <w:tcPr>
            <w:tcW w:type="dxa" w:w="1511"/>
            <w:shd w:fill="FFFFFF"/>
          </w:tcPr>
          <w:p>
            <w:r>
              <w:rPr>
                <w:rFonts w:ascii="Arial" w:hAnsi="Arial"/>
                <w:color w:val="000000"/>
                <w:sz w:val="18"/>
              </w:rPr>
              <w:t>Pazienti con SMRR a elevata attività (pazienti con un’elevata attività della malattia nonostante un ciclo terapeutico completo e adeguato con almeno una terapia disease-modifying (DMT) e da pazienti con SMRR severa a evoluzione rapida, definita da due o più recidive disabilitanti in un anno e con 1 o più lesioni captanti gadolinio alla risonanza magnetica cerebrale o un aumento significativo del carico lesionale in T2 rispetto a una precedente RM effettuata di recente)</w:t>
            </w:r>
          </w:p>
        </w:tc>
        <w:tc>
          <w:tcPr>
            <w:tcW w:type="dxa" w:w="1511"/>
            <w:shd w:fill="FFFFFF"/>
          </w:tcPr>
          <w:p>
            <w:r>
              <w:rPr>
                <w:rFonts w:ascii="Arial" w:hAnsi="Arial"/>
                <w:color w:val="000000"/>
                <w:sz w:val="18"/>
              </w:rPr>
              <w:t>Natalizumab biosimilar (Tyruko®)</w:t>
            </w:r>
          </w:p>
        </w:tc>
        <w:tc>
          <w:tcPr>
            <w:tcW w:type="dxa" w:w="1511"/>
            <w:shd w:fill="FFFFFF"/>
          </w:tcPr>
          <w:p>
            <w:r>
              <w:rPr>
                <w:rFonts w:ascii="Arial" w:hAnsi="Arial"/>
                <w:color w:val="000000"/>
                <w:sz w:val="18"/>
              </w:rPr>
              <w:t>Natalizumab originator vs Natalizumab biosimilar</w:t>
            </w:r>
          </w:p>
        </w:tc>
        <w:tc>
          <w:tcPr>
            <w:tcW w:type="dxa" w:w="1511"/>
            <w:shd w:fill="FFFFFF"/>
          </w:tcPr>
          <w:p>
            <w:r>
              <w:rPr>
                <w:rFonts w:ascii="Arial" w:hAnsi="Arial"/>
                <w:color w:val="000000"/>
                <w:sz w:val="18"/>
              </w:rPr>
              <w:t>Economic impact on pharmaceutical expenditure (budget impact)</w:t>
            </w:r>
          </w:p>
        </w:tc>
        <w:tc>
          <w:tcPr>
            <w:tcW w:type="dxa" w:w="1511"/>
            <w:shd w:fill="FFFFFF"/>
          </w:tcPr>
          <w:p>
            <w:r>
              <w:rPr>
                <w:rFonts w:ascii="Arial" w:hAnsi="Arial"/>
                <w:color w:val="000000"/>
                <w:sz w:val="18"/>
              </w:rPr>
              <w:t>The introduction of natalizumab biosimilar, considering a progressive increase in market share from 9.6% (year 1) to 40.5% (year 5), would provide an overall savings (5-years time horizon) over € 47 million to the INHS.</w:t>
            </w:r>
          </w:p>
        </w:tc>
      </w:tr>
      <w:tr>
        <w:tc>
          <w:tcPr>
            <w:tcW w:type="dxa" w:w="1511"/>
            <w:shd w:fill="FFFFFF"/>
          </w:tcPr>
          <w:p>
            <w:r>
              <w:rPr>
                <w:rFonts w:ascii="Arial" w:hAnsi="Arial"/>
                <w:color w:val="000000"/>
                <w:sz w:val="18"/>
              </w:rPr>
              <w:t>Buron et al. - 2023 - Natalizumab treatment of multiple sclerosis — a Danish nationwide study with 13 years of follow-up.pdf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treatment of multiple sclerosis — a Danish nationwide study with 13 years of follow-up</w:t>
            </w:r>
          </w:p>
        </w:tc>
        <w:tc>
          <w:tcPr>
            <w:tcW w:type="dxa" w:w="1511"/>
            <w:shd w:fill="FFFFFF"/>
          </w:tcPr>
          <w:p>
            <w:r>
              <w:rPr>
                <w:rFonts w:ascii="Arial" w:hAnsi="Arial"/>
                <w:color w:val="000000"/>
                <w:sz w:val="18"/>
              </w:rPr>
              <w:t>In conclusion, markers of disease activity remain low during long-term follow-up of patients treated with natalizumab in Denmark. We provide strong real-world evidence of efficient suppression of clinical relapses, EDSS worsening and radiological activity. Prescription patterns have changed over time, with more patients starting natalizumab earlier in the disease course, with shorter or no treatment history, and with lower accumulated disability levels. The most common cause for discontinuation is the appearance of JCV-antibodies, and discontinuation due to activity and adverse events were low. Registered adverse events were rare, with PML incidence lower than reported elsewhere.</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Multiple sclerosis patients initiating natalizumab treatment in Denmark</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Annualized relapse rates, confirmed Expanded Disability Status Scale (EDSS) worsening, MRI activity (new/enlarging T2- or gadolinium-enhancing lesions), and reported adverse events</w:t>
            </w:r>
          </w:p>
        </w:tc>
        <w:tc>
          <w:tcPr>
            <w:tcW w:type="dxa" w:w="1511"/>
            <w:shd w:fill="FFFFFF"/>
          </w:tcPr>
          <w:p>
            <w:r>
              <w:rPr>
                <w:rFonts w:ascii="Arial" w:hAnsi="Arial"/>
                <w:color w:val="000000"/>
                <w:sz w:val="18"/>
              </w:rPr>
              <w:t>In total, 2424 patients were enrolled, with a median follow-up time of 2.7 years (interquartile range (IQR) 1.2–5.1). In recent epochs, patients were younger, had lower EDSS scores, had fewer pre-treatment relapses and were more often treatment naïve. At 13 years of follow-up, 36% had a confirmed EDSS worsening. On-treatment ARR was 0.30, corresponding to a 72% reduction from pre-initiation. MRI activity was rare, 6.8% had activity within 2–14 months from treatment start, 3.4% within 14–26 months, and 2.7% within 26–38 months. Approximately 14% of patients reported adverse events, with cephalalgia constituting the majority. During the study, 62.3% discontinued treatment. Of these, the main cause (41%) was due to JCV antibodies, while discontinuations due to disease activity (9%) or adverse events (9%) were less frequent.</w:t>
            </w:r>
          </w:p>
        </w:tc>
      </w:tr>
      <w:tr>
        <w:tc>
          <w:tcPr>
            <w:tcW w:type="dxa" w:w="1511"/>
            <w:shd w:fill="FFFFFF"/>
          </w:tcPr>
          <w:p>
            <w:r>
              <w:rPr>
                <w:rFonts w:ascii="Arial" w:hAnsi="Arial"/>
                <w:color w:val="000000"/>
                <w:sz w:val="18"/>
              </w:rPr>
              <w:t>Butzkueven et al. - Similar clinical outcomes for natalizumab patients switching to every-6-week dosing versus remaining.pdf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Similar Clinical Outcomes for Natalizumab Patients Switching to Every-6-Week Dosing Versus Remaining on Every-4-Week Dosing in Real-World Practice</w:t>
            </w:r>
          </w:p>
        </w:tc>
        <w:tc>
          <w:tcPr>
            <w:tcW w:type="dxa" w:w="1511"/>
            <w:shd w:fill="FFFFFF"/>
          </w:tcPr>
          <w:p>
            <w:r>
              <w:rPr>
                <w:rFonts w:ascii="Arial" w:hAnsi="Arial"/>
                <w:color w:val="000000"/>
                <w:sz w:val="18"/>
              </w:rPr>
              <w:t>These analyses of real-world data from TOP demonstrate no significant difference in risk of relapse or 24-week confirmed disability worsening (CDW) between propensity score–matched patients who switched to natalizumab Q6W dosing after ≥1 year on Q4W dosing and patients who remained on Q4W dosing. These results also confirm and extend a previous analysis of TOP data that suggested maintenance of effectiveness in patients who switched from standard interval dosing to extended interval dosing. While Q6W patients appeared to experience fewer serious adverse events (SAEs) than Q4W patients, conclusions regarding safety of Q6W and Q4W dosing are limited by small patient sample sizes. While propensity score matching and adjustment were used to account for several potentially important covariates, findings are limited by possible selection biases from unmeasured covariates. These results, combined with other real-world and clinical studies, including the ongoing, randomized, prospective NOVA t...</w:t>
            </w:r>
          </w:p>
        </w:tc>
        <w:tc>
          <w:tcPr>
            <w:tcW w:type="dxa" w:w="1511"/>
            <w:shd w:fill="FFFFFF"/>
          </w:tcPr>
          <w:p>
            <w:r>
              <w:rPr>
                <w:rFonts w:ascii="Arial" w:hAnsi="Arial"/>
                <w:color w:val="000000"/>
                <w:sz w:val="18"/>
              </w:rPr>
              <w:t>Observational Study (Propensity Score–Matched)</w:t>
            </w:r>
          </w:p>
        </w:tc>
        <w:tc>
          <w:tcPr>
            <w:tcW w:type="dxa" w:w="1511"/>
            <w:shd w:fill="FFFFFF"/>
          </w:tcPr>
          <w:p>
            <w:r>
              <w:rPr>
                <w:rFonts w:ascii="Arial" w:hAnsi="Arial"/>
                <w:color w:val="000000"/>
                <w:sz w:val="18"/>
              </w:rPr>
              <w:t>Patients with relapsing-remitting multiple sclerosis (RRMS) receiving natalizumab, propensity score–matched between those switching to every-6-week (Q6W) dosing and those remaining on every-4-week (Q4W) dosing</w:t>
            </w:r>
          </w:p>
        </w:tc>
        <w:tc>
          <w:tcPr>
            <w:tcW w:type="dxa" w:w="1511"/>
            <w:shd w:fill="FFFFFF"/>
          </w:tcPr>
          <w:p>
            <w:r>
              <w:rPr>
                <w:rFonts w:ascii="Arial" w:hAnsi="Arial"/>
                <w:color w:val="000000"/>
                <w:sz w:val="18"/>
              </w:rPr>
              <w:t>Switching to every-6-week (Q6W) dosing of natalizumab</w:t>
            </w:r>
          </w:p>
        </w:tc>
        <w:tc>
          <w:tcPr>
            <w:tcW w:type="dxa" w:w="1511"/>
            <w:shd w:fill="FFFFFF"/>
          </w:tcPr>
          <w:p>
            <w:r>
              <w:rPr>
                <w:rFonts w:ascii="Arial" w:hAnsi="Arial"/>
                <w:color w:val="000000"/>
                <w:sz w:val="18"/>
              </w:rPr>
              <w:t>Patients who remained on every-4-week (Q4W) dosing of natalizumab</w:t>
            </w:r>
          </w:p>
        </w:tc>
        <w:tc>
          <w:tcPr>
            <w:tcW w:type="dxa" w:w="1511"/>
            <w:shd w:fill="FFFFFF"/>
          </w:tcPr>
          <w:p>
            <w:r>
              <w:rPr>
                <w:rFonts w:ascii="Arial" w:hAnsi="Arial"/>
                <w:color w:val="000000"/>
                <w:sz w:val="18"/>
              </w:rPr>
              <w:t>Relapse and 24-week confirmed disability worsening (CDW)</w:t>
            </w:r>
          </w:p>
        </w:tc>
        <w:tc>
          <w:tcPr>
            <w:tcW w:type="dxa" w:w="1511"/>
            <w:shd w:fill="FFFFFF"/>
          </w:tcPr>
          <w:p>
            <w:r>
              <w:rPr>
                <w:rFonts w:ascii="Arial" w:hAnsi="Arial"/>
                <w:color w:val="000000"/>
                <w:sz w:val="18"/>
              </w:rPr>
              <w:t>No significant difference in annualized relapse rate (ARR) or 24-week confirmed disability worsening (CDW) between propensity score–matched patients switching to natalizumab Q6W dosing and those remaining on Q4W dosing; Q6W patients experienced fewer serious adverse events (SAEs) than Q4W patients, though conclusions on safety are limited by small sample sizes.</w:t>
            </w:r>
          </w:p>
        </w:tc>
      </w:tr>
      <w:tr>
        <w:tc>
          <w:tcPr>
            <w:tcW w:type="dxa" w:w="1511"/>
            <w:shd w:fill="FFFFFF"/>
          </w:tcPr>
          <w:p>
            <w:r>
              <w:rPr>
                <w:rFonts w:ascii="Arial" w:hAnsi="Arial"/>
                <w:color w:val="000000"/>
                <w:sz w:val="18"/>
              </w:rPr>
              <w:t>Chisari et al. - 2020 - Clinical effectiveness of different natalizumab interval dosing schedules in a large Italian populat.pdf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Clinical effectiveness of different natalizumab interval dosing schedules in a large Italian population of patients with multiple sclerosis</w:t>
            </w:r>
          </w:p>
        </w:tc>
        <w:tc>
          <w:tcPr>
            <w:tcW w:type="dxa" w:w="1511"/>
            <w:shd w:fill="FFFFFF"/>
          </w:tcPr>
          <w:p>
            <w:r>
              <w:rPr>
                <w:rFonts w:ascii="Arial" w:hAnsi="Arial"/>
                <w:color w:val="000000"/>
                <w:sz w:val="18"/>
              </w:rPr>
              <w:t>The use of NTZ with an extended interval schedule showed similar effectiveness compared with standard interval dosing in terms of annualised relapse rate, disability status, progression index, and confirmed disability worsening in a large Italian MS population.</w:t>
            </w:r>
          </w:p>
        </w:tc>
        <w:tc>
          <w:tcPr>
            <w:tcW w:type="dxa" w:w="1511"/>
            <w:shd w:fill="FFFFFF"/>
          </w:tcPr>
          <w:p>
            <w:r>
              <w:rPr>
                <w:rFonts w:ascii="Arial" w:hAnsi="Arial"/>
                <w:color w:val="000000"/>
                <w:sz w:val="18"/>
              </w:rPr>
              <w:t>Retrospective multicentre observational study</w:t>
            </w:r>
          </w:p>
        </w:tc>
        <w:tc>
          <w:tcPr>
            <w:tcW w:type="dxa" w:w="1511"/>
            <w:shd w:fill="FFFFFF"/>
          </w:tcPr>
          <w:p>
            <w:r>
              <w:rPr>
                <w:rFonts w:ascii="Arial" w:hAnsi="Arial"/>
                <w:color w:val="000000"/>
                <w:sz w:val="18"/>
              </w:rPr>
              <w:t>Patients with relapsing-remitting multiple sclerosis (RR-MS) from the Italian MS Register</w:t>
            </w:r>
          </w:p>
        </w:tc>
        <w:tc>
          <w:tcPr>
            <w:tcW w:type="dxa" w:w="1511"/>
            <w:shd w:fill="FFFFFF"/>
          </w:tcPr>
          <w:p>
            <w:r>
              <w:rPr>
                <w:rFonts w:ascii="Arial" w:hAnsi="Arial"/>
                <w:color w:val="000000"/>
                <w:sz w:val="18"/>
              </w:rPr>
              <w:t>Natalizumab (NTZ) administered with extended interval dosing (EID) schedule</w:t>
            </w:r>
          </w:p>
        </w:tc>
        <w:tc>
          <w:tcPr>
            <w:tcW w:type="dxa" w:w="1511"/>
            <w:shd w:fill="FFFFFF"/>
          </w:tcPr>
          <w:p>
            <w:r>
              <w:rPr>
                <w:rFonts w:ascii="Arial" w:hAnsi="Arial"/>
                <w:color w:val="000000"/>
                <w:sz w:val="18"/>
              </w:rPr>
              <w:t>Standard interval dosing (SID) vs extended interval dosing (EID)</w:t>
            </w:r>
          </w:p>
        </w:tc>
        <w:tc>
          <w:tcPr>
            <w:tcW w:type="dxa" w:w="1511"/>
            <w:shd w:fill="FFFFFF"/>
          </w:tcPr>
          <w:p>
            <w:r>
              <w:rPr>
                <w:rFonts w:ascii="Arial" w:hAnsi="Arial"/>
                <w:color w:val="000000"/>
                <w:sz w:val="18"/>
              </w:rPr>
              <w:t>Annualised relapse rate (ARR), Expanded Disability Status Scale (EDSS) score, progression index, confirmed disability worsening</w:t>
            </w:r>
          </w:p>
        </w:tc>
        <w:tc>
          <w:tcPr>
            <w:tcW w:type="dxa" w:w="1511"/>
            <w:shd w:fill="FFFFFF"/>
          </w:tcPr>
          <w:p>
            <w:r>
              <w:rPr>
                <w:rFonts w:ascii="Arial" w:hAnsi="Arial"/>
                <w:color w:val="000000"/>
                <w:sz w:val="18"/>
              </w:rPr>
              <w:t>At 12 and 24 months, no differences in terms of annualised relapse rate and disability status were found between the SID and EID groups. Progression index and confirmed disability worsening were similar between the two groups.</w:t>
            </w:r>
          </w:p>
        </w:tc>
      </w:tr>
      <w:tr>
        <w:tc>
          <w:tcPr>
            <w:tcW w:type="dxa" w:w="1511"/>
            <w:shd w:fill="FFFFFF"/>
          </w:tcPr>
          <w:p>
            <w:r>
              <w:rPr>
                <w:rFonts w:ascii="Arial" w:hAnsi="Arial"/>
                <w:color w:val="000000"/>
                <w:sz w:val="18"/>
              </w:rPr>
              <w:t>Cladribine_tablets_after_treatment_with_natalizuma.pdf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Cladribine tablets after treatment with natalizumab (CLADRINA) – rationale and design</w:t>
            </w:r>
          </w:p>
        </w:tc>
        <w:tc>
          <w:tcPr>
            <w:tcW w:type="dxa" w:w="1511"/>
            <w:shd w:fill="FFFFFF"/>
          </w:tcPr>
          <w:p>
            <w:r>
              <w:rPr>
                <w:rFonts w:ascii="Arial" w:hAnsi="Arial"/>
                <w:color w:val="000000"/>
                <w:sz w:val="18"/>
              </w:rPr>
              <w:t>we believe that with completion of the CLADRINA study, there will be for the first time, high level evidence for disease prevention following transitioning from natalizumab</w:t>
            </w:r>
          </w:p>
        </w:tc>
        <w:tc>
          <w:tcPr>
            <w:tcW w:type="dxa" w:w="1511"/>
            <w:shd w:fill="FFFFFF"/>
          </w:tcPr>
          <w:p>
            <w:r>
              <w:rPr>
                <w:rFonts w:ascii="Arial" w:hAnsi="Arial"/>
                <w:color w:val="000000"/>
                <w:sz w:val="18"/>
              </w:rPr>
              <w:t>open-label, single-arm, multicenter, collaborative phase IV, research study</w:t>
            </w:r>
          </w:p>
        </w:tc>
        <w:tc>
          <w:tcPr>
            <w:tcW w:type="dxa" w:w="1511"/>
            <w:shd w:fill="FFFFFF"/>
          </w:tcPr>
          <w:p>
            <w:r>
              <w:rPr>
                <w:rFonts w:ascii="Arial" w:hAnsi="Arial"/>
                <w:color w:val="000000"/>
                <w:sz w:val="18"/>
              </w:rPr>
              <w:t>Patients with relapsing forms of MS, RRMS, and active secondary progressive MS (SPMS), either by the 2005, 2010, and 2017 McDonald criteria, ages 18–60, regardless of JC virus serumstatus.</w:t>
            </w:r>
          </w:p>
        </w:tc>
        <w:tc>
          <w:tcPr>
            <w:tcW w:type="dxa" w:w="1511"/>
            <w:shd w:fill="FFFFFF"/>
          </w:tcPr>
          <w:p>
            <w:r>
              <w:rPr>
                <w:rFonts w:ascii="Arial" w:hAnsi="Arial"/>
                <w:color w:val="000000"/>
                <w:sz w:val="18"/>
              </w:rPr>
              <w:t>cladribine tablets</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primary endpoint is the absolute and percent change from baseline of lymphocytes and myeloid cell subsets, as well as blood neurofilament light levels. The secondary endpoint is the annualized relapse rate over the 12- and 24-month periods following initiation of cladribine tablets.</w:t>
            </w:r>
          </w:p>
        </w:tc>
        <w:tc>
          <w:tcPr>
            <w:tcW w:type="dxa" w:w="1511"/>
            <w:shd w:fill="FFFFFF"/>
          </w:tcPr>
          <w:p>
            <w:r>
              <w:rPr>
                <w:rFonts w:ascii="Arial" w:hAnsi="Arial"/>
                <w:color w:val="000000"/>
                <w:sz w:val="18"/>
              </w:rPr>
              <w:t>Not Found</w:t>
            </w:r>
          </w:p>
        </w:tc>
      </w:tr>
      <w:tr>
        <w:tc>
          <w:tcPr>
            <w:tcW w:type="dxa" w:w="1511"/>
            <w:shd w:fill="FFFFFF"/>
          </w:tcPr>
          <w:p>
            <w:r>
              <w:rPr>
                <w:rFonts w:ascii="Arial" w:hAnsi="Arial"/>
                <w:color w:val="000000"/>
                <w:sz w:val="18"/>
              </w:rPr>
              <w:t>Clerico et al. - Extending the Interval of Natalizumab Dosing Is Efficacy Preserved.pdf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Extending the Interval of Natalizumab Dosing: Is Efficacy Preserved?</w:t>
            </w:r>
          </w:p>
        </w:tc>
        <w:tc>
          <w:tcPr>
            <w:tcW w:type="dxa" w:w="1511"/>
            <w:shd w:fill="FFFFFF"/>
          </w:tcPr>
          <w:p>
            <w:r>
              <w:rPr>
                <w:rFonts w:ascii="Arial" w:hAnsi="Arial"/>
                <w:color w:val="000000"/>
                <w:sz w:val="18"/>
              </w:rPr>
              <w:t>Our study shows that clinical MS reactivation does not occur more frequently in patients in the EID group. These results come from a large, retrospective multicenter study that can have a very useful implication in clinical practice. According to our results, continuing natalizumab in an EID setting seems an efficacious therapeutic strategy in patients with highly active MS who decide to continue natalizumab 24 doses. The absence of evidence of a reduced efficacy of the EID strategy could be taken into account in planning further studies aimed at impacting the decision process about the therapeutic management of JCV-positive patients after 24 doses of natalizumab. In conclusion, this observation confirms previous results [15, 21, 33] and together with the emerging evidence of a reduced risk of PML associated to an EID, supports the need of a randomized study to change the standard of the natalizumab dosing schedule.</w:t>
            </w:r>
          </w:p>
        </w:tc>
        <w:tc>
          <w:tcPr>
            <w:tcW w:type="dxa" w:w="1511"/>
            <w:shd w:fill="FFFFFF"/>
          </w:tcPr>
          <w:p>
            <w:r>
              <w:rPr>
                <w:rFonts w:ascii="Arial" w:hAnsi="Arial"/>
                <w:color w:val="000000"/>
                <w:sz w:val="18"/>
              </w:rPr>
              <w:t>observational, multicenter (14 Italian centers), retrospective cohort study</w:t>
            </w:r>
          </w:p>
        </w:tc>
        <w:tc>
          <w:tcPr>
            <w:tcW w:type="dxa" w:w="1511"/>
            <w:shd w:fill="FFFFFF"/>
          </w:tcPr>
          <w:p>
            <w:r>
              <w:rPr>
                <w:rFonts w:ascii="Arial" w:hAnsi="Arial"/>
                <w:color w:val="000000"/>
                <w:sz w:val="18"/>
              </w:rPr>
              <w:t>adult patients with clinically definite relapsing MS (R-MS), according to revised McDonald’s criteria [22], who received at least 24 natalizumab doses and decided to continue natalizumab</w:t>
            </w:r>
          </w:p>
        </w:tc>
        <w:tc>
          <w:tcPr>
            <w:tcW w:type="dxa" w:w="1511"/>
            <w:shd w:fill="FFFFFF"/>
          </w:tcPr>
          <w:p>
            <w:r>
              <w:rPr>
                <w:rFonts w:ascii="Arial" w:hAnsi="Arial"/>
                <w:color w:val="000000"/>
                <w:sz w:val="18"/>
              </w:rPr>
              <w:t>extended interval dosing (EID) of natalizumab</w:t>
            </w:r>
          </w:p>
        </w:tc>
        <w:tc>
          <w:tcPr>
            <w:tcW w:type="dxa" w:w="1511"/>
            <w:shd w:fill="FFFFFF"/>
          </w:tcPr>
          <w:p>
            <w:r>
              <w:rPr>
                <w:rFonts w:ascii="Arial" w:hAnsi="Arial"/>
                <w:color w:val="000000"/>
                <w:sz w:val="18"/>
              </w:rPr>
              <w:t>standard interval dosing (SID) versus extended interval dosing (EID)</w:t>
            </w:r>
          </w:p>
        </w:tc>
        <w:tc>
          <w:tcPr>
            <w:tcW w:type="dxa" w:w="1511"/>
            <w:shd w:fill="FFFFFF"/>
          </w:tcPr>
          <w:p>
            <w:r>
              <w:rPr>
                <w:rFonts w:ascii="Arial" w:hAnsi="Arial"/>
                <w:color w:val="000000"/>
                <w:sz w:val="18"/>
              </w:rPr>
              <w:t>annualized relapse rate (ARR)</w:t>
            </w:r>
          </w:p>
        </w:tc>
        <w:tc>
          <w:tcPr>
            <w:tcW w:type="dxa" w:w="1511"/>
            <w:shd w:fill="FFFFFF"/>
          </w:tcPr>
          <w:p>
            <w:r>
              <w:rPr>
                <w:rFonts w:ascii="Arial" w:hAnsi="Arial"/>
                <w:color w:val="000000"/>
                <w:sz w:val="18"/>
              </w:rPr>
              <w:t>Annualized relapse rate was 0.060 (95% CI = 0.033–0.087) in the SID group and 0.039 (95% CI = 0.017–0.063) in the EID group. The non-inferiority of EID versus SID was satisfied.</w:t>
            </w:r>
          </w:p>
        </w:tc>
      </w:tr>
      <w:tr>
        <w:tc>
          <w:tcPr>
            <w:tcW w:type="dxa" w:w="1511"/>
            <w:shd w:fill="FFFFFF"/>
          </w:tcPr>
          <w:p>
            <w:r>
              <w:rPr>
                <w:rFonts w:ascii="Arial" w:hAnsi="Arial"/>
                <w:color w:val="000000"/>
                <w:sz w:val="18"/>
              </w:rPr>
              <w:t>Comparative_evaluation_of_STRATIFY_JCV_and_IMMUNOW.pdf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Comparative evaluation of STRATIFY JCV™ and IMMUNOWELL™ assays for anti-JCV antibody detection in natalizumab-treated RRMS patients</w:t>
            </w:r>
          </w:p>
        </w:tc>
        <w:tc>
          <w:tcPr>
            <w:tcW w:type="dxa" w:w="1511"/>
            <w:shd w:fill="FFFFFF"/>
          </w:tcPr>
          <w:p>
            <w:r>
              <w:rPr>
                <w:rFonts w:ascii="Arial" w:hAnsi="Arial"/>
                <w:color w:val="000000"/>
                <w:sz w:val="18"/>
              </w:rPr>
              <w:t>STRATIFY and IMMUNOWELL demonstrate a high level of agreement in the detection of anti-JCV antibodies in patients with RRMS receiving natalizumab. IMMUNOWELL may serve as a reliable complementary method, especially in cases where borderline serostatus could influence therapeutic strategy. Regular and accurate monitoring of JCV status remains essential for guiding long-term treatment safety and optimizing individual patient outcomes.</w:t>
            </w:r>
          </w:p>
        </w:tc>
        <w:tc>
          <w:tcPr>
            <w:tcW w:type="dxa" w:w="1511"/>
            <w:shd w:fill="FFFFFF"/>
          </w:tcPr>
          <w:p>
            <w:r>
              <w:rPr>
                <w:rFonts w:ascii="Arial" w:hAnsi="Arial"/>
                <w:color w:val="000000"/>
                <w:sz w:val="18"/>
              </w:rPr>
              <w:t>Monocentric observational study</w:t>
            </w:r>
          </w:p>
        </w:tc>
        <w:tc>
          <w:tcPr>
            <w:tcW w:type="dxa" w:w="1511"/>
            <w:shd w:fill="FFFFFF"/>
          </w:tcPr>
          <w:p>
            <w:r>
              <w:rPr>
                <w:rFonts w:ascii="Arial" w:hAnsi="Arial"/>
                <w:color w:val="000000"/>
                <w:sz w:val="18"/>
              </w:rPr>
              <w:t>Patients with relapsing-remitting multiple sclerosis (RRMS) undergoing natalizumab therapy</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STRATIFY JCV™ and IMMUNOWELL™ assays</w:t>
            </w:r>
          </w:p>
        </w:tc>
        <w:tc>
          <w:tcPr>
            <w:tcW w:type="dxa" w:w="1511"/>
            <w:shd w:fill="FFFFFF"/>
          </w:tcPr>
          <w:p>
            <w:r>
              <w:rPr>
                <w:rFonts w:ascii="Arial" w:hAnsi="Arial"/>
                <w:color w:val="000000"/>
                <w:sz w:val="18"/>
              </w:rPr>
              <w:t>Concordance in detecting anti-JCV antibodies</w:t>
            </w:r>
          </w:p>
        </w:tc>
        <w:tc>
          <w:tcPr>
            <w:tcW w:type="dxa" w:w="1511"/>
            <w:shd w:fill="FFFFFF"/>
          </w:tcPr>
          <w:p>
            <w:r>
              <w:rPr>
                <w:rFonts w:ascii="Arial" w:hAnsi="Arial"/>
                <w:color w:val="000000"/>
                <w:sz w:val="18"/>
              </w:rPr>
              <w:t>Among the 120 patients tested, 82 were positive and 31 negative with both STRATIFY and IMMUNOWELL. Four cases were STRATIFY-negative but IMMUNOWELL-positive, and three were the opposite. Overall concordance was 94.2%, with a Cohen’s Kappa of 0.86, indicating strong agreement. The index values showed strong correlation (Pearson r = 0.79, p &lt; 0.001) and the coefficient of determination (r2) was 0.62.</w:t>
            </w:r>
          </w:p>
        </w:tc>
      </w:tr>
      <w:tr>
        <w:tc>
          <w:tcPr>
            <w:tcW w:type="dxa" w:w="1511"/>
            <w:shd w:fill="FFFFFF"/>
          </w:tcPr>
          <w:p>
            <w:r>
              <w:rPr>
                <w:rFonts w:ascii="Arial" w:hAnsi="Arial"/>
                <w:color w:val="000000"/>
                <w:sz w:val="18"/>
              </w:rPr>
              <w:t>Comparative_immunogenicity_assessment_of_biosimila.pdf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Comparative immunogenicity assessment of biosimilar natalizumab to its reference medicine: a matching immunogenicity proﬁle</w:t>
            </w:r>
          </w:p>
        </w:tc>
        <w:tc>
          <w:tcPr>
            <w:tcW w:type="dxa" w:w="1511"/>
            <w:shd w:fill="FFFFFF"/>
          </w:tcPr>
          <w:p>
            <w:r>
              <w:rPr>
                <w:rFonts w:ascii="Arial" w:hAnsi="Arial"/>
                <w:color w:val="000000"/>
                <w:sz w:val="18"/>
              </w:rPr>
              <w:t>The immunogenicity proﬁle of biosim-NTZ was conﬁrmed to match that of ref-NTZ in healthy subjects and patients with RRMS by applying highly sensitive methods.</w:t>
            </w:r>
          </w:p>
        </w:tc>
        <w:tc>
          <w:tcPr>
            <w:tcW w:type="dxa" w:w="1511"/>
            <w:shd w:fill="FFFFFF"/>
          </w:tcPr>
          <w:p>
            <w:r>
              <w:rPr>
                <w:rFonts w:ascii="Arial" w:hAnsi="Arial"/>
                <w:color w:val="000000"/>
                <w:sz w:val="18"/>
              </w:rPr>
              <w:t>Original Research</w:t>
            </w:r>
          </w:p>
        </w:tc>
        <w:tc>
          <w:tcPr>
            <w:tcW w:type="dxa" w:w="1511"/>
            <w:shd w:fill="FFFFFF"/>
          </w:tcPr>
          <w:p>
            <w:r>
              <w:rPr>
                <w:rFonts w:ascii="Arial" w:hAnsi="Arial"/>
                <w:color w:val="000000"/>
                <w:sz w:val="18"/>
              </w:rPr>
              <w:t>Patients with relapsing-remitting multiple sclerosis (RRMS) and healthy subjects</w:t>
            </w:r>
          </w:p>
        </w:tc>
        <w:tc>
          <w:tcPr>
            <w:tcW w:type="dxa" w:w="1511"/>
            <w:shd w:fill="FFFFFF"/>
          </w:tcPr>
          <w:p>
            <w:r>
              <w:rPr>
                <w:rFonts w:ascii="Arial" w:hAnsi="Arial"/>
                <w:color w:val="000000"/>
                <w:sz w:val="18"/>
              </w:rPr>
              <w:t>Biosimilar natalizumab (biosim-NTZ)</w:t>
            </w:r>
          </w:p>
        </w:tc>
        <w:tc>
          <w:tcPr>
            <w:tcW w:type="dxa" w:w="1511"/>
            <w:shd w:fill="FFFFFF"/>
          </w:tcPr>
          <w:p>
            <w:r>
              <w:rPr>
                <w:rFonts w:ascii="Arial" w:hAnsi="Arial"/>
                <w:color w:val="000000"/>
                <w:sz w:val="18"/>
              </w:rPr>
              <w:t>Biosimilar natalizumab (biosim-NTZ) vs reference natalizumab (ref-NTZ)</w:t>
            </w:r>
          </w:p>
        </w:tc>
        <w:tc>
          <w:tcPr>
            <w:tcW w:type="dxa" w:w="1511"/>
            <w:shd w:fill="FFFFFF"/>
          </w:tcPr>
          <w:p>
            <w:r>
              <w:rPr>
                <w:rFonts w:ascii="Arial" w:hAnsi="Arial"/>
                <w:color w:val="000000"/>
                <w:sz w:val="18"/>
              </w:rPr>
              <w:t>Incidence and titers of anti-drug antibodies (ADA) and neutralizing antibodies (NAb)</w:t>
            </w:r>
          </w:p>
        </w:tc>
        <w:tc>
          <w:tcPr>
            <w:tcW w:type="dxa" w:w="1511"/>
            <w:shd w:fill="FFFFFF"/>
          </w:tcPr>
          <w:p>
            <w:r>
              <w:rPr>
                <w:rFonts w:ascii="Arial" w:hAnsi="Arial"/>
                <w:color w:val="000000"/>
                <w:sz w:val="18"/>
              </w:rPr>
              <w:t>In the comparative efficacy and safety study, biosim-NTZ and EU-ref-NTZ demonstrated similar incidences of overall ADA (79.4% vs 73.7%, respectively) and NAb (68.7% vs 66.2%, respectively) at Week 24. ADA titers over time were also concordant throughout the study period. Switching treatment from EU-ref-NTZ to biosim-NTZ had no impact on treatment-related ADA/NAb or clinical responses. Likewise, the single-dose PK/PD study reported matching overall incidence of ADA between treatment groups and matching ADA titer proﬁles over time.</w:t>
            </w:r>
          </w:p>
        </w:tc>
      </w:tr>
      <w:tr>
        <w:tc>
          <w:tcPr>
            <w:tcW w:type="dxa" w:w="1511"/>
            <w:shd w:fill="FFFFFF"/>
          </w:tcPr>
          <w:p>
            <w:r>
              <w:rPr>
                <w:rFonts w:ascii="Arial" w:hAnsi="Arial"/>
                <w:color w:val="000000"/>
                <w:sz w:val="18"/>
              </w:rPr>
              <w:t>Cost_effectiveness_of_different_treatment_strategi.pdf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Cost effectiveness of different treatment strategies with natalizumab for pregnant women with multiple sclerosis</w:t>
            </w:r>
          </w:p>
        </w:tc>
        <w:tc>
          <w:tcPr>
            <w:tcW w:type="dxa" w:w="1511"/>
            <w:shd w:fill="FFFFFF"/>
          </w:tcPr>
          <w:p>
            <w:r>
              <w:rPr>
                <w:rFonts w:ascii="Arial" w:hAnsi="Arial"/>
                <w:color w:val="000000"/>
                <w:sz w:val="18"/>
              </w:rPr>
              <w:t>Continuing natalizumab treatment throughout pregnancy is the most cost-effective approach for managing MS in pregnant women. These findings should inform clinical guidelines and support healthcare providers and women with MS planning their family in making evidence-based decisions to improve the management of MS during pregnancy.</w:t>
            </w:r>
          </w:p>
        </w:tc>
        <w:tc>
          <w:tcPr>
            <w:tcW w:type="dxa" w:w="1511"/>
            <w:shd w:fill="FFFFFF"/>
          </w:tcPr>
          <w:p>
            <w:r>
              <w:rPr>
                <w:rFonts w:ascii="Arial" w:hAnsi="Arial"/>
                <w:color w:val="000000"/>
                <w:sz w:val="18"/>
              </w:rPr>
              <w:t>Cost-effectiveness analysis (Markov model)</w:t>
            </w:r>
          </w:p>
        </w:tc>
        <w:tc>
          <w:tcPr>
            <w:tcW w:type="dxa" w:w="1511"/>
            <w:shd w:fill="FFFFFF"/>
          </w:tcPr>
          <w:p>
            <w:r>
              <w:rPr>
                <w:rFonts w:ascii="Arial" w:hAnsi="Arial"/>
                <w:color w:val="000000"/>
                <w:sz w:val="18"/>
              </w:rPr>
              <w:t>Pregnant women with multiple sclerosis</w:t>
            </w:r>
          </w:p>
        </w:tc>
        <w:tc>
          <w:tcPr>
            <w:tcW w:type="dxa" w:w="1511"/>
            <w:shd w:fill="FFFFFF"/>
          </w:tcPr>
          <w:p>
            <w:r>
              <w:rPr>
                <w:rFonts w:ascii="Arial" w:hAnsi="Arial"/>
                <w:color w:val="000000"/>
                <w:sz w:val="18"/>
              </w:rPr>
              <w:t>Natalizumab treatment strategies (three strategies: continuous throughout pregnancy, treatment until first trimester followed by discontinuation, discontinuation at conception with resumption post-pregnancy)</w:t>
            </w:r>
          </w:p>
        </w:tc>
        <w:tc>
          <w:tcPr>
            <w:tcW w:type="dxa" w:w="1511"/>
            <w:shd w:fill="FFFFFF"/>
          </w:tcPr>
          <w:p>
            <w:r>
              <w:rPr>
                <w:rFonts w:ascii="Arial" w:hAnsi="Arial"/>
                <w:color w:val="000000"/>
                <w:sz w:val="18"/>
              </w:rPr>
              <w:t>Comparison of three natalizumab treatment strategies</w:t>
            </w:r>
          </w:p>
        </w:tc>
        <w:tc>
          <w:tcPr>
            <w:tcW w:type="dxa" w:w="1511"/>
            <w:shd w:fill="FFFFFF"/>
          </w:tcPr>
          <w:p>
            <w:r>
              <w:rPr>
                <w:rFonts w:ascii="Arial" w:hAnsi="Arial"/>
                <w:color w:val="000000"/>
                <w:sz w:val="18"/>
              </w:rPr>
              <w:t>Health outcomes (QALYs) and costs</w:t>
            </w:r>
          </w:p>
        </w:tc>
        <w:tc>
          <w:tcPr>
            <w:tcW w:type="dxa" w:w="1511"/>
            <w:shd w:fill="FFFFFF"/>
          </w:tcPr>
          <w:p>
            <w:r>
              <w:rPr>
                <w:rFonts w:ascii="Arial" w:hAnsi="Arial"/>
                <w:color w:val="000000"/>
                <w:sz w:val="18"/>
              </w:rPr>
              <w:t>Continuing natalizumab throughout pregnancy was the most cost-effective strategy, yielding the highest incremental QALY gains and the lowest incremental cost per QALY (£1713 per QALY), with a net monetary benefit of £743. Sensitivity analyses confirmed the robustness of these findings and the use of generic or biosimilar forms of natalizumab further reinforced the cost-effectiveness of continuous treatment, with the biosimilar option proving cost-saving.</w:t>
            </w:r>
          </w:p>
        </w:tc>
      </w:tr>
      <w:tr>
        <w:tc>
          <w:tcPr>
            <w:tcW w:type="dxa" w:w="1511"/>
            <w:shd w:fill="FFFFFF"/>
          </w:tcPr>
          <w:p>
            <w:r>
              <w:rPr>
                <w:rFonts w:ascii="Arial" w:hAnsi="Arial"/>
                <w:color w:val="000000"/>
                <w:sz w:val="18"/>
              </w:rPr>
              <w:t>Cost-Consequence_Analysis_of_Natalizumab_Compared_.pdf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Cost–Consequence Analysis of Natalizumab Compared with Other High‑Efficacy Treatments in Patients with Relapsing–Remitting Multiple Sclerosis</w:t>
            </w:r>
          </w:p>
        </w:tc>
        <w:tc>
          <w:tcPr>
            <w:tcW w:type="dxa" w:w="1511"/>
            <w:shd w:fill="FFFFFF"/>
          </w:tcPr>
          <w:p>
            <w:r>
              <w:rPr>
                <w:rFonts w:ascii="Arial" w:hAnsi="Arial"/>
                <w:color w:val="000000"/>
                <w:sz w:val="18"/>
              </w:rPr>
              <w:t>6-week dosing regimen of natalizumab showed a slight improvement of clinical and social outcomes and a statistically significant cost reduction compared with ocrelizumab and ofatumumab over a 5-year simulation. Moreover, the subcutaneous formulation of natalizumab was associated with statistically significant reductions in time spent by healthcare professionals and patients on drug administration, which is related to a total direct cost reduction of €27,037 and a total indirect cost reduction of €110,503 compared with the intravenous formulation.</w:t>
            </w:r>
          </w:p>
        </w:tc>
        <w:tc>
          <w:tcPr>
            <w:tcW w:type="dxa" w:w="1511"/>
            <w:shd w:fill="FFFFFF"/>
          </w:tcPr>
          <w:p>
            <w:r>
              <w:rPr>
                <w:rFonts w:ascii="Arial" w:hAnsi="Arial"/>
                <w:color w:val="000000"/>
                <w:sz w:val="18"/>
              </w:rPr>
              <w:t>Cost-Consequence Analysis</w:t>
            </w:r>
          </w:p>
        </w:tc>
        <w:tc>
          <w:tcPr>
            <w:tcW w:type="dxa" w:w="1511"/>
            <w:shd w:fill="FFFFFF"/>
          </w:tcPr>
          <w:p>
            <w:r>
              <w:rPr>
                <w:rFonts w:ascii="Arial" w:hAnsi="Arial"/>
                <w:color w:val="000000"/>
                <w:sz w:val="18"/>
              </w:rPr>
              <w:t>Patients with Relapsing–Remitting Multiple Sclerosis (RRMS)</w:t>
            </w:r>
          </w:p>
        </w:tc>
        <w:tc>
          <w:tcPr>
            <w:tcW w:type="dxa" w:w="1511"/>
            <w:shd w:fill="FFFFFF"/>
          </w:tcPr>
          <w:p>
            <w:r>
              <w:rPr>
                <w:rFonts w:ascii="Arial" w:hAnsi="Arial"/>
                <w:color w:val="000000"/>
                <w:sz w:val="18"/>
              </w:rPr>
              <w:t>intravenous natalizumab 300 mg every 4 weeks in the first year of treatment and every 6 weeks from the second year (extended dose)</w:t>
            </w:r>
          </w:p>
        </w:tc>
        <w:tc>
          <w:tcPr>
            <w:tcW w:type="dxa" w:w="1511"/>
            <w:shd w:fill="FFFFFF"/>
          </w:tcPr>
          <w:p>
            <w:r>
              <w:rPr>
                <w:rFonts w:ascii="Arial" w:hAnsi="Arial"/>
                <w:color w:val="000000"/>
                <w:sz w:val="18"/>
              </w:rPr>
              <w:t>Other high-efficacy treatments (ofatumumab, ocrelizumab) and intravenous vs subcutaneous natalizumab</w:t>
            </w:r>
          </w:p>
        </w:tc>
        <w:tc>
          <w:tcPr>
            <w:tcW w:type="dxa" w:w="1511"/>
            <w:shd w:fill="FFFFFF"/>
          </w:tcPr>
          <w:p>
            <w:r>
              <w:rPr>
                <w:rFonts w:ascii="Arial" w:hAnsi="Arial"/>
                <w:color w:val="000000"/>
                <w:sz w:val="18"/>
              </w:rPr>
              <w:t>clinical outcomes (relapse frequency, disease progression, QALYs), social outcomes (productivity loss, informal care), and administration-related outcomes (time, resource consumption, costs)</w:t>
            </w:r>
          </w:p>
        </w:tc>
        <w:tc>
          <w:tcPr>
            <w:tcW w:type="dxa" w:w="1511"/>
            <w:shd w:fill="FFFFFF"/>
          </w:tcPr>
          <w:p>
            <w:r>
              <w:rPr>
                <w:rFonts w:ascii="Arial" w:hAnsi="Arial"/>
                <w:color w:val="000000"/>
                <w:sz w:val="18"/>
              </w:rPr>
              <w:t>DMTs had similar clinical and social outcomes: natalizumab slightly reduced disease progression, increased quality- adjusted life-years, and reduced the impact on days of productivity loss and informal care. Natalizumab also resulted in statistically significant 5-year cost reductions compared with ocrelizumab and ofatumumab. Subcutaneous natalizumab improved resource consumption compared with intravenous natalizumab, saving the time of healthcare professionals, patients, and caregivers and reducing administration costs. The subcutaneous formulation was associated with statistically significant total direct and indirect cost reductions at 5 years.</w:t>
            </w:r>
          </w:p>
        </w:tc>
      </w:tr>
      <w:tr>
        <w:tc>
          <w:tcPr>
            <w:tcW w:type="dxa" w:w="1511"/>
            <w:shd w:fill="FFFFFF"/>
          </w:tcPr>
          <w:p>
            <w:r>
              <w:rPr>
                <w:rFonts w:ascii="Arial" w:hAnsi="Arial"/>
                <w:color w:val="000000"/>
                <w:sz w:val="18"/>
              </w:rPr>
              <w:t>Cost-Minimization_Analysis_and_Budget_Impact_Analy.pdf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Cost-Minimization Analysis and Budget Impact Analysis About Subcutaneous Natalizumab in Relapsing-Remitting Multiple Sclerosis in Italy</w:t>
            </w:r>
          </w:p>
        </w:tc>
        <w:tc>
          <w:tcPr>
            <w:tcW w:type="dxa" w:w="1511"/>
            <w:shd w:fill="FFFFFF"/>
          </w:tcPr>
          <w:p>
            <w:r>
              <w:rPr>
                <w:rFonts w:ascii="Arial" w:hAnsi="Arial"/>
                <w:color w:val="000000"/>
                <w:sz w:val="18"/>
              </w:rPr>
              <w:t>Administering natalizumab subcutaneously rather than intravenously to treatment-eligible patients would result in administration time and cost savings thus determining a favorable impact for the MS center, the patient and the society.</w:t>
            </w:r>
          </w:p>
        </w:tc>
        <w:tc>
          <w:tcPr>
            <w:tcW w:type="dxa" w:w="1511"/>
            <w:shd w:fill="FFFFFF"/>
          </w:tcPr>
          <w:p>
            <w:r>
              <w:rPr>
                <w:rFonts w:ascii="Arial" w:hAnsi="Arial"/>
                <w:color w:val="000000"/>
                <w:sz w:val="18"/>
              </w:rPr>
              <w:t>Cost-minimization and budget impact analysis</w:t>
            </w:r>
          </w:p>
        </w:tc>
        <w:tc>
          <w:tcPr>
            <w:tcW w:type="dxa" w:w="1511"/>
            <w:shd w:fill="FFFFFF"/>
          </w:tcPr>
          <w:p>
            <w:r>
              <w:rPr>
                <w:rFonts w:ascii="Arial" w:hAnsi="Arial"/>
                <w:color w:val="000000"/>
                <w:sz w:val="18"/>
              </w:rPr>
              <w:t>Adult patients affected by Relapsing-Remitting Multiple Sclerosis (RRMS) treated with natalizumab</w:t>
            </w:r>
          </w:p>
        </w:tc>
        <w:tc>
          <w:tcPr>
            <w:tcW w:type="dxa" w:w="1511"/>
            <w:shd w:fill="FFFFFF"/>
          </w:tcPr>
          <w:p>
            <w:r>
              <w:rPr>
                <w:rFonts w:ascii="Arial" w:hAnsi="Arial"/>
                <w:color w:val="000000"/>
                <w:sz w:val="18"/>
              </w:rPr>
              <w:t>subcutaneous (SC) natalizumab</w:t>
            </w:r>
          </w:p>
        </w:tc>
        <w:tc>
          <w:tcPr>
            <w:tcW w:type="dxa" w:w="1511"/>
            <w:shd w:fill="FFFFFF"/>
          </w:tcPr>
          <w:p>
            <w:r>
              <w:rPr>
                <w:rFonts w:ascii="Arial" w:hAnsi="Arial"/>
                <w:color w:val="000000"/>
                <w:sz w:val="18"/>
              </w:rPr>
              <w:t>intravenous (IV) natalizumab</w:t>
            </w:r>
          </w:p>
        </w:tc>
        <w:tc>
          <w:tcPr>
            <w:tcW w:type="dxa" w:w="1511"/>
            <w:shd w:fill="FFFFFF"/>
          </w:tcPr>
          <w:p>
            <w:r>
              <w:rPr>
                <w:rFonts w:ascii="Arial" w:hAnsi="Arial"/>
                <w:color w:val="000000"/>
                <w:sz w:val="18"/>
              </w:rPr>
              <w:t>administration times and costs</w:t>
            </w:r>
          </w:p>
        </w:tc>
        <w:tc>
          <w:tcPr>
            <w:tcW w:type="dxa" w:w="1511"/>
            <w:shd w:fill="FFFFFF"/>
          </w:tcPr>
          <w:p>
            <w:r>
              <w:rPr>
                <w:rFonts w:ascii="Arial" w:hAnsi="Arial"/>
                <w:color w:val="000000"/>
                <w:sz w:val="18"/>
              </w:rPr>
              <w:t>CMA estimated that savings due to the use of SC instead of IV natalizumab would be €2,824, €1,137, and €9,170 per patient from the perspectives of MS center, patient, and society, respectively, thus depicting a weak dominance (lower costs and non-inferiority efficacy). BIA estimated that the savings were approximately 3.2 million euros from the perspective of MS centers and around 10.3 million euros from the perspective of society in the first 3 years following reimbursement.</w:t>
            </w:r>
          </w:p>
        </w:tc>
      </w:tr>
      <w:tr>
        <w:tc>
          <w:tcPr>
            <w:tcW w:type="dxa" w:w="1511"/>
            <w:shd w:fill="FFFFFF"/>
          </w:tcPr>
          <w:p>
            <w:r>
              <w:rPr>
                <w:rFonts w:ascii="Arial" w:hAnsi="Arial"/>
                <w:color w:val="000000"/>
                <w:sz w:val="18"/>
              </w:rPr>
              <w:t>De Mercanti et al. - 2021 - MRI activity and extended interval of Natalizumab dosing regimen a multicentre Italian study.pdf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MRI activity and extended interval of Natalizumab dosing regimen: a multicentre Italian study</w:t>
            </w:r>
          </w:p>
        </w:tc>
        <w:tc>
          <w:tcPr>
            <w:tcW w:type="dxa" w:w="1511"/>
            <w:shd w:fill="FFFFFF"/>
          </w:tcPr>
          <w:p>
            <w:r>
              <w:rPr>
                <w:rFonts w:ascii="Arial" w:hAnsi="Arial"/>
                <w:color w:val="000000"/>
                <w:sz w:val="18"/>
              </w:rPr>
              <w:t>There is no evidence of the reduced efficacy of natalizumab in an EID setting regarding the MRI activity. This observation supports the need for a bigger randomized study to assess the need to change the standard of the natalizumab dosing schedule, to better manage JCV-positive patients.</w:t>
            </w:r>
          </w:p>
        </w:tc>
        <w:tc>
          <w:tcPr>
            <w:tcW w:type="dxa" w:w="1511"/>
            <w:shd w:fill="FFFFFF"/>
          </w:tcPr>
          <w:p>
            <w:r>
              <w:rPr>
                <w:rFonts w:ascii="Arial" w:hAnsi="Arial"/>
                <w:color w:val="000000"/>
                <w:sz w:val="18"/>
              </w:rPr>
              <w:t>Observational, multicentre, retrospective cohort study</w:t>
            </w:r>
          </w:p>
        </w:tc>
        <w:tc>
          <w:tcPr>
            <w:tcW w:type="dxa" w:w="1511"/>
            <w:shd w:fill="FFFFFF"/>
          </w:tcPr>
          <w:p>
            <w:r>
              <w:rPr>
                <w:rFonts w:ascii="Arial" w:hAnsi="Arial"/>
                <w:color w:val="000000"/>
                <w:sz w:val="18"/>
              </w:rPr>
              <w:t>Adult patients with clinically definite relapsing multiple sclerosis (R-MS) who received at least 24 consecutive natalizumab doses</w:t>
            </w:r>
          </w:p>
        </w:tc>
        <w:tc>
          <w:tcPr>
            <w:tcW w:type="dxa" w:w="1511"/>
            <w:shd w:fill="FFFFFF"/>
          </w:tcPr>
          <w:p>
            <w:r>
              <w:rPr>
                <w:rFonts w:ascii="Arial" w:hAnsi="Arial"/>
                <w:color w:val="000000"/>
                <w:sz w:val="18"/>
              </w:rPr>
              <w:t>Extended interval dosing (EID) of natalizumab</w:t>
            </w:r>
          </w:p>
        </w:tc>
        <w:tc>
          <w:tcPr>
            <w:tcW w:type="dxa" w:w="1511"/>
            <w:shd w:fill="FFFFFF"/>
          </w:tcPr>
          <w:p>
            <w:r>
              <w:rPr>
                <w:rFonts w:ascii="Arial" w:hAnsi="Arial"/>
                <w:color w:val="000000"/>
                <w:sz w:val="18"/>
              </w:rPr>
              <w:t>Standard interval dosing (SID) of natalizumab</w:t>
            </w:r>
          </w:p>
        </w:tc>
        <w:tc>
          <w:tcPr>
            <w:tcW w:type="dxa" w:w="1511"/>
            <w:shd w:fill="FFFFFF"/>
          </w:tcPr>
          <w:p>
            <w:r>
              <w:rPr>
                <w:rFonts w:ascii="Arial" w:hAnsi="Arial"/>
                <w:color w:val="000000"/>
                <w:sz w:val="18"/>
              </w:rPr>
              <w:t>MRI activity (new or enlarging T2-weighted lesion or gadolinium-enhancing lesion); specifically, the probability of active MRI at 6, 12, and 24 months after the 24th natalizumab infusion</w:t>
            </w:r>
          </w:p>
        </w:tc>
        <w:tc>
          <w:tcPr>
            <w:tcW w:type="dxa" w:w="1511"/>
            <w:shd w:fill="FFFFFF"/>
          </w:tcPr>
          <w:p>
            <w:r>
              <w:rPr>
                <w:rFonts w:ascii="Arial" w:hAnsi="Arial"/>
                <w:color w:val="000000"/>
                <w:sz w:val="18"/>
              </w:rPr>
              <w:t>The adjusted risk to develop active lesions on MRI was similar between SID and EID groups during 6 and 12 months after the 24th natalizumab infusion (4.27% vs 4.71%, p=0.89 for 6 months; 8.50% vs 6.55%, p=0.56 for 12 months). Over longer follow-up, no differences were observed. The EID regimen did not increase MRI activity.</w:t>
            </w:r>
          </w:p>
        </w:tc>
      </w:tr>
      <w:tr>
        <w:tc>
          <w:tcPr>
            <w:tcW w:type="dxa" w:w="1511"/>
            <w:shd w:fill="FFFFFF"/>
          </w:tcPr>
          <w:p>
            <w:r>
              <w:rPr>
                <w:rFonts w:ascii="Arial" w:hAnsi="Arial"/>
                <w:color w:val="000000"/>
                <w:sz w:val="18"/>
              </w:rPr>
              <w:t>Dekker et al. - 2019 - Long-term disease activity and disability progression in relapsing-remitting multiple sclerosis pati.pdf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Long-term disease activity and disability progression in relapsing-remitting multiple sclerosis patients on natalizumab</w:t>
            </w:r>
          </w:p>
        </w:tc>
        <w:tc>
          <w:tcPr>
            <w:tcW w:type="dxa" w:w="1511"/>
            <w:shd w:fill="FFFFFF"/>
          </w:tcPr>
          <w:p>
            <w:r>
              <w:rPr>
                <w:rFonts w:ascii="Arial" w:hAnsi="Arial"/>
                <w:color w:val="000000"/>
                <w:sz w:val="18"/>
              </w:rPr>
              <w:t>The results suggest that starting natalizumab early, during active inflammatory disease results in a more favourable outcome. When taking into account early inflammation and the impact of natalizumab on disease activity during the initial treatment phase, a higher than expected proportion of patients showed disability progression.</w:t>
            </w:r>
          </w:p>
        </w:tc>
        <w:tc>
          <w:tcPr>
            <w:tcW w:type="dxa" w:w="1511"/>
            <w:shd w:fill="FFFFFF"/>
          </w:tcPr>
          <w:p>
            <w:r>
              <w:rPr>
                <w:rFonts w:ascii="Arial" w:hAnsi="Arial"/>
                <w:color w:val="000000"/>
                <w:sz w:val="18"/>
              </w:rPr>
              <w:t>Clinical trial</w:t>
            </w:r>
          </w:p>
        </w:tc>
        <w:tc>
          <w:tcPr>
            <w:tcW w:type="dxa" w:w="1511"/>
            <w:shd w:fill="FFFFFF"/>
          </w:tcPr>
          <w:p>
            <w:r>
              <w:rPr>
                <w:rFonts w:ascii="Arial" w:hAnsi="Arial"/>
                <w:color w:val="000000"/>
                <w:sz w:val="18"/>
              </w:rPr>
              <w:t>Relapsing-remitting multiple sclerosis patients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Long-term disease activity and disability progression (measured by Expanded Disability Status Scale (EDSS) progression/improvement, No Evidence of Disease Activity (NEDA), No Evidence of Progression or Active Disease (NEPAD) status)</w:t>
            </w:r>
          </w:p>
        </w:tc>
        <w:tc>
          <w:tcPr>
            <w:tcW w:type="dxa" w:w="1511"/>
            <w:shd w:fill="FFFFFF"/>
          </w:tcPr>
          <w:p>
            <w:r>
              <w:rPr>
                <w:rFonts w:ascii="Arial" w:hAnsi="Arial"/>
                <w:color w:val="000000"/>
                <w:sz w:val="18"/>
              </w:rPr>
              <w:t>EDSS progression was seen in 43.7% of patients and EDSS improvement in 17.8%. Median follow-up was 4.9 years (IQR 3.6–6.0). Patients with a longer disease duration at natalizumab initiation have a higher hazard for earlier EDSS progression (HR 1.05, CI 1.00–1.09, p = 0.037) and a higher pre-baseline relapse rate predicted a longer NEPAD status (HR 1.70, CI 1.06–2.72, p = 0.028).</w:t>
            </w:r>
          </w:p>
        </w:tc>
      </w:tr>
      <w:tr>
        <w:tc>
          <w:tcPr>
            <w:tcW w:type="dxa" w:w="1511"/>
            <w:shd w:fill="FFFFFF"/>
          </w:tcPr>
          <w:p>
            <w:r>
              <w:rPr>
                <w:rFonts w:ascii="Arial" w:hAnsi="Arial"/>
                <w:color w:val="000000"/>
                <w:sz w:val="18"/>
              </w:rPr>
              <w:t>Derfuss et al. - 2017 - α4-integrin receptor desaturation and disease activity return after natalizumab cessation.pdf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a4-integrin receptor desaturation and disease activity return after natalizumab cessation</w:t>
            </w:r>
          </w:p>
        </w:tc>
        <w:tc>
          <w:tcPr>
            <w:tcW w:type="dxa" w:w="1511"/>
            <w:shd w:fill="FFFFFF"/>
          </w:tcPr>
          <w:p>
            <w:r>
              <w:rPr>
                <w:rFonts w:ascii="Arial" w:hAnsi="Arial"/>
                <w:color w:val="000000"/>
                <w:sz w:val="18"/>
              </w:rPr>
              <w:t>A faster decline in natalizumab RO, longer WO period, and higher T2 LV at baseline were associated with an increased risk for return of inflammatory disease activity. These results provide a mechanistic rationale and, together with the main outcomes of the TOFINGO study, support initiation of fingolimod within 8 weeks of natalizumab discontinuation.</w:t>
            </w:r>
          </w:p>
        </w:tc>
        <w:tc>
          <w:tcPr>
            <w:tcW w:type="dxa" w:w="1511"/>
            <w:shd w:fill="FFFFFF"/>
          </w:tcPr>
          <w:p>
            <w:r>
              <w:rPr>
                <w:rFonts w:ascii="Arial" w:hAnsi="Arial"/>
                <w:color w:val="000000"/>
                <w:sz w:val="18"/>
              </w:rPr>
              <w:t>32-week, patient- and rater-blinded multicenter, parallel-group study</w:t>
            </w:r>
          </w:p>
        </w:tc>
        <w:tc>
          <w:tcPr>
            <w:tcW w:type="dxa" w:w="1511"/>
            <w:shd w:fill="FFFFFF"/>
          </w:tcPr>
          <w:p>
            <w:r>
              <w:rPr>
                <w:rFonts w:ascii="Arial" w:hAnsi="Arial"/>
                <w:color w:val="000000"/>
                <w:sz w:val="18"/>
              </w:rPr>
              <w:t>Patients with relapsing-remitting MS who received their last natalizumab infusion within 67 days of randomization</w:t>
            </w:r>
          </w:p>
        </w:tc>
        <w:tc>
          <w:tcPr>
            <w:tcW w:type="dxa" w:w="1511"/>
            <w:shd w:fill="FFFFFF"/>
          </w:tcPr>
          <w:p>
            <w:r>
              <w:rPr>
                <w:rFonts w:ascii="Arial" w:hAnsi="Arial"/>
                <w:color w:val="000000"/>
                <w:sz w:val="18"/>
              </w:rPr>
              <w:t>Natalizumab discontinuation (washout period)</w:t>
            </w:r>
          </w:p>
        </w:tc>
        <w:tc>
          <w:tcPr>
            <w:tcW w:type="dxa" w:w="1511"/>
            <w:shd w:fill="FFFFFF"/>
          </w:tcPr>
          <w:p>
            <w:r>
              <w:rPr>
                <w:rFonts w:ascii="Arial" w:hAnsi="Arial"/>
                <w:color w:val="000000"/>
                <w:sz w:val="18"/>
              </w:rPr>
              <w:t>Different natalizumab washout periods (8-week, 12-week, 16-week)</w:t>
            </w:r>
          </w:p>
        </w:tc>
        <w:tc>
          <w:tcPr>
            <w:tcW w:type="dxa" w:w="1511"/>
            <w:shd w:fill="FFFFFF"/>
          </w:tcPr>
          <w:p>
            <w:r>
              <w:rPr>
                <w:rFonts w:ascii="Arial" w:hAnsi="Arial"/>
                <w:color w:val="000000"/>
                <w:sz w:val="18"/>
              </w:rPr>
              <w:t>Return of inflammatory disease activity (new T1 gadolinium-enhancing lesions, relapses)</w:t>
            </w:r>
          </w:p>
        </w:tc>
        <w:tc>
          <w:tcPr>
            <w:tcW w:type="dxa" w:w="1511"/>
            <w:shd w:fill="FFFFFF"/>
          </w:tcPr>
          <w:p>
            <w:r>
              <w:rPr>
                <w:rFonts w:ascii="Arial" w:hAnsi="Arial"/>
                <w:color w:val="000000"/>
                <w:sz w:val="18"/>
              </w:rPr>
              <w:t>Median a4-integrin receptor occupancy declined to 79.8%, 30.7%, and 8.7% after 8, 12, and 16 weeks of washout, respectively. The percentage of patients with new T1 Gd1 lesions increased with longer washout period: 2.1% (8 weeks), 9.1% (12 weeks), and 50.0% (16 weeks). Higher baseline T2 lesion volume predicted a higher number of new T1 Gd1 lesions.</w:t>
            </w:r>
          </w:p>
        </w:tc>
      </w:tr>
      <w:tr>
        <w:tc>
          <w:tcPr>
            <w:tcW w:type="dxa" w:w="1511"/>
            <w:shd w:fill="FFFFFF"/>
          </w:tcPr>
          <w:p>
            <w:r>
              <w:rPr>
                <w:rFonts w:ascii="Arial" w:hAnsi="Arial"/>
                <w:color w:val="000000"/>
                <w:sz w:val="18"/>
              </w:rPr>
              <w:t>Disease_activity_and_neonatal_outcomes_after_expos.pdf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Disease activity and neonatal outcomes after exposure to natalizumab throughout pregnancy</w:t>
            </w:r>
          </w:p>
        </w:tc>
        <w:tc>
          <w:tcPr>
            <w:tcW w:type="dxa" w:w="1511"/>
            <w:shd w:fill="FFFFFF"/>
          </w:tcPr>
          <w:p>
            <w:r>
              <w:rPr>
                <w:rFonts w:ascii="Arial" w:hAnsi="Arial"/>
                <w:color w:val="000000"/>
                <w:sz w:val="18"/>
              </w:rPr>
              <w:t>Continuing natalizumab during pregnancy after gw 30 decreases the relapse risk postpartum going along with a higher risk for HA in the newborns. These results add relevant knowledge as a basis for informed risk–benefit discussion.</w:t>
            </w:r>
          </w:p>
        </w:tc>
        <w:tc>
          <w:tcPr>
            <w:tcW w:type="dxa" w:w="1511"/>
            <w:shd w:fill="FFFFFF"/>
          </w:tcPr>
          <w:p>
            <w:r>
              <w:rPr>
                <w:rFonts w:ascii="Arial" w:hAnsi="Arial"/>
                <w:color w:val="000000"/>
                <w:sz w:val="18"/>
              </w:rPr>
              <w:t>Prospective, observational cohort</w:t>
            </w:r>
          </w:p>
        </w:tc>
        <w:tc>
          <w:tcPr>
            <w:tcW w:type="dxa" w:w="1511"/>
            <w:shd w:fill="FFFFFF"/>
          </w:tcPr>
          <w:p>
            <w:r>
              <w:rPr>
                <w:rFonts w:ascii="Arial" w:hAnsi="Arial"/>
                <w:color w:val="000000"/>
                <w:sz w:val="18"/>
              </w:rPr>
              <w:t>Women with natalizumab exposure throughout pregnancy (specifically those with multiple sclerosis planning pregnancy)</w:t>
            </w:r>
          </w:p>
        </w:tc>
        <w:tc>
          <w:tcPr>
            <w:tcW w:type="dxa" w:w="1511"/>
            <w:shd w:fill="FFFFFF"/>
          </w:tcPr>
          <w:p>
            <w:r>
              <w:rPr>
                <w:rFonts w:ascii="Arial" w:hAnsi="Arial"/>
                <w:color w:val="000000"/>
                <w:sz w:val="18"/>
              </w:rPr>
              <w:t>Exposure to natalizumab throughout pregnancy (continuing natalizumab during pregnancy)</w:t>
            </w:r>
          </w:p>
        </w:tc>
        <w:tc>
          <w:tcPr>
            <w:tcW w:type="dxa" w:w="1511"/>
            <w:shd w:fill="FFFFFF"/>
          </w:tcPr>
          <w:p>
            <w:r>
              <w:rPr>
                <w:rFonts w:ascii="Arial" w:hAnsi="Arial"/>
                <w:color w:val="000000"/>
                <w:sz w:val="18"/>
              </w:rPr>
              <w:t>Comparison between women with natalizumab discontinuation during first trimester vs after first trimester, and subgroup analysis before/after 30th gestational week</w:t>
            </w:r>
          </w:p>
        </w:tc>
        <w:tc>
          <w:tcPr>
            <w:tcW w:type="dxa" w:w="1511"/>
            <w:shd w:fill="FFFFFF"/>
          </w:tcPr>
          <w:p>
            <w:r>
              <w:rPr>
                <w:rFonts w:ascii="Arial" w:hAnsi="Arial"/>
                <w:color w:val="000000"/>
                <w:sz w:val="18"/>
              </w:rPr>
              <w:t>Clinical disease activity (relapses, disability), neonatal outcomes (hematological abnormalities, preterm birth, SGA, etc.)</w:t>
            </w:r>
          </w:p>
        </w:tc>
        <w:tc>
          <w:tcPr>
            <w:tcW w:type="dxa" w:w="1511"/>
            <w:shd w:fill="FFFFFF"/>
          </w:tcPr>
          <w:p>
            <w:r>
              <w:rPr>
                <w:rFonts w:ascii="Arial" w:hAnsi="Arial"/>
                <w:color w:val="000000"/>
                <w:sz w:val="18"/>
              </w:rPr>
              <w:t>Fewer relapses occurred during pregnancy and the postpartum year in the maintaining-group (25.7%) compared with the 1st Trim-group (62.6%; p&lt;0.001). Women in ≥30-subgroup had a significantly lower relapse risk in the first 6 months postpartum (relapse rate ratio: 0.36, 95% CI: 0.15 to 0.84). In total, 7.5% retained meaningful disability 12 months postpartum. No significant effect on neonatal outcomes were observed, but anaemia (OR: 2.62, 95% CI: 1.12 to 6.52) and thrombocytopaenia (OR: 2.64, 95% CI: 1.15 to 6.46) were significantly more common in the ≥30-subgroup. 21.8% of all neonates were born small for gestational age, independent of the timing of natalizumab discontinuation.</w:t>
            </w:r>
          </w:p>
        </w:tc>
      </w:tr>
      <w:tr>
        <w:tc>
          <w:tcPr>
            <w:tcW w:type="dxa" w:w="1511"/>
            <w:shd w:fill="FFFFFF"/>
          </w:tcPr>
          <w:p>
            <w:r>
              <w:rPr>
                <w:rFonts w:ascii="Arial" w:hAnsi="Arial"/>
                <w:color w:val="000000"/>
                <w:sz w:val="18"/>
              </w:rPr>
              <w:t>Disease_Course_in_Patients_Switched_from_Natalizum.pdf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Disease Course in Patients Switched from Natalizumab to Alemtuzumab: An Italian Multicenter, Prospective, Observational Study</w:t>
            </w:r>
          </w:p>
        </w:tc>
        <w:tc>
          <w:tcPr>
            <w:tcW w:type="dxa" w:w="1511"/>
            <w:shd w:fill="FFFFFF"/>
          </w:tcPr>
          <w:p>
            <w:r>
              <w:rPr>
                <w:rFonts w:ascii="Arial" w:hAnsi="Arial"/>
                <w:color w:val="000000"/>
                <w:sz w:val="18"/>
              </w:rPr>
              <w:t>Our study showed that the use of ALEM as exit strategy was safe and efficacious; our results are confirmed in smaller study populations. These data may help neurologists to better manage JCV+ NTZ-treated patients in their routine clinical practice.</w:t>
            </w:r>
          </w:p>
        </w:tc>
        <w:tc>
          <w:tcPr>
            <w:tcW w:type="dxa" w:w="1511"/>
            <w:shd w:fill="FFFFFF"/>
          </w:tcPr>
          <w:p>
            <w:r>
              <w:rPr>
                <w:rFonts w:ascii="Arial" w:hAnsi="Arial"/>
                <w:color w:val="000000"/>
                <w:sz w:val="18"/>
              </w:rPr>
              <w:t>Real-world, prospective, multicenter, observational study</w:t>
            </w:r>
          </w:p>
        </w:tc>
        <w:tc>
          <w:tcPr>
            <w:tcW w:type="dxa" w:w="1511"/>
            <w:shd w:fill="FFFFFF"/>
          </w:tcPr>
          <w:p>
            <w:r>
              <w:rPr>
                <w:rFonts w:ascii="Arial" w:hAnsi="Arial"/>
                <w:color w:val="000000"/>
                <w:sz w:val="18"/>
              </w:rPr>
              <w:t>Patients with relapsing remitting multiple sclerosis (RRMS) who switched from natalizumab</w:t>
            </w:r>
          </w:p>
        </w:tc>
        <w:tc>
          <w:tcPr>
            <w:tcW w:type="dxa" w:w="1511"/>
            <w:shd w:fill="FFFFFF"/>
          </w:tcPr>
          <w:p>
            <w:r>
              <w:rPr>
                <w:rFonts w:ascii="Arial" w:hAnsi="Arial"/>
                <w:color w:val="000000"/>
                <w:sz w:val="18"/>
              </w:rPr>
              <w:t>alemtuzumab</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Clinical and radiological efficacy at 6 and 12 months after alemtuzumab infusion, and safety of the exit strategy</w:t>
            </w:r>
          </w:p>
        </w:tc>
        <w:tc>
          <w:tcPr>
            <w:tcW w:type="dxa" w:w="1511"/>
            <w:shd w:fill="FFFFFF"/>
          </w:tcPr>
          <w:p>
            <w:r>
              <w:rPr>
                <w:rFonts w:ascii="Arial" w:hAnsi="Arial"/>
                <w:color w:val="000000"/>
                <w:sz w:val="18"/>
              </w:rPr>
              <w:t>No clinical relapse occurred during the washout period, nor between the first and second alemtuzumab infusion. Radiological activity was present in 4/35 (11%) and 2/35 (6%) patients, respectively, at 6 and 12 months after the first alemtuzumab administration. Expanded Disability Status Scale (EDSS) increase developed in 4/35 (11%) and 5/35 patients (14%), respectively, at 6 and 12 months. No PML occurred, nor any serious adverse event. For patients in center 1 (17 patients), follow-up continued for a median of 3.5 years; NEDA-3 (No Evidence of Disease Activity) was present in 14/17 patients (82%) at the end of follow-up. Autoimmunity occurred in 23% of patients.</w:t>
            </w:r>
          </w:p>
        </w:tc>
      </w:tr>
      <w:tr>
        <w:tc>
          <w:tcPr>
            <w:tcW w:type="dxa" w:w="1511"/>
            <w:shd w:fill="FFFFFF"/>
          </w:tcPr>
          <w:p>
            <w:r>
              <w:rPr>
                <w:rFonts w:ascii="Arial" w:hAnsi="Arial"/>
                <w:color w:val="000000"/>
                <w:sz w:val="18"/>
              </w:rPr>
              <w:t>Effect_of_Natalizumab_on_sNfL_and_sGFAP_Levels_in_.pdf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Effect of Natalizumab on sNfL and sGFAP Levels in Multiple Sclerosis Patients</w:t>
            </w:r>
          </w:p>
        </w:tc>
        <w:tc>
          <w:tcPr>
            <w:tcW w:type="dxa" w:w="1511"/>
            <w:shd w:fill="FFFFFF"/>
          </w:tcPr>
          <w:p>
            <w:r>
              <w:rPr>
                <w:rFonts w:ascii="Arial" w:hAnsi="Arial"/>
                <w:color w:val="000000"/>
                <w:sz w:val="18"/>
              </w:rPr>
              <w:t>our data show that an early decrease in sNfL and sGFAP values could identify patients at low risk of disease activity during Natalizumab treatment.</w:t>
            </w:r>
          </w:p>
        </w:tc>
        <w:tc>
          <w:tcPr>
            <w:tcW w:type="dxa" w:w="1511"/>
            <w:shd w:fill="FFFFFF"/>
          </w:tcPr>
          <w:p>
            <w:r>
              <w:rPr>
                <w:rFonts w:ascii="Arial" w:hAnsi="Arial"/>
                <w:color w:val="000000"/>
                <w:sz w:val="18"/>
              </w:rPr>
              <w:t>Observational (prospective) study</w:t>
            </w:r>
          </w:p>
        </w:tc>
        <w:tc>
          <w:tcPr>
            <w:tcW w:type="dxa" w:w="1511"/>
            <w:shd w:fill="FFFFFF"/>
          </w:tcPr>
          <w:p>
            <w:r>
              <w:rPr>
                <w:rFonts w:ascii="Arial" w:hAnsi="Arial"/>
                <w:color w:val="000000"/>
                <w:sz w:val="18"/>
              </w:rPr>
              <w:t>Multiple sclerosis patients with relapsing–remitting MS (RRMS) treated with Natalizumab</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matched healthy controls (HCs)</w:t>
            </w:r>
          </w:p>
        </w:tc>
        <w:tc>
          <w:tcPr>
            <w:tcW w:type="dxa" w:w="1511"/>
            <w:shd w:fill="FFFFFF"/>
          </w:tcPr>
          <w:p>
            <w:r>
              <w:rPr>
                <w:rFonts w:ascii="Arial" w:hAnsi="Arial"/>
                <w:color w:val="000000"/>
                <w:sz w:val="18"/>
              </w:rPr>
              <w:t>sNfL and sGFAP Levels</w:t>
            </w:r>
          </w:p>
        </w:tc>
        <w:tc>
          <w:tcPr>
            <w:tcW w:type="dxa" w:w="1511"/>
            <w:shd w:fill="FFFFFF"/>
          </w:tcPr>
          <w:p>
            <w:r>
              <w:rPr>
                <w:rFonts w:ascii="Arial" w:hAnsi="Arial"/>
                <w:color w:val="000000"/>
                <w:sz w:val="18"/>
              </w:rPr>
              <w:t>sNfL and sGFAP levels decreased over time in RRMS patients treated with Natalizumab, with earlier and greater reductions in NEDA-3 patients compared to EDA-3 group.</w:t>
            </w:r>
          </w:p>
        </w:tc>
      </w:tr>
      <w:tr>
        <w:tc>
          <w:tcPr>
            <w:tcW w:type="dxa" w:w="1511"/>
            <w:shd w:fill="FFFFFF"/>
          </w:tcPr>
          <w:p>
            <w:r>
              <w:rPr>
                <w:rFonts w:ascii="Arial" w:hAnsi="Arial"/>
                <w:color w:val="000000"/>
                <w:sz w:val="18"/>
              </w:rPr>
              <w:t>Evaluating_natalizumab_first-line_and_later-line_u.pdf</w:t>
            </w:r>
          </w:p>
        </w:tc>
        <w:tc>
          <w:tcPr>
            <w:tcW w:type="dxa" w:w="1511"/>
            <w:shd w:fill="FFFFFF"/>
          </w:tcPr>
          <w:p>
            <w:r>
              <w:rPr>
                <w:rFonts w:ascii="Arial" w:hAnsi="Arial"/>
                <w:color w:val="000000"/>
                <w:sz w:val="18"/>
              </w:rPr>
              <w:t>0.2</w:t>
            </w:r>
          </w:p>
        </w:tc>
        <w:tc>
          <w:tcPr>
            <w:tcW w:type="dxa" w:w="1511"/>
            <w:shd w:fill="FFFFFF"/>
          </w:tcPr>
          <w:p>
            <w:r>
              <w:rPr>
                <w:rFonts w:ascii="Arial" w:hAnsi="Arial"/>
                <w:color w:val="000000"/>
                <w:sz w:val="18"/>
              </w:rPr>
              <w:t>Evaluating natalizumab first-line and later-line use in multiple sclerosis: a US claims database analysis</w:t>
            </w:r>
          </w:p>
        </w:tc>
        <w:tc>
          <w:tcPr>
            <w:tcW w:type="dxa" w:w="1511"/>
            <w:shd w:fill="FFFFFF"/>
          </w:tcPr>
          <w:p>
            <w:r>
              <w:rPr>
                <w:rFonts w:ascii="Arial" w:hAnsi="Arial"/>
                <w:color w:val="000000"/>
                <w:sz w:val="18"/>
              </w:rPr>
              <w:t>In a real-world setting, initiating natalizumab as a 1L treatment for individuals newly diagnosed with MS resulted in a significant 81% reduction in relapse rates between baseline and follow-up. Moreover, this approach extended the time before the occurrence of the first relapse, underscoring the efficacy of early initiation of natalizumab in effectively managing the progression of the disease. Patients who began natalizumab as their initial treatment after diagnosis experienced fewer hospitalizations, ED visits and outpatient visits. This suggests the potential advantages of commencing natalizumab early in the treatment plan for MS not only in managing the condition effectively but also in reducing the overall utilization of healthcare resources.</w:t>
            </w:r>
          </w:p>
        </w:tc>
        <w:tc>
          <w:tcPr>
            <w:tcW w:type="dxa" w:w="1511"/>
            <w:shd w:fill="FFFFFF"/>
          </w:tcPr>
          <w:p>
            <w:r>
              <w:rPr>
                <w:rFonts w:ascii="Arial" w:hAnsi="Arial"/>
                <w:color w:val="000000"/>
                <w:sz w:val="18"/>
              </w:rPr>
              <w:t>retrospective observational study</w:t>
            </w:r>
          </w:p>
        </w:tc>
        <w:tc>
          <w:tcPr>
            <w:tcW w:type="dxa" w:w="1511"/>
            <w:shd w:fill="FFFFFF"/>
          </w:tcPr>
          <w:p>
            <w:r>
              <w:rPr>
                <w:rFonts w:ascii="Arial" w:hAnsi="Arial"/>
                <w:color w:val="000000"/>
                <w:sz w:val="18"/>
              </w:rPr>
              <w:t>adults diagnosed with incident MS who initiated natalizumab treatment</w:t>
            </w:r>
          </w:p>
        </w:tc>
        <w:tc>
          <w:tcPr>
            <w:tcW w:type="dxa" w:w="1511"/>
            <w:shd w:fill="FFFFFF"/>
          </w:tcPr>
          <w:p>
            <w:r>
              <w:rPr>
                <w:rFonts w:ascii="Arial" w:hAnsi="Arial"/>
                <w:color w:val="000000"/>
                <w:sz w:val="18"/>
              </w:rPr>
              <w:t>natalizumab treatment</w:t>
            </w:r>
          </w:p>
        </w:tc>
        <w:tc>
          <w:tcPr>
            <w:tcW w:type="dxa" w:w="1511"/>
            <w:shd w:fill="FFFFFF"/>
          </w:tcPr>
          <w:p>
            <w:r>
              <w:rPr>
                <w:rFonts w:ascii="Arial" w:hAnsi="Arial"/>
                <w:color w:val="000000"/>
                <w:sz w:val="18"/>
              </w:rPr>
              <w:t>first-line (1L) versus later-line (2L+) treatment</w:t>
            </w:r>
          </w:p>
        </w:tc>
        <w:tc>
          <w:tcPr>
            <w:tcW w:type="dxa" w:w="1511"/>
            <w:shd w:fill="FFFFFF"/>
          </w:tcPr>
          <w:p>
            <w:r>
              <w:rPr>
                <w:rFonts w:ascii="Arial" w:hAnsi="Arial"/>
                <w:color w:val="000000"/>
                <w:sz w:val="18"/>
              </w:rPr>
              <w:t>unadjusted annualized relapse rates (ARR) and MS-related healthcare resource utilization (HCRU)</w:t>
            </w:r>
          </w:p>
        </w:tc>
        <w:tc>
          <w:tcPr>
            <w:tcW w:type="dxa" w:w="1511"/>
            <w:shd w:fill="FFFFFF"/>
          </w:tcPr>
          <w:p>
            <w:r>
              <w:rPr>
                <w:rFonts w:ascii="Arial" w:hAnsi="Arial"/>
                <w:color w:val="000000"/>
                <w:sz w:val="18"/>
              </w:rPr>
              <w:t>Patients in the 1L group had a significantly higher baseline ARR (1.48 vs 0.92, p &lt; 0.001) and lower on-treatment ARR (0.28 vs 0.41 for 2L+, p &lt; 0.001). HCRU decreased significantly in the 1L group from baseline to follow-up: hospitalizations (MD 17.01 visits/year), length of stay (LOS; MD 20.96 days/year), emergency room visits (MD 9.83 visits/year), non-natalizumab outpatient visits (MD 12.11 visits/year) and long-term care facility stays (MD 22.18 days/year, p = 0.002). The 1L group showed greater reductions in inpatient visits (MD 10.01 visits//year), LOS (MD 16.73 days/year) and non- natalizumab outpatient visits (MD 11.64 visits/year) compared to the 2L+ group.</w:t>
            </w:r>
          </w:p>
        </w:tc>
      </w:tr>
      <w:tr>
        <w:tc>
          <w:tcPr>
            <w:tcW w:type="dxa" w:w="1511"/>
            <w:shd w:fill="FFFFFF"/>
          </w:tcPr>
          <w:p>
            <w:r>
              <w:rPr>
                <w:rFonts w:ascii="Arial" w:hAnsi="Arial"/>
                <w:color w:val="000000"/>
                <w:sz w:val="18"/>
              </w:rPr>
              <w:t>Evaluation_of_Natalizumab_Pharmacokinetics_and_Pha.pdf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Evaluation of Natalizumab Pharmacokinetics and Pharmacodynamics: Toward Individualized Doses</w:t>
            </w:r>
          </w:p>
        </w:tc>
        <w:tc>
          <w:tcPr>
            <w:tcW w:type="dxa" w:w="1511"/>
            <w:shd w:fill="FFFFFF"/>
          </w:tcPr>
          <w:p>
            <w:r>
              <w:rPr>
                <w:rFonts w:ascii="Arial" w:hAnsi="Arial"/>
                <w:color w:val="000000"/>
                <w:sz w:val="18"/>
              </w:rPr>
              <w:t>Body mass index and dosing interval are the main variables found to inﬂuence the pharmacology of natalizumab. Plasma concentration of natalizumab and/or RO are wide variable among patients and should be routinely measured to personalize treatment and, therefore, avoid either over and underdosing.</w:t>
            </w:r>
          </w:p>
        </w:tc>
        <w:tc>
          <w:tcPr>
            <w:tcW w:type="dxa" w:w="1511"/>
            <w:shd w:fill="FFFFFF"/>
          </w:tcPr>
          <w:p>
            <w:r>
              <w:rPr>
                <w:rFonts w:ascii="Arial" w:hAnsi="Arial"/>
                <w:color w:val="000000"/>
                <w:sz w:val="18"/>
              </w:rPr>
              <w:t>Prospective observational study</w:t>
            </w:r>
          </w:p>
        </w:tc>
        <w:tc>
          <w:tcPr>
            <w:tcW w:type="dxa" w:w="1511"/>
            <w:shd w:fill="FFFFFF"/>
          </w:tcPr>
          <w:p>
            <w:r>
              <w:rPr>
                <w:rFonts w:ascii="Arial" w:hAnsi="Arial"/>
                <w:color w:val="000000"/>
                <w:sz w:val="18"/>
              </w:rPr>
              <w:t>Multiple sclerosis (MS) patients receiving natalizumab for relapsing forms of RRMS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Extended interval dose (EID) vs. standard interval dose (SID)</w:t>
            </w:r>
          </w:p>
        </w:tc>
        <w:tc>
          <w:tcPr>
            <w:tcW w:type="dxa" w:w="1511"/>
            <w:shd w:fill="FFFFFF"/>
          </w:tcPr>
          <w:p>
            <w:r>
              <w:rPr>
                <w:rFonts w:ascii="Arial" w:hAnsi="Arial"/>
                <w:color w:val="000000"/>
                <w:sz w:val="18"/>
              </w:rPr>
              <w:t>Natalizumab pharmacokinetic concentrations and α4-integrin receptor occupancy (RO)</w:t>
            </w:r>
          </w:p>
        </w:tc>
        <w:tc>
          <w:tcPr>
            <w:tcW w:type="dxa" w:w="1511"/>
            <w:shd w:fill="FFFFFF"/>
          </w:tcPr>
          <w:p>
            <w:r>
              <w:rPr>
                <w:rFonts w:ascii="Arial" w:hAnsi="Arial"/>
                <w:color w:val="000000"/>
                <w:sz w:val="18"/>
              </w:rPr>
              <w:t>Natalizumab concentrations ranged from 0.72 to 67 µg/ml, and RO from 26 to 100%. Body mass index inversely associated with natalizumab concentration (beta = −1.78; p ≤0.001), as it did body weight (beta = −0.34; p = 0.001), but not height, body surface area, age or gender. Extended vs. standard dose scheme, but not treatment duration, was inversely associated with natalizumab concentration (beta = −7.92; p = 0.016). Similar to natalizumab concentration, body mass index (beta = −1.39; p = 0.001) and weight (beta = −0.31; p = 0.001) inversely impacted RO. Finally, there was a strong direct linear correlation between serum concentrations and RO until 9 µg/ml (rho = 0.71; p = 0.003). Nevertheless, most patients had higher concentrations of natalizumab resulting in the saturation of the integrin.</w:t>
            </w:r>
          </w:p>
        </w:tc>
      </w:tr>
      <w:tr>
        <w:tc>
          <w:tcPr>
            <w:tcW w:type="dxa" w:w="1511"/>
            <w:shd w:fill="FFFFFF"/>
          </w:tcPr>
          <w:p>
            <w:r>
              <w:rPr>
                <w:rFonts w:ascii="Arial" w:hAnsi="Arial"/>
                <w:color w:val="000000"/>
                <w:sz w:val="18"/>
              </w:rPr>
              <w:t>Foley et al. - 2022 - Comparison of switching to 6-week dosing of natalizumab versus continuing with 4-week dosing in pati.pdf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Comparison of switching to 6-week dosing of natalizumab versus continuing with 4-week dosing in patients with relapsing-remitting multiple sclerosis (NOVA): a randomised, controlled, open-label, phase 3b trial</w:t>
            </w:r>
          </w:p>
        </w:tc>
        <w:tc>
          <w:tcPr>
            <w:tcW w:type="dxa" w:w="1511"/>
            <w:shd w:fill="FFFFFF"/>
          </w:tcPr>
          <w:p>
            <w:r>
              <w:rPr>
                <w:rFonts w:ascii="Arial" w:hAnsi="Arial"/>
                <w:color w:val="000000"/>
                <w:sz w:val="18"/>
              </w:rPr>
              <w:t>We found a numerical difference in the mean number of new or newly enlarging T2 hyperintense lesions at week 72 between the once every 6 weeks and once every 4 weeks groups, which reached significance under the secondary estimand, but interpretation of statistical differences (or absence thereof) is limited because disease activity in the once every 4 weeks group was lower than expected. The safety profiles of natalizumab once every 6 weeks and once every 4 weeks were similar. Although this trial was not powered to assess differences in risk of progressive multifocal leukoencephalopathy, the occurrence of the (asymptomatic) case underscores the importance of monitoring and risk factor consideration in all patients receiving natalizumab.</w:t>
            </w:r>
          </w:p>
        </w:tc>
        <w:tc>
          <w:tcPr>
            <w:tcW w:type="dxa" w:w="1511"/>
            <w:shd w:fill="FFFFFF"/>
          </w:tcPr>
          <w:p>
            <w:r>
              <w:rPr>
                <w:rFonts w:ascii="Arial" w:hAnsi="Arial"/>
                <w:color w:val="000000"/>
                <w:sz w:val="18"/>
              </w:rPr>
              <w:t>randomised, controlled, open-label, phase 3b trial</w:t>
            </w:r>
          </w:p>
        </w:tc>
        <w:tc>
          <w:tcPr>
            <w:tcW w:type="dxa" w:w="1511"/>
            <w:shd w:fill="FFFFFF"/>
          </w:tcPr>
          <w:p>
            <w:r>
              <w:rPr>
                <w:rFonts w:ascii="Arial" w:hAnsi="Arial"/>
                <w:color w:val="000000"/>
                <w:sz w:val="18"/>
              </w:rPr>
              <w:t>patients with relapsing-remitting multiple sclerosis (aged 18–60 years with relapsing-remitting multiple sclerosis and had been treated with intravenous natalizumab 300 mg once every 4 weeks with no relapses for at least 12 months before randomisation, with no missed doses in the previous 3 months)</w:t>
            </w:r>
          </w:p>
        </w:tc>
        <w:tc>
          <w:tcPr>
            <w:tcW w:type="dxa" w:w="1511"/>
            <w:shd w:fill="FFFFFF"/>
          </w:tcPr>
          <w:p>
            <w:r>
              <w:rPr>
                <w:rFonts w:ascii="Arial" w:hAnsi="Arial"/>
                <w:color w:val="000000"/>
                <w:sz w:val="18"/>
              </w:rPr>
              <w:t>natalizumab once every 6 weeks</w:t>
            </w:r>
          </w:p>
        </w:tc>
        <w:tc>
          <w:tcPr>
            <w:tcW w:type="dxa" w:w="1511"/>
            <w:shd w:fill="FFFFFF"/>
          </w:tcPr>
          <w:p>
            <w:r>
              <w:rPr>
                <w:rFonts w:ascii="Arial" w:hAnsi="Arial"/>
                <w:color w:val="000000"/>
                <w:sz w:val="18"/>
              </w:rPr>
              <w:t>natalizumab once every 4 weeks</w:t>
            </w:r>
          </w:p>
        </w:tc>
        <w:tc>
          <w:tcPr>
            <w:tcW w:type="dxa" w:w="1511"/>
            <w:shd w:fill="FFFFFF"/>
          </w:tcPr>
          <w:p>
            <w:r>
              <w:rPr>
                <w:rFonts w:ascii="Arial" w:hAnsi="Arial"/>
                <w:color w:val="000000"/>
                <w:sz w:val="18"/>
              </w:rPr>
              <w:t>number of new or newly enlarging T2 hyperintense lesions at week 72</w:t>
            </w:r>
          </w:p>
        </w:tc>
        <w:tc>
          <w:tcPr>
            <w:tcW w:type="dxa" w:w="1511"/>
            <w:shd w:fill="FFFFFF"/>
          </w:tcPr>
          <w:p>
            <w:r>
              <w:rPr>
                <w:rFonts w:ascii="Arial" w:hAnsi="Arial"/>
                <w:color w:val="000000"/>
                <w:sz w:val="18"/>
              </w:rPr>
              <w:t>Between Dec 26, 2018, and Aug 30, 2019, 605 patients were assessed for eligibility and 499 were enrolled and assigned to receive natalizumab once every 6 weeks (n=251) or once every 4 weeks (n=248). After prespecified adjustments for missing data, mean numbers of new or newly enlarging T2 hyperintense lesions at week 72 were 0·20 (95% CI 0·07–0·63) in the once every 6 weeks group and 0·05 (0·01–0·22) in the once every 4 weeks group (mean lesion ratio 4·24 [95% CI 0·86–20·85]; p=0·076) under the primary estimand, and 0·31 (95% CI 0·12–0·82) and 0·06 (0·01–0·31; mean lesion ratio 4·93 [95% CI 1·05–23·20]; p=0·044) under the secondary estimand. Two participants in the once every 6 weeks group with extreme new or newly enlarging T2 hyperintense lesion numbers (≥25) contributed most of the excess lesions. Adverse events occurred in 194 (78%) of 250 participants in the once every 6 weeks group and 190 (77%) of 247 in the once every 4 weeks group, and serious adverse events occurred in 17 (7%...</w:t>
            </w:r>
          </w:p>
        </w:tc>
      </w:tr>
      <w:tr>
        <w:tc>
          <w:tcPr>
            <w:tcW w:type="dxa" w:w="1511"/>
            <w:shd w:fill="FFFFFF"/>
          </w:tcPr>
          <w:p>
            <w:r>
              <w:rPr>
                <w:rFonts w:ascii="Arial" w:hAnsi="Arial"/>
                <w:color w:val="000000"/>
                <w:sz w:val="18"/>
              </w:rPr>
              <w:t>Fuentes-Rumí et al. - 2020 - Prevention of rebound effect after natalizumab withdrawal in multiple sclerosis. Study of two high-d.pdf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Prevention of rebound effect after natalizumab withdrawal in multiple sclerosis. Study of two high-dose methylprednisolone schedules</w:t>
            </w:r>
          </w:p>
        </w:tc>
        <w:tc>
          <w:tcPr>
            <w:tcW w:type="dxa" w:w="1511"/>
            <w:shd w:fill="FFFFFF"/>
          </w:tcPr>
          <w:p>
            <w:r>
              <w:rPr>
                <w:rFonts w:ascii="Arial" w:hAnsi="Arial"/>
                <w:color w:val="000000"/>
                <w:sz w:val="18"/>
              </w:rPr>
              <w:t>In this observational, retrospective study of 50 patients who discontinued natalizumab, in which two different IVMP treatment schedules were used during the washout period, we found a combined incidence of rebound of 10%, which is lower than expected according to the results obtained in other studies. The rebound effect occurred in younger patients, although more data would be needed to confirm age as a risk factor, and was not associated with a higher ARR in the pre-NTZ initiation year, nor with any new DMT initiated after NTZ. Treatment with IVMP during a short washout period might be associated with a lower incidence of rebound.</w:t>
            </w:r>
          </w:p>
        </w:tc>
        <w:tc>
          <w:tcPr>
            <w:tcW w:type="dxa" w:w="1511"/>
            <w:shd w:fill="FFFFFF"/>
          </w:tcPr>
          <w:p>
            <w:r>
              <w:rPr>
                <w:rFonts w:ascii="Arial" w:hAnsi="Arial"/>
                <w:color w:val="000000"/>
                <w:sz w:val="18"/>
              </w:rPr>
              <w:t>Observational, retrospective, single-center study</w:t>
            </w:r>
          </w:p>
        </w:tc>
        <w:tc>
          <w:tcPr>
            <w:tcW w:type="dxa" w:w="1511"/>
            <w:shd w:fill="FFFFFF"/>
          </w:tcPr>
          <w:p>
            <w:r>
              <w:rPr>
                <w:rFonts w:ascii="Arial" w:hAnsi="Arial"/>
                <w:color w:val="000000"/>
                <w:sz w:val="18"/>
              </w:rPr>
              <w:t>Patients with relapsing-remitting multiple sclerosis (RRMS) who discontinued natalizumab therapy</w:t>
            </w:r>
          </w:p>
        </w:tc>
        <w:tc>
          <w:tcPr>
            <w:tcW w:type="dxa" w:w="1511"/>
            <w:shd w:fill="FFFFFF"/>
          </w:tcPr>
          <w:p>
            <w:r>
              <w:rPr>
                <w:rFonts w:ascii="Arial" w:hAnsi="Arial"/>
                <w:color w:val="000000"/>
                <w:sz w:val="18"/>
              </w:rPr>
              <w:t>Two high-dose methylprednisolone (IVMP) treatment schedules during the washout period of natalizumab</w:t>
            </w:r>
          </w:p>
        </w:tc>
        <w:tc>
          <w:tcPr>
            <w:tcW w:type="dxa" w:w="1511"/>
            <w:shd w:fill="FFFFFF"/>
          </w:tcPr>
          <w:p>
            <w:r>
              <w:rPr>
                <w:rFonts w:ascii="Arial" w:hAnsi="Arial"/>
                <w:color w:val="000000"/>
                <w:sz w:val="18"/>
              </w:rPr>
              <w:t>Two IVMP treatment schedules (schedule 1: 3-month washout with 1, 2, and 3 g IVMP; schedule 2: 2-month washout with 1 and 2 g IVMP)</w:t>
            </w:r>
          </w:p>
        </w:tc>
        <w:tc>
          <w:tcPr>
            <w:tcW w:type="dxa" w:w="1511"/>
            <w:shd w:fill="FFFFFF"/>
          </w:tcPr>
          <w:p>
            <w:r>
              <w:rPr>
                <w:rFonts w:ascii="Arial" w:hAnsi="Arial"/>
                <w:color w:val="000000"/>
                <w:sz w:val="18"/>
              </w:rPr>
              <w:t>Rebound effect defined as at least one clinical relapse plus radiological rebound (MRI activity &gt;5 gadolinium-enhanced lesions and a greater number of new/T2-enhanced and/or gadolinium-enhanced lesions than before NTZ initiation)</w:t>
            </w:r>
          </w:p>
        </w:tc>
        <w:tc>
          <w:tcPr>
            <w:tcW w:type="dxa" w:w="1511"/>
            <w:shd w:fill="FFFFFF"/>
          </w:tcPr>
          <w:p>
            <w:r>
              <w:rPr>
                <w:rFonts w:ascii="Arial" w:hAnsi="Arial"/>
                <w:color w:val="000000"/>
                <w:sz w:val="18"/>
              </w:rPr>
              <w:t>Fifty patients (68% women) were included, with a mean (SD) age of 37.76 (10.88) years and pre-NTZ annualized relapse rate (ARR) of 1.78 (1.04). During NTZ therapy, mean Expanded Disability Status Scale (EDSS) score was 3.7 (1.73) and ARR was 0.23 (0.39). The ARR (mean of both schedules) was 0.1 (0.71) during washout and 0.32 (0.84) at 6M-DMT. Rebound was observed in 10% of cases (n = 5), with no significant clinical or radiological differences (p&gt;0.05) between the two IVMP schedules.</w:t>
            </w:r>
          </w:p>
        </w:tc>
      </w:tr>
      <w:tr>
        <w:tc>
          <w:tcPr>
            <w:tcW w:type="dxa" w:w="1511"/>
            <w:shd w:fill="FFFFFF"/>
          </w:tcPr>
          <w:p>
            <w:r>
              <w:rPr>
                <w:rFonts w:ascii="Arial" w:hAnsi="Arial"/>
                <w:color w:val="000000"/>
                <w:sz w:val="18"/>
              </w:rPr>
              <w:t>Gudesblatt et al. - Improvement in Cognitive Function as Measured by NeuroTrax in Patients with Relapsing Multiple Scler.pdf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Improvement in Cognitive Function as Measured by NeuroTrax in Patients with Relapsing Multiple Sclerosis Treated with Natalizumab: A 2‑Year Retrospective Analysis</w:t>
            </w:r>
          </w:p>
        </w:tc>
        <w:tc>
          <w:tcPr>
            <w:tcW w:type="dxa" w:w="1511"/>
            <w:shd w:fill="FFFFFF"/>
          </w:tcPr>
          <w:p>
            <w:r>
              <w:rPr>
                <w:rFonts w:ascii="Arial" w:hAnsi="Arial"/>
                <w:color w:val="000000"/>
                <w:sz w:val="18"/>
              </w:rPr>
              <w:t>Patients treated with natalizumab demonstrated significant improvement in cognitive function, measured by NeuroTrax GCS, over 2 years of treatment.</w:t>
            </w:r>
          </w:p>
        </w:tc>
        <w:tc>
          <w:tcPr>
            <w:tcW w:type="dxa" w:w="1511"/>
            <w:shd w:fill="FFFFFF"/>
          </w:tcPr>
          <w:p>
            <w:r>
              <w:rPr>
                <w:rFonts w:ascii="Arial" w:hAnsi="Arial"/>
                <w:color w:val="000000"/>
                <w:sz w:val="18"/>
              </w:rPr>
              <w:t>Retrospective observational study</w:t>
            </w:r>
          </w:p>
        </w:tc>
        <w:tc>
          <w:tcPr>
            <w:tcW w:type="dxa" w:w="1511"/>
            <w:shd w:fill="FFFFFF"/>
          </w:tcPr>
          <w:p>
            <w:r>
              <w:rPr>
                <w:rFonts w:ascii="Arial" w:hAnsi="Arial"/>
                <w:color w:val="000000"/>
                <w:sz w:val="18"/>
              </w:rPr>
              <w:t>Adult patients with relapsing multiple sclerosis (MS) in the United States receiving 300 mg intravenous natalizumab every 4 weeks for ≥ 2 years</w:t>
            </w:r>
          </w:p>
        </w:tc>
        <w:tc>
          <w:tcPr>
            <w:tcW w:type="dxa" w:w="1511"/>
            <w:shd w:fill="FFFFFF"/>
          </w:tcPr>
          <w:p>
            <w:r>
              <w:rPr>
                <w:rFonts w:ascii="Arial" w:hAnsi="Arial"/>
                <w:color w:val="000000"/>
                <w:sz w:val="18"/>
              </w:rPr>
              <w:t>Natalizumab (300 mg intravenous infusion every 4 weeks)</w:t>
            </w:r>
          </w:p>
        </w:tc>
        <w:tc>
          <w:tcPr>
            <w:tcW w:type="dxa" w:w="1511"/>
            <w:shd w:fill="FFFFFF"/>
          </w:tcPr>
          <w:p>
            <w:r>
              <w:rPr>
                <w:rFonts w:ascii="Arial" w:hAnsi="Arial"/>
                <w:color w:val="000000"/>
                <w:sz w:val="18"/>
              </w:rPr>
              <w:t>Treatment-naive patients versus patients with prior disease-modifying therapy (DMT) use</w:t>
            </w:r>
          </w:p>
        </w:tc>
        <w:tc>
          <w:tcPr>
            <w:tcW w:type="dxa" w:w="1511"/>
            <w:shd w:fill="FFFFFF"/>
          </w:tcPr>
          <w:p>
            <w:r>
              <w:rPr>
                <w:rFonts w:ascii="Arial" w:hAnsi="Arial"/>
                <w:color w:val="000000"/>
                <w:sz w:val="18"/>
              </w:rPr>
              <w:t>Cognitive function measured by NeuroTrax (global cognitive score and seven individual cognitive domain scores: memory, executive function, visual-spatial processing, verbal function, attention, information processing speed, motor function)</w:t>
            </w:r>
          </w:p>
        </w:tc>
        <w:tc>
          <w:tcPr>
            <w:tcW w:type="dxa" w:w="1511"/>
            <w:shd w:fill="FFFFFF"/>
          </w:tcPr>
          <w:p>
            <w:r>
              <w:rPr>
                <w:rFonts w:ascii="Arial" w:hAnsi="Arial"/>
                <w:color w:val="000000"/>
                <w:sz w:val="18"/>
              </w:rPr>
              <w:t>GCS score improved significantly from baseline (mean 95.5) to year 2 (mean 98.9, p = 0.003); 32.7% of patients showed clinically significant improvement (&gt;1 SD) in GCS; all seven cognitive domains showed numerical improvements over 2 years, with significant changes in memory, visual-spatial processing, attention, and information processing speed; proportion of patients with cognitive impairment decreased over time</w:t>
            </w:r>
          </w:p>
        </w:tc>
      </w:tr>
      <w:tr>
        <w:tc>
          <w:tcPr>
            <w:tcW w:type="dxa" w:w="1511"/>
            <w:shd w:fill="FFFFFF"/>
          </w:tcPr>
          <w:p>
            <w:r>
              <w:rPr>
                <w:rFonts w:ascii="Arial" w:hAnsi="Arial"/>
                <w:color w:val="000000"/>
                <w:sz w:val="18"/>
              </w:rPr>
              <w:t>Impact_of_Natalizumab_on_Productivity_and_Ability_.pdf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Impact of Natalizumab on Productivity and Ability to Work in Patients with Multiple Sclerosis in France: The TITAN Study</w:t>
            </w:r>
          </w:p>
        </w:tc>
        <w:tc>
          <w:tcPr>
            <w:tcW w:type="dxa" w:w="1511"/>
            <w:shd w:fill="FFFFFF"/>
          </w:tcPr>
          <w:p>
            <w:r>
              <w:rPr>
                <w:rFonts w:ascii="Arial" w:hAnsi="Arial"/>
                <w:color w:val="000000"/>
                <w:sz w:val="18"/>
              </w:rPr>
              <w:t>These findings suggest that early treatment with natalizumab may improve the work function of patients with MS, thereby decreasing the economic burden of the disease and improving patient quality of life.</w:t>
            </w:r>
          </w:p>
        </w:tc>
        <w:tc>
          <w:tcPr>
            <w:tcW w:type="dxa" w:w="1511"/>
            <w:shd w:fill="FFFFFF"/>
          </w:tcPr>
          <w:p>
            <w:r>
              <w:rPr>
                <w:rFonts w:ascii="Arial" w:hAnsi="Arial"/>
                <w:color w:val="000000"/>
                <w:sz w:val="18"/>
              </w:rPr>
              <w:t>Observational, open-label, multicenter study</w:t>
            </w:r>
          </w:p>
        </w:tc>
        <w:tc>
          <w:tcPr>
            <w:tcW w:type="dxa" w:w="1511"/>
            <w:shd w:fill="FFFFFF"/>
          </w:tcPr>
          <w:p>
            <w:r>
              <w:rPr>
                <w:rFonts w:ascii="Arial" w:hAnsi="Arial"/>
                <w:color w:val="000000"/>
                <w:sz w:val="18"/>
              </w:rPr>
              <w:t>Patients aged ≥ 18 and &lt; 65 years with relapsing-remitting MS, either naïve to natalizumab or with ≤ 1 prior natalizumab infusion, with paid employment</w:t>
            </w:r>
          </w:p>
        </w:tc>
        <w:tc>
          <w:tcPr>
            <w:tcW w:type="dxa" w:w="1511"/>
            <w:shd w:fill="FFFFFF"/>
          </w:tcPr>
          <w:p>
            <w:r>
              <w:rPr>
                <w:rFonts w:ascii="Arial" w:hAnsi="Arial"/>
                <w:color w:val="000000"/>
                <w:sz w:val="18"/>
              </w:rPr>
              <w:t>Natalizumab (TYSABRI®)</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Changes in productivity (number of working hours), ability to work, quality of life (QoL), annualized relapse rate, and Expanded Disability Status Scale (EDSS) score before and after natalizumab initiation</w:t>
            </w:r>
          </w:p>
        </w:tc>
        <w:tc>
          <w:tcPr>
            <w:tcW w:type="dxa" w:w="1511"/>
            <w:shd w:fill="FFFFFF"/>
          </w:tcPr>
          <w:p>
            <w:r>
              <w:rPr>
                <w:rFonts w:ascii="Arial" w:hAnsi="Arial"/>
                <w:color w:val="000000"/>
                <w:sz w:val="18"/>
              </w:rPr>
              <w:t>Of 185 enrolled patients, the primary analysis population comprised 162 patients with a mean (SD) age of 36.8 (9.6) years and a baseline mean (SD) EDSS score of 1.9 (1.4). Annual mean (SD) productivity (n = 160) decreased from 1284.4 (503.3) h before natalizumab to 1208.0 (575.3) h (p = 0.05) in the year after natalizumab initiation. Significant improvement was seen in overall activity impairment at 6, 12, and 18 months of natalizumab treatment (p &lt; 0.001). Decreases in annualized relapse rate (p &lt; 0.0001) and EDSS score (p &lt; 0.05) were observed during this period. In addition, treatment-related improvements were observed in presenteeism (reduced work efficiency), overall work impairment, and absenteeism (p &lt; 0.05); significant improvements in psychological and physical impact (p ≤ 0.01) of MS were reported.</w:t>
            </w:r>
          </w:p>
        </w:tc>
      </w:tr>
      <w:tr>
        <w:tc>
          <w:tcPr>
            <w:tcW w:type="dxa" w:w="1511"/>
            <w:shd w:fill="FFFFFF"/>
          </w:tcPr>
          <w:p>
            <w:r>
              <w:rPr>
                <w:rFonts w:ascii="Arial" w:hAnsi="Arial"/>
                <w:color w:val="000000"/>
                <w:sz w:val="18"/>
              </w:rPr>
              <w:t>In_vitro_morphological_profiling_of_T_cells_predic.pdf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In vitro morphological proﬁling of T cells predicts clinical response to natalizumab therapy in patients with multiple sclerosis</w:t>
            </w:r>
          </w:p>
        </w:tc>
        <w:tc>
          <w:tcPr>
            <w:tcW w:type="dxa" w:w="1511"/>
            <w:shd w:fill="FFFFFF"/>
          </w:tcPr>
          <w:p>
            <w:r>
              <w:rPr>
                <w:rFonts w:ascii="Arial" w:hAnsi="Arial"/>
                <w:color w:val="000000"/>
                <w:sz w:val="18"/>
              </w:rPr>
              <w:t>Our study thus unveils that CD8+ T cells from individual MS patients display heterogeneous susceptibility to natalizumab in vitro and highlights the potential of HCI-based pretreatment monitoring to assist individualized treatment prescription.</w:t>
            </w:r>
          </w:p>
        </w:tc>
        <w:tc>
          <w:tcPr>
            <w:tcW w:type="dxa" w:w="1511"/>
            <w:shd w:fill="FFFFFF"/>
          </w:tcPr>
          <w:p>
            <w:r>
              <w:rPr>
                <w:rFonts w:ascii="Arial" w:hAnsi="Arial"/>
                <w:color w:val="000000"/>
                <w:sz w:val="18"/>
              </w:rPr>
              <w:t>In vitro study</w:t>
            </w:r>
          </w:p>
        </w:tc>
        <w:tc>
          <w:tcPr>
            <w:tcW w:type="dxa" w:w="1511"/>
            <w:shd w:fill="FFFFFF"/>
          </w:tcPr>
          <w:p>
            <w:r>
              <w:rPr>
                <w:rFonts w:ascii="Arial" w:hAnsi="Arial"/>
                <w:color w:val="000000"/>
                <w:sz w:val="18"/>
              </w:rPr>
              <w:t>Patients with multiple sclerosis (MS)</w:t>
            </w:r>
          </w:p>
        </w:tc>
        <w:tc>
          <w:tcPr>
            <w:tcW w:type="dxa" w:w="1511"/>
            <w:shd w:fill="FFFFFF"/>
          </w:tcPr>
          <w:p>
            <w:r>
              <w:rPr>
                <w:rFonts w:ascii="Arial" w:hAnsi="Arial"/>
                <w:color w:val="000000"/>
                <w:sz w:val="18"/>
              </w:rPr>
              <w:t>Natalizumab therapy</w:t>
            </w:r>
          </w:p>
        </w:tc>
        <w:tc>
          <w:tcPr>
            <w:tcW w:type="dxa" w:w="1511"/>
            <w:shd w:fill="FFFFFF"/>
          </w:tcPr>
          <w:p>
            <w:r>
              <w:rPr>
                <w:rFonts w:ascii="Arial" w:hAnsi="Arial"/>
                <w:color w:val="000000"/>
                <w:sz w:val="18"/>
              </w:rPr>
              <w:t>Natalizumab-treated vs non-natalizumab-treated (or responders vs non-responders)</w:t>
            </w:r>
          </w:p>
        </w:tc>
        <w:tc>
          <w:tcPr>
            <w:tcW w:type="dxa" w:w="1511"/>
            <w:shd w:fill="FFFFFF"/>
          </w:tcPr>
          <w:p>
            <w:r>
              <w:rPr>
                <w:rFonts w:ascii="Arial" w:hAnsi="Arial"/>
                <w:color w:val="000000"/>
                <w:sz w:val="18"/>
              </w:rPr>
              <w:t>Clinical response to natalizumab therapy (NEDA endpoint)</w:t>
            </w:r>
          </w:p>
        </w:tc>
        <w:tc>
          <w:tcPr>
            <w:tcW w:type="dxa" w:w="1511"/>
            <w:shd w:fill="FFFFFF"/>
          </w:tcPr>
          <w:p>
            <w:r>
              <w:rPr>
                <w:rFonts w:ascii="Arial" w:hAnsi="Arial"/>
                <w:color w:val="000000"/>
                <w:sz w:val="18"/>
              </w:rPr>
              <w:t>High-content cell imaging captures in vitro sensitivity of primary T cells to natalizumab; CD8+ T cells from MS patients are highly sensitive to natalizumab exposure; Unsupervised clustering of HCI data discriminates non-responder MS patients; Random forest approach predicts treatment response with 92% for a discovery cohort and 88% for a validation cohort.</w:t>
            </w:r>
          </w:p>
        </w:tc>
      </w:tr>
      <w:tr>
        <w:tc>
          <w:tcPr>
            <w:tcW w:type="dxa" w:w="1511"/>
            <w:shd w:fill="FFFFFF"/>
          </w:tcPr>
          <w:p>
            <w:r>
              <w:rPr>
                <w:rFonts w:ascii="Arial" w:hAnsi="Arial"/>
                <w:color w:val="000000"/>
                <w:sz w:val="18"/>
              </w:rPr>
              <w:t>Influence_of_natalizumab_on_resting-state_connecti.pdf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Influence of natalizumab on resting-state connectivity in patients with multiple sclerosis</w:t>
            </w:r>
          </w:p>
        </w:tc>
        <w:tc>
          <w:tcPr>
            <w:tcW w:type="dxa" w:w="1511"/>
            <w:shd w:fill="FFFFFF"/>
          </w:tcPr>
          <w:p>
            <w:r>
              <w:rPr>
                <w:rFonts w:ascii="Arial" w:hAnsi="Arial"/>
                <w:color w:val="000000"/>
                <w:sz w:val="18"/>
              </w:rPr>
              <w:t>Patients with MS using natalizumab showed decreased connectivity in some resting-state networks when compared to controls and patients not using natalizumab. This decreased connectivity might be due to the late use of a highly efficacious drug, a poor response to other less efficacious drugs, a compensation in response to maladaptive plasticity. Future studies should consider the longitudinal evolution of brain functional connectivity in MS patients using natalizumab since their initial diagnosis.</w:t>
            </w:r>
          </w:p>
        </w:tc>
        <w:tc>
          <w:tcPr>
            <w:tcW w:type="dxa" w:w="1511"/>
            <w:shd w:fill="FFFFFF"/>
          </w:tcPr>
          <w:p>
            <w:r>
              <w:rPr>
                <w:rFonts w:ascii="Arial" w:hAnsi="Arial"/>
                <w:color w:val="000000"/>
                <w:sz w:val="18"/>
              </w:rPr>
              <w:t>Single-center retrospective cross-sectional study</w:t>
            </w:r>
          </w:p>
        </w:tc>
        <w:tc>
          <w:tcPr>
            <w:tcW w:type="dxa" w:w="1511"/>
            <w:shd w:fill="FFFFFF"/>
          </w:tcPr>
          <w:p>
            <w:r>
              <w:rPr>
                <w:rFonts w:ascii="Arial" w:hAnsi="Arial"/>
                <w:color w:val="000000"/>
                <w:sz w:val="18"/>
              </w:rPr>
              <w:t>Multiple sclerosis patients (treated with natalizumab, not treated with natalizumab) and healthy controls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Comparison between MS patients treated with natalizumab, MS patients not treated with natalizumab, and healthy controls</w:t>
            </w:r>
          </w:p>
        </w:tc>
        <w:tc>
          <w:tcPr>
            <w:tcW w:type="dxa" w:w="1511"/>
            <w:shd w:fill="FFFFFF"/>
          </w:tcPr>
          <w:p>
            <w:r>
              <w:rPr>
                <w:rFonts w:ascii="Arial" w:hAnsi="Arial"/>
                <w:color w:val="000000"/>
                <w:sz w:val="18"/>
              </w:rPr>
              <w:t>Resting-state functional connectivity</w:t>
            </w:r>
          </w:p>
        </w:tc>
        <w:tc>
          <w:tcPr>
            <w:tcW w:type="dxa" w:w="1511"/>
            <w:shd w:fill="FFFFFF"/>
          </w:tcPr>
          <w:p>
            <w:r>
              <w:rPr>
                <w:rFonts w:ascii="Arial" w:hAnsi="Arial"/>
                <w:color w:val="000000"/>
                <w:sz w:val="18"/>
              </w:rPr>
              <w:t>In comparison to controls, the MS patients treated with natalizumab presented decreased connectivity in the left orbitofrontal cortex, in the anterior cingulate and orbitofrontal cortex network. The patients not treated with natalizumab presented increased connectivity in the secondary visual, sensorimotor, and ventral attention networks in comparison to controls. Compared to patients treated with natalizumab, the patients not using natalizumab presented increased connectivity in the left Heschl’s gyrus and in the right superior frontal gyrus in the ventral attention network.</w:t>
            </w:r>
          </w:p>
        </w:tc>
      </w:tr>
      <w:tr>
        <w:tc>
          <w:tcPr>
            <w:tcW w:type="dxa" w:w="1511"/>
            <w:shd w:fill="FFFFFF"/>
          </w:tcPr>
          <w:p>
            <w:r>
              <w:rPr>
                <w:rFonts w:ascii="Arial" w:hAnsi="Arial"/>
                <w:color w:val="000000"/>
                <w:sz w:val="18"/>
              </w:rPr>
              <w:t>Insight_into_motor_fatigue_mechanisms_in_natalizum.pdf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Insight into motor fatigue mechanisms in natalizumab treated multiple sclerosis patients with wearing off</w:t>
            </w:r>
          </w:p>
        </w:tc>
        <w:tc>
          <w:tcPr>
            <w:tcW w:type="dxa" w:w="1511"/>
            <w:shd w:fill="FFFFFF"/>
          </w:tcPr>
          <w:p>
            <w:r>
              <w:rPr>
                <w:rFonts w:ascii="Arial" w:hAnsi="Arial"/>
                <w:color w:val="000000"/>
                <w:sz w:val="18"/>
              </w:rPr>
              <w:t>Our findings suggest that the mechanisms of motor fatigue during wearing-off are similar to those underlying MS-related motor fatigue. Specifically, the wearing-off-related fatigue in MS is caused by an impaired M1 output and altered task-induced modulation of M1 effective connectivity within the SMN. Given the improvement of these abnormalities following natalizumab infusion, motor fatigue in MS may reflect reversible, inflammation-derived changes in neural transmission within the SMN. Our results suggest that natalizumab’s ability to reduce motor fatigue is likely due to its influence on cortical processes involved in the underlying mechanisms of motor fatigue. Although our findings apply primarily to MS patients receiving natalizumab, we believe they provide valuable insights into the broader mechanisms of MS-related fatigue. Further research is essential to generalize our findings, particularly in patients under different treatments that exhibit a wearing-off effect33. Finally, the...</w:t>
            </w:r>
          </w:p>
        </w:tc>
        <w:tc>
          <w:tcPr>
            <w:tcW w:type="dxa" w:w="1511"/>
            <w:shd w:fill="FFFFFF"/>
          </w:tcPr>
          <w:p>
            <w:r>
              <w:rPr>
                <w:rFonts w:ascii="Arial" w:hAnsi="Arial"/>
                <w:color w:val="000000"/>
                <w:sz w:val="18"/>
              </w:rPr>
              <w:t>Observational study (pre-post comparison)</w:t>
            </w:r>
          </w:p>
        </w:tc>
        <w:tc>
          <w:tcPr>
            <w:tcW w:type="dxa" w:w="1511"/>
            <w:shd w:fill="FFFFFF"/>
          </w:tcPr>
          <w:p>
            <w:r>
              <w:rPr>
                <w:rFonts w:ascii="Arial" w:hAnsi="Arial"/>
                <w:color w:val="000000"/>
                <w:sz w:val="18"/>
              </w:rPr>
              <w:t>Forty-five relapsing–remitting multiple sclerosis patients with wearing-off symptoms</w:t>
            </w:r>
          </w:p>
        </w:tc>
        <w:tc>
          <w:tcPr>
            <w:tcW w:type="dxa" w:w="1511"/>
            <w:shd w:fill="FFFFFF"/>
          </w:tcPr>
          <w:p>
            <w:r>
              <w:rPr>
                <w:rFonts w:ascii="Arial" w:hAnsi="Arial"/>
                <w:color w:val="000000"/>
                <w:sz w:val="18"/>
              </w:rPr>
              <w:t>Natalizumab infusion</w:t>
            </w:r>
          </w:p>
        </w:tc>
        <w:tc>
          <w:tcPr>
            <w:tcW w:type="dxa" w:w="1511"/>
            <w:shd w:fill="FFFFFF"/>
          </w:tcPr>
          <w:p>
            <w:r>
              <w:rPr>
                <w:rFonts w:ascii="Arial" w:hAnsi="Arial"/>
                <w:color w:val="000000"/>
                <w:sz w:val="18"/>
              </w:rPr>
              <w:t>Wearing-off phase (pre-infusion) vs. post-natalizumab infusion (post-infusion)</w:t>
            </w:r>
          </w:p>
        </w:tc>
        <w:tc>
          <w:tcPr>
            <w:tcW w:type="dxa" w:w="1511"/>
            <w:shd w:fill="FFFFFF"/>
          </w:tcPr>
          <w:p>
            <w:r>
              <w:rPr>
                <w:rFonts w:ascii="Arial" w:hAnsi="Arial"/>
                <w:color w:val="000000"/>
                <w:sz w:val="18"/>
              </w:rPr>
              <w:t>Motor fatigue index, central and supraspinal fatigue, and M1 effective connectivity within the sensorimotor network</w:t>
            </w:r>
          </w:p>
        </w:tc>
        <w:tc>
          <w:tcPr>
            <w:tcW w:type="dxa" w:w="1511"/>
            <w:shd w:fill="FFFFFF"/>
          </w:tcPr>
          <w:p>
            <w:r>
              <w:rPr>
                <w:rFonts w:ascii="Arial" w:hAnsi="Arial"/>
                <w:color w:val="000000"/>
                <w:sz w:val="18"/>
              </w:rPr>
              <w:t>We found that wearing-off was associated with increased motor fatigue index, increased central and supraspinal fatigue, and diminished task-related modulation of TEPs compared to post-natalizumab infusion. Wearing-off was also associated with worsened fatigue impact and depression symptom scores.</w:t>
            </w:r>
          </w:p>
        </w:tc>
      </w:tr>
      <w:tr>
        <w:tc>
          <w:tcPr>
            <w:tcW w:type="dxa" w:w="1511"/>
            <w:shd w:fill="FFFFFF"/>
          </w:tcPr>
          <w:p>
            <w:r>
              <w:rPr>
                <w:rFonts w:ascii="Arial" w:hAnsi="Arial"/>
                <w:color w:val="000000"/>
                <w:sz w:val="18"/>
              </w:rPr>
              <w:t>Jakimovski et al. - 2023 - Patient-reported outcomes based on discontinuation or continuous treatment with natalizumab New Yor (1).pdf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Patient-reported outcomes based on discontinuation or continuous treatment with natalizumab: New York State Multiple Sclerosis Consortium (NYSMSC) study</w:t>
            </w:r>
          </w:p>
        </w:tc>
        <w:tc>
          <w:tcPr>
            <w:tcW w:type="dxa" w:w="1511"/>
            <w:shd w:fill="FFFFFF"/>
          </w:tcPr>
          <w:p>
            <w:r>
              <w:rPr>
                <w:rFonts w:ascii="Arial" w:hAnsi="Arial"/>
                <w:color w:val="000000"/>
                <w:sz w:val="18"/>
              </w:rPr>
              <w:t>Continuous natalizumab treatment provides long-term stability or improvement in PRO measures. Natalizumab also provides short term improvements recorded after the infusion.</w:t>
            </w:r>
          </w:p>
        </w:tc>
        <w:tc>
          <w:tcPr>
            <w:tcW w:type="dxa" w:w="1511"/>
            <w:shd w:fill="FFFFFF"/>
          </w:tcPr>
          <w:p>
            <w:r>
              <w:rPr>
                <w:rFonts w:ascii="Arial" w:hAnsi="Arial"/>
                <w:color w:val="000000"/>
                <w:sz w:val="18"/>
              </w:rPr>
              <w:t>Retrospective and prospective cohort study</w:t>
            </w:r>
          </w:p>
        </w:tc>
        <w:tc>
          <w:tcPr>
            <w:tcW w:type="dxa" w:w="1511"/>
            <w:shd w:fill="FFFFFF"/>
          </w:tcPr>
          <w:p>
            <w:r>
              <w:rPr>
                <w:rFonts w:ascii="Arial" w:hAnsi="Arial"/>
                <w:color w:val="000000"/>
                <w:sz w:val="18"/>
              </w:rPr>
              <w:t>People with multiple sclerosis (pwMS) treated with natalizumab</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Discontinuation of natalizumab vs. continuous treatment with natalizumab</w:t>
            </w:r>
          </w:p>
        </w:tc>
        <w:tc>
          <w:tcPr>
            <w:tcW w:type="dxa" w:w="1511"/>
            <w:shd w:fill="FFFFFF"/>
          </w:tcPr>
          <w:p>
            <w:r>
              <w:rPr>
                <w:rFonts w:ascii="Arial" w:hAnsi="Arial"/>
                <w:color w:val="000000"/>
                <w:sz w:val="18"/>
              </w:rPr>
              <w:t>Patient-reported outcomes (PRO) measures</w:t>
            </w:r>
          </w:p>
        </w:tc>
        <w:tc>
          <w:tcPr>
            <w:tcW w:type="dxa" w:w="1511"/>
            <w:shd w:fill="FFFFFF"/>
          </w:tcPr>
          <w:p>
            <w:r>
              <w:rPr>
                <w:rFonts w:ascii="Arial" w:hAnsi="Arial"/>
                <w:color w:val="000000"/>
                <w:sz w:val="18"/>
              </w:rPr>
              <w:t>Within the prospective cohort, 242 pwMS were followed on average of 6.5 years. Greater number of PRO domains worsened in the 141 pwMS that discontinued natalizumab when compared to 101 pwMS that remained on the drug (10 vs. 2 PRO domains). PwMS that discontinued natalizumab had significant decline in PROs regarding lower extremities, bladder and bower control and psychosocial aspects (feeling lonesome). Contrarily, pwMS that continued natalizumab had significant improvement in bladder and bowel PRO measures. Seven days after the natalizumab infusion, the 67 pwMS from the prospective cohort reported improvement in PRO measures of fatigue (62.8 vs. 66.4, p = 0.019), bladder limitations (80.3 vs. 85.0, p = 0.012), and feelings of lonesomeness (81.2 vs. 88.0, p = 0.009).</w:t>
            </w:r>
          </w:p>
        </w:tc>
      </w:tr>
      <w:tr>
        <w:tc>
          <w:tcPr>
            <w:tcW w:type="dxa" w:w="1511"/>
            <w:shd w:fill="FFFFFF"/>
          </w:tcPr>
          <w:p>
            <w:r>
              <w:rPr>
                <w:rFonts w:ascii="Arial" w:hAnsi="Arial"/>
                <w:color w:val="000000"/>
                <w:sz w:val="18"/>
              </w:rPr>
              <w:t>John_Cunningham_Virus_seroconversion_during_natali.pdf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John Cunningham Virus seroconversion during natalizumab treatment</w:t>
            </w:r>
          </w:p>
        </w:tc>
        <w:tc>
          <w:tcPr>
            <w:tcW w:type="dxa" w:w="1511"/>
            <w:shd w:fill="FFFFFF"/>
          </w:tcPr>
          <w:p>
            <w:r>
              <w:rPr>
                <w:rFonts w:ascii="Arial" w:hAnsi="Arial"/>
                <w:color w:val="000000"/>
                <w:sz w:val="18"/>
              </w:rPr>
              <w:t>Knowing how to monitor the anti-JCV antibody index and treatment approaches in our patient cohort may be useful in future clinical decisions in treating MS.</w:t>
            </w:r>
          </w:p>
        </w:tc>
        <w:tc>
          <w:tcPr>
            <w:tcW w:type="dxa" w:w="1511"/>
            <w:shd w:fill="FFFFFF"/>
          </w:tcPr>
          <w:p>
            <w:r>
              <w:rPr>
                <w:rFonts w:ascii="Arial" w:hAnsi="Arial"/>
                <w:color w:val="000000"/>
                <w:sz w:val="18"/>
              </w:rPr>
              <w:t>Longitudinal retrospective study</w:t>
            </w:r>
          </w:p>
        </w:tc>
        <w:tc>
          <w:tcPr>
            <w:tcW w:type="dxa" w:w="1511"/>
            <w:shd w:fill="FFFFFF"/>
          </w:tcPr>
          <w:p>
            <w:r>
              <w:rPr>
                <w:rFonts w:ascii="Arial" w:hAnsi="Arial"/>
                <w:color w:val="000000"/>
                <w:sz w:val="18"/>
              </w:rPr>
              <w:t>Patients diagnosed with multiple sclerosis</w:t>
            </w:r>
          </w:p>
        </w:tc>
        <w:tc>
          <w:tcPr>
            <w:tcW w:type="dxa" w:w="1511"/>
            <w:shd w:fill="FFFFFF"/>
          </w:tcPr>
          <w:p>
            <w:r>
              <w:rPr>
                <w:rFonts w:ascii="Arial" w:hAnsi="Arial"/>
                <w:color w:val="000000"/>
                <w:sz w:val="18"/>
              </w:rPr>
              <w:t>Natalizumab treatment</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John Cunningham Virus seroconversion</w:t>
            </w:r>
          </w:p>
        </w:tc>
        <w:tc>
          <w:tcPr>
            <w:tcW w:type="dxa" w:w="1511"/>
            <w:shd w:fill="FFFFFF"/>
          </w:tcPr>
          <w:p>
            <w:r>
              <w:rPr>
                <w:rFonts w:ascii="Arial" w:hAnsi="Arial"/>
                <w:color w:val="000000"/>
                <w:sz w:val="18"/>
              </w:rPr>
              <w:t>Sixty-two patients treated with Natalizumab were included, with a seroprevalence of 67.7%. At the start of treatment, 41.9% (26/62) of the patients were negative for anti-JCV, of which 23.1% (6/26) were seroconverted. The mean time to seroconversion was 2.5 years. The baseline index of anti-JCV antibodies was statistically significant with the age of the patients. Among patients with a negative anti-JCV antibody result at baseline, 82.6% (19/23) remained negative throughout monitoring. Treatment was discontinued in 53.2% (33/62) of patients, and 72.7% (24/33) due to anti-JCV positivity with a consumption index &gt;1.5 in 41.9% of cases.</w:t>
            </w:r>
          </w:p>
        </w:tc>
      </w:tr>
      <w:tr>
        <w:tc>
          <w:tcPr>
            <w:tcW w:type="dxa" w:w="1511"/>
            <w:shd w:fill="FFFFFF"/>
          </w:tcPr>
          <w:p>
            <w:r>
              <w:rPr>
                <w:rFonts w:ascii="Arial" w:hAnsi="Arial"/>
                <w:color w:val="000000"/>
                <w:sz w:val="18"/>
              </w:rPr>
              <w:t>Kieseier et al. - Currently Approved Disease-Modifying Drugs Monoclonal Antibody Natalizumab.pdf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Translational Neuroimmunology in Multiple Sclerosis</w:t>
            </w:r>
          </w:p>
        </w:tc>
        <w:tc>
          <w:tcPr>
            <w:tcW w:type="dxa" w:w="1511"/>
            <w:shd w:fill="FFFFFF"/>
          </w:tcPr>
          <w:p>
            <w:r>
              <w:rPr>
                <w:rFonts w:ascii="Arial" w:hAnsi="Arial"/>
                <w:color w:val="000000"/>
                <w:sz w:val="18"/>
              </w:rPr>
              <w:t>Natalizumab is a highly effective treatment for patients with relapsing forms of MS with a risk of developing PML, prompting a thorough risk–benefit assessment. Today, neurologists have to make complex treatment decisions together with their patients, sometimes on the basis of very limited clinical data and evidence. It becomes even more complex, since risk perceptions between patients and treating physician can differ dramatically, as shown for the PML risk perception in the context of natalizumab. Thus, optimal assessment of risks and benefits remain challenging. However, withholding a potent therapy with proven efficacy on disease activity (see Fig. 16.6), prevention of disability, and improvement in quality of life can also cause harm to patients with a disabling disease, such as MS.</w:t>
            </w:r>
          </w:p>
        </w:tc>
        <w:tc>
          <w:tcPr>
            <w:tcW w:type="dxa" w:w="1511"/>
            <w:shd w:fill="FFFFFF"/>
          </w:tcPr>
          <w:p>
            <w:r>
              <w:rPr>
                <w:rFonts w:ascii="Arial" w:hAnsi="Arial"/>
                <w:color w:val="000000"/>
                <w:sz w:val="18"/>
              </w:rPr>
              <w:t>Randomized Controlled Trial (Phase III clinical trials)</w:t>
            </w:r>
          </w:p>
        </w:tc>
        <w:tc>
          <w:tcPr>
            <w:tcW w:type="dxa" w:w="1511"/>
            <w:shd w:fill="FFFFFF"/>
          </w:tcPr>
          <w:p>
            <w:r>
              <w:rPr>
                <w:rFonts w:ascii="Arial" w:hAnsi="Arial"/>
                <w:color w:val="000000"/>
                <w:sz w:val="18"/>
              </w:rPr>
              <w:t>Patients with relapsing forms of Multiple Sclerosis (MS)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 or interferon beta1a (IFNβ1a)</w:t>
            </w:r>
          </w:p>
        </w:tc>
        <w:tc>
          <w:tcPr>
            <w:tcW w:type="dxa" w:w="1511"/>
            <w:shd w:fill="FFFFFF"/>
          </w:tcPr>
          <w:p>
            <w:r>
              <w:rPr>
                <w:rFonts w:ascii="Arial" w:hAnsi="Arial"/>
                <w:color w:val="000000"/>
                <w:sz w:val="18"/>
              </w:rPr>
              <w:t>Relapse rate, disability progression (measured by Expanded Disability Status Scale - EDSS), magnetic resonance imaging (MRI) outcomes (gadolinium-enhancing lesions, new or new enlarging T2 lesions), and no evidence of disease activity (NEDA)</w:t>
            </w:r>
          </w:p>
        </w:tc>
        <w:tc>
          <w:tcPr>
            <w:tcW w:type="dxa" w:w="1511"/>
            <w:shd w:fill="FFFFFF"/>
          </w:tcPr>
          <w:p>
            <w:r>
              <w:rPr>
                <w:rFonts w:ascii="Arial" w:hAnsi="Arial"/>
                <w:color w:val="000000"/>
                <w:sz w:val="18"/>
              </w:rPr>
              <w:t>In the AFFIRM trial, natalizumab reduced relapse rate by 68% and confirmed disability progression by 42% compared to placebo; MRI showed &gt;90% reduction in gadolinium-enhancing lesions. The SENTINEL trial found a 53% reduction in relapse rate and 89%/83% reductions in gadolinium-enhancing lesions/new T2 lesions compared to IFNβ1a alone. Over 37% of natalizumab-treated patients achieved no evidence of disease activity (NEDA) vs. 7% in the placebo group. Real-world studies replicated these efficacy findings, with additional benefits like improved walking speed and fatigue. Safety concerns include PML risk, with two cases in SENTINEL; risk stratification via anti-JCV antibody testing and other biomarkers (e.g., lipid-specific IgM bands, L-selectin levels) is used. Pharmacovigilance emphasizes early diagnosis via MRI and CSF testing. In treatment algorithm, switching to natalizumab from IFNβ/GA reduces relapse rate and disability progression; stopping natalizumab may lead to disease reactiv...</w:t>
            </w:r>
          </w:p>
        </w:tc>
      </w:tr>
      <w:tr>
        <w:tc>
          <w:tcPr>
            <w:tcW w:type="dxa" w:w="1511"/>
            <w:shd w:fill="FFFFFF"/>
          </w:tcPr>
          <w:p>
            <w:r>
              <w:rPr>
                <w:rFonts w:ascii="Arial" w:hAnsi="Arial"/>
                <w:color w:val="000000"/>
                <w:sz w:val="18"/>
              </w:rPr>
              <w:t>Kleerekooper et al. - 2017 - Disease activity following pregnancy-related discontinuation of natalizumab in MS.pdf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Disease activity following pregnancy-related discontinuation of natalizumab in MS</w:t>
            </w:r>
          </w:p>
        </w:tc>
        <w:tc>
          <w:tcPr>
            <w:tcW w:type="dxa" w:w="1511"/>
            <w:shd w:fill="FFFFFF"/>
          </w:tcPr>
          <w:p>
            <w:r>
              <w:rPr>
                <w:rFonts w:ascii="Arial" w:hAnsi="Arial"/>
                <w:color w:val="000000"/>
                <w:sz w:val="18"/>
              </w:rPr>
              <w:t>Early conception after NTZ discontinuation is associated with a reduced risk of disease activity and disability progression. Continuation of NTZ treatment until confirmed pregnancy should be considered in patients with previously active MS. However, the advantages of continuing the drug until pregnancy should be balanced against the uncertainties in postnatal outcomes.</w:t>
            </w:r>
          </w:p>
        </w:tc>
        <w:tc>
          <w:tcPr>
            <w:tcW w:type="dxa" w:w="1511"/>
            <w:shd w:fill="FFFFFF"/>
          </w:tcPr>
          <w:p>
            <w:r>
              <w:rPr>
                <w:rFonts w:ascii="Arial" w:hAnsi="Arial"/>
                <w:color w:val="000000"/>
                <w:sz w:val="18"/>
              </w:rPr>
              <w:t>Retrospective cohort study</w:t>
            </w:r>
          </w:p>
        </w:tc>
        <w:tc>
          <w:tcPr>
            <w:tcW w:type="dxa" w:w="1511"/>
            <w:shd w:fill="FFFFFF"/>
          </w:tcPr>
          <w:p>
            <w:r>
              <w:rPr>
                <w:rFonts w:ascii="Arial" w:hAnsi="Arial"/>
                <w:color w:val="000000"/>
                <w:sz w:val="18"/>
              </w:rPr>
              <w:t>Patients with relapsing-remitting MS who discontinued natalizumab for pregnancy-related reasons</w:t>
            </w:r>
          </w:p>
        </w:tc>
        <w:tc>
          <w:tcPr>
            <w:tcW w:type="dxa" w:w="1511"/>
            <w:shd w:fill="FFFFFF"/>
          </w:tcPr>
          <w:p>
            <w:r>
              <w:rPr>
                <w:rFonts w:ascii="Arial" w:hAnsi="Arial"/>
                <w:color w:val="000000"/>
                <w:sz w:val="18"/>
              </w:rPr>
              <w:t>Discontinuation of natalizumab (NTZ)</w:t>
            </w:r>
          </w:p>
        </w:tc>
        <w:tc>
          <w:tcPr>
            <w:tcW w:type="dxa" w:w="1511"/>
            <w:shd w:fill="FFFFFF"/>
          </w:tcPr>
          <w:p>
            <w:r>
              <w:rPr>
                <w:rFonts w:ascii="Arial" w:hAnsi="Arial"/>
                <w:color w:val="000000"/>
                <w:sz w:val="18"/>
              </w:rPr>
              <w:t>Different time intervals to conception after NTZ discontinuation (e.g., conception within 6 months vs. not within 6 months)</w:t>
            </w:r>
          </w:p>
        </w:tc>
        <w:tc>
          <w:tcPr>
            <w:tcW w:type="dxa" w:w="1511"/>
            <w:shd w:fill="FFFFFF"/>
          </w:tcPr>
          <w:p>
            <w:r>
              <w:rPr>
                <w:rFonts w:ascii="Arial" w:hAnsi="Arial"/>
                <w:color w:val="000000"/>
                <w:sz w:val="18"/>
              </w:rPr>
              <w:t>Disease activity (clinical and radiologic relapses), disability progression (confirmed EDSS increase)</w:t>
            </w:r>
          </w:p>
        </w:tc>
        <w:tc>
          <w:tcPr>
            <w:tcW w:type="dxa" w:w="1511"/>
            <w:shd w:fill="FFFFFF"/>
          </w:tcPr>
          <w:p>
            <w:r>
              <w:rPr>
                <w:rFonts w:ascii="Arial" w:hAnsi="Arial"/>
                <w:color w:val="000000"/>
                <w:sz w:val="18"/>
              </w:rPr>
              <w:t>Twenty-two pregnancy-related NTZ discontinuations in 17 patients were evaluated. The median time to conception was 3.4 months. Relapses were more frequent in patients in whom conception did not occur within 6 months (p = 0.022). Confirmed disability progression occurred in 27.3% and was associated with time to conception (p &lt; 0.001).</w:t>
            </w:r>
          </w:p>
        </w:tc>
      </w:tr>
      <w:tr>
        <w:tc>
          <w:tcPr>
            <w:tcW w:type="dxa" w:w="1511"/>
            <w:shd w:fill="FFFFFF"/>
          </w:tcPr>
          <w:p>
            <w:r>
              <w:rPr>
                <w:rFonts w:ascii="Arial" w:hAnsi="Arial"/>
                <w:color w:val="000000"/>
                <w:sz w:val="18"/>
              </w:rPr>
              <w:t>Low_natalizumab_trough_concentrations_are_associat.pdf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Low natalizumab trough concentrations are associated with reduced seroconversion of the John Cunningham virus in natalizumab-treated patients with multiple sclerosis</w:t>
            </w:r>
          </w:p>
        </w:tc>
        <w:tc>
          <w:tcPr>
            <w:tcW w:type="dxa" w:w="1511"/>
            <w:shd w:fill="FFFFFF"/>
          </w:tcPr>
          <w:p>
            <w:r>
              <w:rPr>
                <w:rFonts w:ascii="Arial" w:hAnsi="Arial"/>
                <w:color w:val="000000"/>
                <w:sz w:val="18"/>
              </w:rPr>
              <w:t>The seroconversion rate observed in patients with MS with low trough concentrations was substantially lower compared with those with high trough concentrations during natalizumab treatment. This emphasises the importance of personalised EID, where intervals between infusions are prolonged to achieve lower natalizumab trough concentrations, to increase drug safety.</w:t>
            </w:r>
          </w:p>
        </w:tc>
        <w:tc>
          <w:tcPr>
            <w:tcW w:type="dxa" w:w="1511"/>
            <w:shd w:fill="FFFFFF"/>
          </w:tcPr>
          <w:p>
            <w:r>
              <w:rPr>
                <w:rFonts w:ascii="Arial" w:hAnsi="Arial"/>
                <w:color w:val="000000"/>
                <w:sz w:val="18"/>
              </w:rPr>
              <w:t>Cohort study</w:t>
            </w:r>
          </w:p>
        </w:tc>
        <w:tc>
          <w:tcPr>
            <w:tcW w:type="dxa" w:w="1511"/>
            <w:shd w:fill="FFFFFF"/>
          </w:tcPr>
          <w:p>
            <w:r>
              <w:rPr>
                <w:rFonts w:ascii="Arial" w:hAnsi="Arial"/>
                <w:color w:val="000000"/>
                <w:sz w:val="18"/>
              </w:rPr>
              <w:t>Patients with multiple sclerosis (MS) treated with natalizumab</w:t>
            </w:r>
          </w:p>
        </w:tc>
        <w:tc>
          <w:tcPr>
            <w:tcW w:type="dxa" w:w="1511"/>
            <w:shd w:fill="FFFFFF"/>
          </w:tcPr>
          <w:p>
            <w:r>
              <w:rPr>
                <w:rFonts w:ascii="Arial" w:hAnsi="Arial"/>
                <w:color w:val="000000"/>
                <w:sz w:val="18"/>
              </w:rPr>
              <w:t>Low natalizumab trough concentrations (achieved via extended interval dosing/EID)</w:t>
            </w:r>
          </w:p>
        </w:tc>
        <w:tc>
          <w:tcPr>
            <w:tcW w:type="dxa" w:w="1511"/>
            <w:shd w:fill="FFFFFF"/>
          </w:tcPr>
          <w:p>
            <w:r>
              <w:rPr>
                <w:rFonts w:ascii="Arial" w:hAnsi="Arial"/>
                <w:color w:val="000000"/>
                <w:sz w:val="18"/>
              </w:rPr>
              <w:t>High natalizumab trough concentrations (≥15 µg/mL) vs. low natalizumab trough concentrations (&lt;15 µg/mL)</w:t>
            </w:r>
          </w:p>
        </w:tc>
        <w:tc>
          <w:tcPr>
            <w:tcW w:type="dxa" w:w="1511"/>
            <w:shd w:fill="FFFFFF"/>
          </w:tcPr>
          <w:p>
            <w:r>
              <w:rPr>
                <w:rFonts w:ascii="Arial" w:hAnsi="Arial"/>
                <w:color w:val="000000"/>
                <w:sz w:val="18"/>
              </w:rPr>
              <w:t>JCV seroconversion rate</w:t>
            </w:r>
          </w:p>
        </w:tc>
        <w:tc>
          <w:tcPr>
            <w:tcW w:type="dxa" w:w="1511"/>
            <w:shd w:fill="FFFFFF"/>
          </w:tcPr>
          <w:p>
            <w:r>
              <w:rPr>
                <w:rFonts w:ascii="Arial" w:hAnsi="Arial"/>
                <w:color w:val="000000"/>
                <w:sz w:val="18"/>
              </w:rPr>
              <w:t>The annual seroconversion rate of 8.4% observed in patients during periods of high trough concentrations (n=226) was 2.32 times higher than the seroconversion rate of 4.8% in patients during periods of low trough concentrations (n=252) (95% CI=1.32 to 4.08, p=0.0035).</w:t>
            </w:r>
          </w:p>
        </w:tc>
      </w:tr>
      <w:tr>
        <w:tc>
          <w:tcPr>
            <w:tcW w:type="dxa" w:w="1511"/>
            <w:shd w:fill="FFFFFF"/>
          </w:tcPr>
          <w:p>
            <w:r>
              <w:rPr>
                <w:rFonts w:ascii="Arial" w:hAnsi="Arial"/>
                <w:color w:val="000000"/>
                <w:sz w:val="18"/>
              </w:rPr>
              <w:t>Magro et al. - 2023 - Natalizumab wearing-off symptoms effect of extend interval dosing during Sars-CoV-2 pandemic.pdf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wearing‑off symptoms: effect of extend interval dosing during Sars‑CoV‑2 pandemic</w:t>
            </w:r>
          </w:p>
        </w:tc>
        <w:tc>
          <w:tcPr>
            <w:tcW w:type="dxa" w:w="1511"/>
            <w:shd w:fill="FFFFFF"/>
          </w:tcPr>
          <w:p>
            <w:r>
              <w:rPr>
                <w:rFonts w:ascii="Arial" w:hAnsi="Arial"/>
                <w:color w:val="000000"/>
                <w:sz w:val="18"/>
              </w:rPr>
              <w:t>Adopting an extended interval dosing does not result in significantly different occurrence of WoS between the ExID and the StID populations, in our cohort of patients. Interestingly, there is a strong correlation between WoS and a higher EDSS and FSS. Safety and efficacy of Natalizumab with ExID are relatively preserved in our study.</w:t>
            </w:r>
          </w:p>
        </w:tc>
        <w:tc>
          <w:tcPr>
            <w:tcW w:type="dxa" w:w="1511"/>
            <w:shd w:fill="FFFFFF"/>
          </w:tcPr>
          <w:p>
            <w:r>
              <w:rPr>
                <w:rFonts w:ascii="Arial" w:hAnsi="Arial"/>
                <w:color w:val="000000"/>
                <w:sz w:val="18"/>
              </w:rPr>
              <w:t>Observational study</w:t>
            </w:r>
          </w:p>
        </w:tc>
        <w:tc>
          <w:tcPr>
            <w:tcW w:type="dxa" w:w="1511"/>
            <w:shd w:fill="FFFFFF"/>
          </w:tcPr>
          <w:p>
            <w:r>
              <w:rPr>
                <w:rFonts w:ascii="Arial" w:hAnsi="Arial"/>
                <w:color w:val="000000"/>
                <w:sz w:val="18"/>
              </w:rPr>
              <w:t>Multiple sclerosis patients treated with Natalizumab</w:t>
            </w:r>
          </w:p>
        </w:tc>
        <w:tc>
          <w:tcPr>
            <w:tcW w:type="dxa" w:w="1511"/>
            <w:shd w:fill="FFFFFF"/>
          </w:tcPr>
          <w:p>
            <w:r>
              <w:rPr>
                <w:rFonts w:ascii="Arial" w:hAnsi="Arial"/>
                <w:color w:val="000000"/>
                <w:sz w:val="18"/>
              </w:rPr>
              <w:t>Extended interval dosing (ExID of 5–6 weeks)</w:t>
            </w:r>
          </w:p>
        </w:tc>
        <w:tc>
          <w:tcPr>
            <w:tcW w:type="dxa" w:w="1511"/>
            <w:shd w:fill="FFFFFF"/>
          </w:tcPr>
          <w:p>
            <w:r>
              <w:rPr>
                <w:rFonts w:ascii="Arial" w:hAnsi="Arial"/>
                <w:color w:val="000000"/>
                <w:sz w:val="18"/>
              </w:rPr>
              <w:t>Standard interval dosing (StID of 4 weeks)</w:t>
            </w:r>
          </w:p>
        </w:tc>
        <w:tc>
          <w:tcPr>
            <w:tcW w:type="dxa" w:w="1511"/>
            <w:shd w:fill="FFFFFF"/>
          </w:tcPr>
          <w:p>
            <w:r>
              <w:rPr>
                <w:rFonts w:ascii="Arial" w:hAnsi="Arial"/>
                <w:color w:val="000000"/>
                <w:sz w:val="18"/>
              </w:rPr>
              <w:t>Wearing-off symptoms (WoS)</w:t>
            </w:r>
          </w:p>
        </w:tc>
        <w:tc>
          <w:tcPr>
            <w:tcW w:type="dxa" w:w="1511"/>
            <w:shd w:fill="FFFFFF"/>
          </w:tcPr>
          <w:p>
            <w:r>
              <w:rPr>
                <w:rFonts w:ascii="Arial" w:hAnsi="Arial"/>
                <w:color w:val="000000"/>
                <w:sz w:val="18"/>
              </w:rPr>
              <w:t>Among the 86 patients, 32 (37.2%) reported WoS. Most common one was fatigue (93.7%). Mean EDSS was higher in the group reporting WoS (3.8 WoS vs 3.1 non-WoS, p &lt; 0.05). Sphincterial function was the EDSS item that significantly differed between the WoS group and the non-WoS group (1.4 WoS vs 0.6 non-WoS, p &lt; 0.001). WoS correlate with the FSS scale (p &lt; 0.001). Adopting an extended interval dosing does not result in significantly different occurrence of WoS between the ExID and the StID populations, in our cohort of patients. Safety and efficacy of Natalizumab with ExID are relatively preserved in our study.</w:t>
            </w:r>
          </w:p>
        </w:tc>
      </w:tr>
      <w:tr>
        <w:tc>
          <w:tcPr>
            <w:tcW w:type="dxa" w:w="1511"/>
            <w:shd w:fill="FFFFFF"/>
          </w:tcPr>
          <w:p>
            <w:r>
              <w:rPr>
                <w:rFonts w:ascii="Arial" w:hAnsi="Arial"/>
                <w:color w:val="000000"/>
                <w:sz w:val="18"/>
              </w:rPr>
              <w:t>martinelli2016.pdf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Recurrent disease-activity rebound in a patient with multiple sclerosis after natalizumab discontinuations for pregnancy planning</w:t>
            </w:r>
          </w:p>
        </w:tc>
        <w:tc>
          <w:tcPr>
            <w:tcW w:type="dxa" w:w="1511"/>
            <w:shd w:fill="FFFFFF"/>
          </w:tcPr>
          <w:p>
            <w:r>
              <w:rPr>
                <w:rFonts w:ascii="Arial" w:hAnsi="Arial"/>
                <w:color w:val="000000"/>
                <w:sz w:val="18"/>
              </w:rPr>
              <w:t>The disease course after natalizumab discontinuation leads to recurrent disease-activity rebound, especially in pregnancy planning contexts; further studies are required to assess disease course after natalizumab discontinuation and to investigate alternative safe approaches for pregnancy planning.</w:t>
            </w:r>
          </w:p>
        </w:tc>
        <w:tc>
          <w:tcPr>
            <w:tcW w:type="dxa" w:w="1511"/>
            <w:shd w:fill="FFFFFF"/>
          </w:tcPr>
          <w:p>
            <w:r>
              <w:rPr>
                <w:rFonts w:ascii="Arial" w:hAnsi="Arial"/>
                <w:color w:val="000000"/>
                <w:sz w:val="18"/>
              </w:rPr>
              <w:t>Case Report</w:t>
            </w:r>
          </w:p>
        </w:tc>
        <w:tc>
          <w:tcPr>
            <w:tcW w:type="dxa" w:w="1511"/>
            <w:shd w:fill="FFFFFF"/>
          </w:tcPr>
          <w:p>
            <w:r>
              <w:rPr>
                <w:rFonts w:ascii="Arial" w:hAnsi="Arial"/>
                <w:color w:val="000000"/>
                <w:sz w:val="18"/>
              </w:rPr>
              <w:t>16-year-old woman with relapsing–remitting multiple sclerosis</w:t>
            </w:r>
          </w:p>
        </w:tc>
        <w:tc>
          <w:tcPr>
            <w:tcW w:type="dxa" w:w="1511"/>
            <w:shd w:fill="FFFFFF"/>
          </w:tcPr>
          <w:p>
            <w:r>
              <w:rPr>
                <w:rFonts w:ascii="Arial" w:hAnsi="Arial"/>
                <w:color w:val="000000"/>
                <w:sz w:val="18"/>
              </w:rPr>
              <w:t>Natalizumab discontinuation</w:t>
            </w:r>
          </w:p>
        </w:tc>
        <w:tc>
          <w:tcPr>
            <w:tcW w:type="dxa" w:w="1511"/>
            <w:shd w:fill="FFFFFF"/>
          </w:tcPr>
          <w:p>
            <w:r>
              <w:rPr>
                <w:rFonts w:ascii="Arial" w:hAnsi="Arial"/>
                <w:color w:val="000000"/>
                <w:sz w:val="18"/>
              </w:rPr>
              <w:t>Natalizumab discontinuation vs. continued natalizumab treatment</w:t>
            </w:r>
          </w:p>
        </w:tc>
        <w:tc>
          <w:tcPr>
            <w:tcW w:type="dxa" w:w="1511"/>
            <w:shd w:fill="FFFFFF"/>
          </w:tcPr>
          <w:p>
            <w:r>
              <w:rPr>
                <w:rFonts w:ascii="Arial" w:hAnsi="Arial"/>
                <w:color w:val="000000"/>
                <w:sz w:val="18"/>
              </w:rPr>
              <w:t>Recurrent disease-activity rebound (clinical and MRI relapses, increased EDSS) after natalizumab discontinuation</w:t>
            </w:r>
          </w:p>
        </w:tc>
        <w:tc>
          <w:tcPr>
            <w:tcW w:type="dxa" w:w="1511"/>
            <w:shd w:fill="FFFFFF"/>
          </w:tcPr>
          <w:p>
            <w:r>
              <w:rPr>
                <w:rFonts w:ascii="Arial" w:hAnsi="Arial"/>
                <w:color w:val="000000"/>
                <w:sz w:val="18"/>
              </w:rPr>
              <w:t>Recurrent clinical and MRI relapses with increased EDSS after natalizumab discontinuation for pregnancy planning; relapses resolved after resuming natalizumab treatment.</w:t>
            </w:r>
          </w:p>
        </w:tc>
      </w:tr>
      <w:tr>
        <w:tc>
          <w:tcPr>
            <w:tcW w:type="dxa" w:w="1511"/>
            <w:shd w:fill="FFFFFF"/>
          </w:tcPr>
          <w:p>
            <w:r>
              <w:rPr>
                <w:rFonts w:ascii="Arial" w:hAnsi="Arial"/>
                <w:color w:val="000000"/>
                <w:sz w:val="18"/>
              </w:rPr>
              <w:t>McQueen et al. - 2015 - Increased Relapse Activity for Multiple Sclerosis Natalizumab Users Who Become Nonpersistent A Retr.pdf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Increased Relapse Activity for Multiple Sclerosis Natalizumab Users Who Become Nonpersistent: A Retrospective Study</w:t>
            </w:r>
          </w:p>
        </w:tc>
        <w:tc>
          <w:tcPr>
            <w:tcW w:type="dxa" w:w="1511"/>
            <w:shd w:fill="FFFFFF"/>
          </w:tcPr>
          <w:p>
            <w:r>
              <w:rPr>
                <w:rFonts w:ascii="Arial" w:hAnsi="Arial"/>
                <w:color w:val="000000"/>
                <w:sz w:val="18"/>
              </w:rPr>
              <w:t>The results of this study suggest that real-world persistent natalizumab users who become nonpersistent have meaningful and statistically significant increases in annual relapses and relapse-related costs. Those who transition from nonpersistent to persistent have nonsignificant reductions in relapses and their associated costs.</w:t>
            </w:r>
          </w:p>
        </w:tc>
        <w:tc>
          <w:tcPr>
            <w:tcW w:type="dxa" w:w="1511"/>
            <w:shd w:fill="FFFFFF"/>
          </w:tcPr>
          <w:p>
            <w:r>
              <w:rPr>
                <w:rFonts w:ascii="Arial" w:hAnsi="Arial"/>
                <w:color w:val="000000"/>
                <w:sz w:val="18"/>
              </w:rPr>
              <w:t>Retrospective Study</w:t>
            </w:r>
          </w:p>
        </w:tc>
        <w:tc>
          <w:tcPr>
            <w:tcW w:type="dxa" w:w="1511"/>
            <w:shd w:fill="FFFFFF"/>
          </w:tcPr>
          <w:p>
            <w:r>
              <w:rPr>
                <w:rFonts w:ascii="Arial" w:hAnsi="Arial"/>
                <w:color w:val="000000"/>
                <w:sz w:val="18"/>
              </w:rPr>
              <w:t>Multiple Sclerosis (MS) patients who initiated natalizumab, with at least 2 years of follow-up in a U.S. commercially insured population</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Persistent vs nonpersistent use of natalizumab</w:t>
            </w:r>
          </w:p>
        </w:tc>
        <w:tc>
          <w:tcPr>
            <w:tcW w:type="dxa" w:w="1511"/>
            <w:shd w:fill="FFFFFF"/>
          </w:tcPr>
          <w:p>
            <w:r>
              <w:rPr>
                <w:rFonts w:ascii="Arial" w:hAnsi="Arial"/>
                <w:color w:val="000000"/>
                <w:sz w:val="18"/>
              </w:rPr>
              <w:t>Relapse rate and relapse-related costs</w:t>
            </w:r>
          </w:p>
        </w:tc>
        <w:tc>
          <w:tcPr>
            <w:tcW w:type="dxa" w:w="1511"/>
            <w:shd w:fill="FFFFFF"/>
          </w:tcPr>
          <w:p>
            <w:r>
              <w:rPr>
                <w:rFonts w:ascii="Arial" w:hAnsi="Arial"/>
                <w:color w:val="000000"/>
                <w:sz w:val="18"/>
              </w:rPr>
              <w:t>Persistent to nonpersistent treatment patterns were associated with a mean relapse-rate increase of 0.23 (95% CI = 0.12, 0.35) and a mean increase in relapse-related costs of $1,346 (95% CI = $97, $2,595). Nonpersistent to persistent treatment patterns were associated with a mean relapse-rate decrease of -0.15 (95% CI = -0.32, 0.017) and a mean decrease in relapse-related costs of -$1,369 (95% CI = -$2,761, $23).</w:t>
            </w:r>
          </w:p>
        </w:tc>
      </w:tr>
      <w:tr>
        <w:tc>
          <w:tcPr>
            <w:tcW w:type="dxa" w:w="1511"/>
            <w:shd w:fill="FFFFFF"/>
          </w:tcPr>
          <w:p>
            <w:r>
              <w:rPr>
                <w:rFonts w:ascii="Arial" w:hAnsi="Arial"/>
                <w:color w:val="000000"/>
                <w:sz w:val="18"/>
              </w:rPr>
              <w:t>Melis et al. - 2014 - Post-natalizumab clinical and radiological findings in a cohort of multiple sclerosis patients 12-m.pdf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Post-natalizumab clinical and radiological findings in a cohort of multiple sclerosis patients: 12-month follow-up</w:t>
            </w:r>
          </w:p>
        </w:tc>
        <w:tc>
          <w:tcPr>
            <w:tcW w:type="dxa" w:w="1511"/>
            <w:shd w:fill="FFFFFF"/>
          </w:tcPr>
          <w:p>
            <w:r>
              <w:rPr>
                <w:rFonts w:ascii="Arial" w:hAnsi="Arial"/>
                <w:color w:val="000000"/>
                <w:sz w:val="18"/>
              </w:rPr>
              <w:t>a 'rebound' pattern was not identified in our cohort, though the disease activity rapidly returned after natalizumab suspension, regardless of the treatment used; disease activity never raised over pre-N levels, and strategies to prevent loss of natalizumab benefits are needed.</w:t>
            </w:r>
          </w:p>
        </w:tc>
        <w:tc>
          <w:tcPr>
            <w:tcW w:type="dxa" w:w="1511"/>
            <w:shd w:fill="FFFFFF"/>
          </w:tcPr>
          <w:p>
            <w:r>
              <w:rPr>
                <w:rFonts w:ascii="Arial" w:hAnsi="Arial"/>
                <w:color w:val="000000"/>
                <w:sz w:val="18"/>
              </w:rPr>
              <w:t>Observational and Retrospective Study</w:t>
            </w:r>
          </w:p>
        </w:tc>
        <w:tc>
          <w:tcPr>
            <w:tcW w:type="dxa" w:w="1511"/>
            <w:shd w:fill="FFFFFF"/>
          </w:tcPr>
          <w:p>
            <w:r>
              <w:rPr>
                <w:rFonts w:ascii="Arial" w:hAnsi="Arial"/>
                <w:color w:val="000000"/>
                <w:sz w:val="18"/>
              </w:rPr>
              <w:t>a cohort of multiple sclerosis patients previously treated with natalizumab</w:t>
            </w:r>
          </w:p>
        </w:tc>
        <w:tc>
          <w:tcPr>
            <w:tcW w:type="dxa" w:w="1511"/>
            <w:shd w:fill="FFFFFF"/>
          </w:tcPr>
          <w:p>
            <w:r>
              <w:rPr>
                <w:rFonts w:ascii="Arial" w:hAnsi="Arial"/>
                <w:color w:val="000000"/>
                <w:sz w:val="18"/>
              </w:rPr>
              <w:t>Natalizumab suspension (post-natalizumab period)</w:t>
            </w:r>
          </w:p>
        </w:tc>
        <w:tc>
          <w:tcPr>
            <w:tcW w:type="dxa" w:w="1511"/>
            <w:shd w:fill="FFFFFF"/>
          </w:tcPr>
          <w:p>
            <w:r>
              <w:rPr>
                <w:rFonts w:ascii="Arial" w:hAnsi="Arial"/>
                <w:color w:val="000000"/>
                <w:sz w:val="18"/>
              </w:rPr>
              <w:t>Comparison of clinical and radiological outcomes across pre-natalizumab, on-natalizumab, and post-natalizumab periods, and among different post-natalizumab treatment strategies (restarted natalizumab, other immunomodulatory/immunosuppressive drugs, no treatment).</w:t>
            </w:r>
          </w:p>
        </w:tc>
        <w:tc>
          <w:tcPr>
            <w:tcW w:type="dxa" w:w="1511"/>
            <w:shd w:fill="FFFFFF"/>
          </w:tcPr>
          <w:p>
            <w:r>
              <w:rPr>
                <w:rFonts w:ascii="Arial" w:hAnsi="Arial"/>
                <w:color w:val="000000"/>
                <w:sz w:val="18"/>
              </w:rPr>
              <w:t>Clinical and radiological disease activity measures including annualized relapse rate (ARR), expanded disability status scale (EDSS), new T2 lesions, and gadolinium-enhancing T1 lesions.</w:t>
            </w:r>
          </w:p>
        </w:tc>
        <w:tc>
          <w:tcPr>
            <w:tcW w:type="dxa" w:w="1511"/>
            <w:shd w:fill="FFFFFF"/>
          </w:tcPr>
          <w:p>
            <w:r>
              <w:rPr>
                <w:rFonts w:ascii="Arial" w:hAnsi="Arial"/>
                <w:color w:val="000000"/>
                <w:sz w:val="18"/>
              </w:rPr>
              <w:t>Clinical outcomes: ARR decreased during natalizumab treatment (pre-N: 1.74 vs on-N: 0.21) and increased after suspension (post-N: 0.94) but remained below pre-N levels; EDSS improved during treatment (pre-N median 3.00 vs on-N 2.25) and increased post-N (2.75) but not above pre-N. Radiological outcomes: New T2 lesions and Gd+ T1 lesions occurred earlier post-N compared to on-N; mean time to freedom from new lesions was shorter post-N. Disease-free rate was 29.6% in post-N.</w:t>
            </w:r>
          </w:p>
        </w:tc>
      </w:tr>
      <w:tr>
        <w:tc>
          <w:tcPr>
            <w:tcW w:type="dxa" w:w="1511"/>
            <w:shd w:fill="FFFFFF"/>
          </w:tcPr>
          <w:p>
            <w:r>
              <w:rPr>
                <w:rFonts w:ascii="Arial" w:hAnsi="Arial"/>
                <w:color w:val="000000"/>
                <w:sz w:val="18"/>
              </w:rPr>
              <w:t>Monschein et al. - 2023 - Real-world use of natalizumab in Austria data from the Austrian Multiple Sclerosis Treatment Regist.pdf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Real‑world use of natalizumab in Austria: data from the Austrian Multiple Sclerosis Treatment Registry (AMSTR)</w:t>
            </w:r>
          </w:p>
        </w:tc>
        <w:tc>
          <w:tcPr>
            <w:tcW w:type="dxa" w:w="1511"/>
            <w:shd w:fill="FFFFFF"/>
          </w:tcPr>
          <w:p>
            <w:r>
              <w:rPr>
                <w:rFonts w:ascii="Arial" w:hAnsi="Arial"/>
                <w:color w:val="000000"/>
                <w:sz w:val="18"/>
              </w:rPr>
              <w:t>In line with real world data available so far, we confirm in a nationwide Austrian registry study the high effectiveness as well as the long-term safety of NTZ in highly active RRMS patients. In particular, no new safety issues including PML numbers occurred, which is in line with international surveillance programmes [7, 11–13]. Our data, therefore, support the use of NTZ as a first line therapy in active RRMS patients due to its excellent benefit-risk-profile, with JCV-seroconversion being the only major limitation in the long-term use of NTZ.</w:t>
            </w:r>
          </w:p>
        </w:tc>
        <w:tc>
          <w:tcPr>
            <w:tcW w:type="dxa" w:w="1511"/>
            <w:shd w:fill="FFFFFF"/>
          </w:tcPr>
          <w:p>
            <w:r>
              <w:rPr>
                <w:rFonts w:ascii="Arial" w:hAnsi="Arial"/>
                <w:color w:val="000000"/>
                <w:sz w:val="18"/>
              </w:rPr>
              <w:t>Observational study (registry-based)</w:t>
            </w:r>
          </w:p>
        </w:tc>
        <w:tc>
          <w:tcPr>
            <w:tcW w:type="dxa" w:w="1511"/>
            <w:shd w:fill="FFFFFF"/>
          </w:tcPr>
          <w:p>
            <w:r>
              <w:rPr>
                <w:rFonts w:ascii="Arial" w:hAnsi="Arial"/>
                <w:color w:val="000000"/>
                <w:sz w:val="18"/>
              </w:rPr>
              <w:t>Patients with relapsing-remitting multiple sclerosis (RRMS) treated with natalizumab in Austria</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Effectiveness (annualized relapse rate, Expanded Disability Status Scale progression) and safety (adverse events, PML, JCV seropositivity)</w:t>
            </w:r>
          </w:p>
        </w:tc>
        <w:tc>
          <w:tcPr>
            <w:tcW w:type="dxa" w:w="1511"/>
            <w:shd w:fill="FFFFFF"/>
          </w:tcPr>
          <w:p>
            <w:r>
              <w:rPr>
                <w:rFonts w:ascii="Arial" w:hAnsi="Arial"/>
                <w:color w:val="000000"/>
                <w:sz w:val="18"/>
              </w:rPr>
              <w:t>A total of 1596 natalizumab patients (71% women, n = 1133) were included... The mean ARR was 2.0 (SD = 1.13) at baseline, decreasing to 0.16 after 1 year and 0.01 after 10 years. A total of 325 patients (21.6%) converted to secondary progressive multiple sclerosis (SPMS) during the observational period. Of 1502 patients, 1297 (86.4%) reported no adverse events (AE) during follow-up visits. The most common reported AEs were infections and infusion-related reactions. John Cunningham virus (JCV) seropositivity was the most common specified reason for treatment discontinuation (53.7%, n = 607). There were five confirmed cases of Progressive Multifocal Leukoencephalopathy (PML) with 1 death.</w:t>
            </w:r>
          </w:p>
        </w:tc>
      </w:tr>
      <w:tr>
        <w:tc>
          <w:tcPr>
            <w:tcW w:type="dxa" w:w="1511"/>
            <w:shd w:fill="FFFFFF"/>
          </w:tcPr>
          <w:p>
            <w:r>
              <w:rPr>
                <w:rFonts w:ascii="Arial" w:hAnsi="Arial"/>
                <w:color w:val="000000"/>
                <w:sz w:val="18"/>
              </w:rPr>
              <w:t>Nakamura et al. - 2024 - Natalizumab reduces loss of gray matter and thalamic volume in patients with relapsing-remitting mul.pdf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reduces loss of gray matter and thalamic volume in patients with relapsing-remitting multiple sclerosis: A post hoc analysis from the randomized, placebo-controlled AFFIRM trial</w:t>
            </w:r>
          </w:p>
        </w:tc>
        <w:tc>
          <w:tcPr>
            <w:tcW w:type="dxa" w:w="1511"/>
            <w:shd w:fill="FFFFFF"/>
          </w:tcPr>
          <w:p>
            <w:r>
              <w:rPr>
                <w:rFonts w:ascii="Arial" w:hAnsi="Arial"/>
                <w:color w:val="000000"/>
                <w:sz w:val="18"/>
              </w:rPr>
              <w:t>These analyses represent the first placebo-controlled evidence supporting a role for natalizumab treatment in mitigating gray matter and thalamic fraction atrophy among patients with RRMS.</w:t>
            </w:r>
          </w:p>
        </w:tc>
        <w:tc>
          <w:tcPr>
            <w:tcW w:type="dxa" w:w="1511"/>
            <w:shd w:fill="FFFFFF"/>
          </w:tcPr>
          <w:p>
            <w:r>
              <w:rPr>
                <w:rFonts w:ascii="Arial" w:hAnsi="Arial"/>
                <w:color w:val="000000"/>
                <w:sz w:val="18"/>
              </w:rPr>
              <w:t>Post hoc analysis from a randomized, placebo-controlled trial</w:t>
            </w:r>
          </w:p>
        </w:tc>
        <w:tc>
          <w:tcPr>
            <w:tcW w:type="dxa" w:w="1511"/>
            <w:shd w:fill="FFFFFF"/>
          </w:tcPr>
          <w:p>
            <w:r>
              <w:rPr>
                <w:rFonts w:ascii="Arial" w:hAnsi="Arial"/>
                <w:color w:val="000000"/>
                <w:sz w:val="18"/>
              </w:rPr>
              <w:t>Patients with relapsing-remitting multiple sclerosis (RRMS)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Effect on gray matter and thalamic atrophy (volume loss)</w:t>
            </w:r>
          </w:p>
        </w:tc>
        <w:tc>
          <w:tcPr>
            <w:tcW w:type="dxa" w:w="1511"/>
            <w:shd w:fill="FFFFFF"/>
          </w:tcPr>
          <w:p>
            <w:r>
              <w:rPr>
                <w:rFonts w:ascii="Arial" w:hAnsi="Arial"/>
                <w:color w:val="000000"/>
                <w:sz w:val="18"/>
              </w:rPr>
              <w:t>This post hoc analysis identified a reduction of 64.3% (p = 0.0044) and 64.3% (p = 0.0030) in mean percentage gray matter volume loss from baseline at treatment years 1 and 2, respectively, in patients treated with natalizumab versus placebo. The reduction in thalamic fraction volume loss from baseline with natalizumab versus placebo was 57.0% at year 2 (p &lt; 0.0001) and 41.2% at year 1 (p = 0.0147). Similar findings resulted from analyses of absolute gray matter and thalamic fraction volume loss.</w:t>
            </w:r>
          </w:p>
        </w:tc>
      </w:tr>
      <w:tr>
        <w:tc>
          <w:tcPr>
            <w:tcW w:type="dxa" w:w="1511"/>
            <w:shd w:fill="FFFFFF"/>
          </w:tcPr>
          <w:p>
            <w:r>
              <w:rPr>
                <w:rFonts w:ascii="Arial" w:hAnsi="Arial"/>
                <w:color w:val="000000"/>
                <w:sz w:val="18"/>
              </w:rPr>
              <w:t>Natalizumab related progressive multifocal leukoencephalopathy.pdf</w:t>
            </w:r>
          </w:p>
        </w:tc>
        <w:tc>
          <w:tcPr>
            <w:tcW w:type="dxa" w:w="1511"/>
            <w:shd w:fill="FFFFFF"/>
          </w:tcPr>
          <w:p>
            <w:r>
              <w:rPr>
                <w:rFonts w:ascii="Arial" w:hAnsi="Arial"/>
                <w:color w:val="000000"/>
                <w:sz w:val="18"/>
              </w:rPr>
              <w:t>0.8</w:t>
            </w:r>
          </w:p>
        </w:tc>
        <w:tc>
          <w:tcPr>
            <w:tcW w:type="dxa" w:w="1511"/>
            <w:shd w:fill="FFFFFF"/>
          </w:tcPr>
          <w:p>
            <w:r>
              <w:rPr>
                <w:rFonts w:ascii="Arial" w:hAnsi="Arial"/>
                <w:color w:val="000000"/>
                <w:sz w:val="18"/>
              </w:rPr>
              <w:t>Natalizumab related progressive multifocal leukoencephalopathy</w:t>
            </w:r>
          </w:p>
        </w:tc>
        <w:tc>
          <w:tcPr>
            <w:tcW w:type="dxa" w:w="1511"/>
            <w:shd w:fill="FFFFFF"/>
          </w:tcPr>
          <w:p>
            <w:r>
              <w:rPr>
                <w:rFonts w:ascii="Arial" w:hAnsi="Arial"/>
                <w:color w:val="000000"/>
                <w:sz w:val="18"/>
              </w:rPr>
              <w:t>In the absence of an effective treatment for PML, early detection of the disease in patients with multiple sclerosis receiving natalizumab or other immunomodulatory treatments is vital to minimize CNS injury and avoid severe disability. Frequent MRI, stratified along a clinical and virus-specific immune risk profile, can be used to detect presymptomatic PML. Improved approaches to PML risk stratification, optimal drug dosing are needed to guide treatment choices and surveillance of patients.</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Patients with multiple sclerosis treated with natalizumab</w:t>
            </w:r>
          </w:p>
        </w:tc>
        <w:tc>
          <w:tcPr>
            <w:tcW w:type="dxa" w:w="1511"/>
            <w:shd w:fill="FFFFFF"/>
          </w:tcPr>
          <w:p>
            <w:r>
              <w:rPr>
                <w:rFonts w:ascii="Arial" w:hAnsi="Arial"/>
                <w:color w:val="000000"/>
                <w:sz w:val="18"/>
              </w:rPr>
              <w:t>Natalizumab (a humanized monoclonal antibody targeting α4 integrin on T cells)</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Incidence and risk factors of progressive multifocal leukoencephalopathy (PML)</w:t>
            </w:r>
          </w:p>
        </w:tc>
        <w:tc>
          <w:tcPr>
            <w:tcW w:type="dxa" w:w="1511"/>
            <w:shd w:fill="FFFFFF"/>
          </w:tcPr>
          <w:p>
            <w:r>
              <w:rPr>
                <w:rFonts w:ascii="Arial" w:hAnsi="Arial"/>
                <w:color w:val="000000"/>
                <w:sz w:val="18"/>
              </w:rPr>
              <w:t>Key findings include that natalizumab-related PML risk is increased by positive anti-JCV antibody status, prior immunosuppressive therapy, and duration of natalizumab therapy &gt;24 months; extended interval dosing reduces PML risk; and biomarkers like anti-JCV antibody index, L-selectin, and specific microRNAs are under investigation for risk stratification.</w:t>
            </w:r>
          </w:p>
        </w:tc>
      </w:tr>
      <w:tr>
        <w:tc>
          <w:tcPr>
            <w:tcW w:type="dxa" w:w="1511"/>
            <w:shd w:fill="FFFFFF"/>
          </w:tcPr>
          <w:p>
            <w:r>
              <w:rPr>
                <w:rFonts w:ascii="Arial" w:hAnsi="Arial"/>
                <w:color w:val="000000"/>
                <w:sz w:val="18"/>
              </w:rPr>
              <w:t>Natalizumab.pdf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Disease Progression in Pregnant Women with Relapsing–Remitting Multiple Sclerosis Treated with Fingolimod or Natalizumab Prior to Conception: A Systematic Review</w:t>
            </w:r>
          </w:p>
        </w:tc>
        <w:tc>
          <w:tcPr>
            <w:tcW w:type="dxa" w:w="1511"/>
            <w:shd w:fill="FFFFFF"/>
          </w:tcPr>
          <w:p>
            <w:r>
              <w:rPr>
                <w:rFonts w:ascii="Arial" w:hAnsi="Arial"/>
                <w:color w:val="000000"/>
                <w:sz w:val="18"/>
              </w:rPr>
              <w:t>First and foremost, we emphasize that all our findings are based on observational studies. In summary, our study identified a trend in which patients treated with fingolimod and natalizumab experienced a higher number of relapses during pregnancy compared to patients receiving other DMTs. Statistical analyses classified these patients as a high-risk group for relapses during pregnancy. Clinically, these observations underscore the need for more intensive monitoring, greater attention, and individualized clinical planning for this patient population. Importantly, continuing natalizumab into the later stages of pregnancy demonstrated a protective effect, suggesting a potential therapeutic strategy for these women. Additionally, we observed a trend toward reduced relapse rates during pregnancy, likely resulting from the Th1/Th2 immune shift and hormonal influences, findings that may eventually elucidate further aspects of the disease’s pathophysiology and suggest new therapeutic targets. ...</w:t>
            </w:r>
          </w:p>
        </w:tc>
        <w:tc>
          <w:tcPr>
            <w:tcW w:type="dxa" w:w="1511"/>
            <w:shd w:fill="FFFFFF"/>
          </w:tcPr>
          <w:p>
            <w:r>
              <w:rPr>
                <w:rFonts w:ascii="Arial" w:hAnsi="Arial"/>
                <w:color w:val="000000"/>
                <w:sz w:val="18"/>
              </w:rPr>
              <w:t>Systematic Review</w:t>
            </w:r>
          </w:p>
        </w:tc>
        <w:tc>
          <w:tcPr>
            <w:tcW w:type="dxa" w:w="1511"/>
            <w:shd w:fill="FFFFFF"/>
          </w:tcPr>
          <w:p>
            <w:r>
              <w:rPr>
                <w:rFonts w:ascii="Arial" w:hAnsi="Arial"/>
                <w:color w:val="000000"/>
                <w:sz w:val="18"/>
              </w:rPr>
              <w:t>Pregnant women with relapsing–remitting multiple sclerosis</w:t>
            </w:r>
          </w:p>
        </w:tc>
        <w:tc>
          <w:tcPr>
            <w:tcW w:type="dxa" w:w="1511"/>
            <w:shd w:fill="FFFFFF"/>
          </w:tcPr>
          <w:p>
            <w:r>
              <w:rPr>
                <w:rFonts w:ascii="Arial" w:hAnsi="Arial"/>
                <w:color w:val="000000"/>
                <w:sz w:val="18"/>
              </w:rPr>
              <w:t>Fingolimod or Natalizumab</w:t>
            </w:r>
          </w:p>
        </w:tc>
        <w:tc>
          <w:tcPr>
            <w:tcW w:type="dxa" w:w="1511"/>
            <w:shd w:fill="FFFFFF"/>
          </w:tcPr>
          <w:p>
            <w:r>
              <w:rPr>
                <w:rFonts w:ascii="Arial" w:hAnsi="Arial"/>
                <w:color w:val="000000"/>
                <w:sz w:val="18"/>
              </w:rPr>
              <w:t>Other disease-modifying therapies (e.g., interferon beta, glatiramer acetate, dimethyl fumarate)</w:t>
            </w:r>
          </w:p>
        </w:tc>
        <w:tc>
          <w:tcPr>
            <w:tcW w:type="dxa" w:w="1511"/>
            <w:shd w:fill="FFFFFF"/>
          </w:tcPr>
          <w:p>
            <w:r>
              <w:rPr>
                <w:rFonts w:ascii="Arial" w:hAnsi="Arial"/>
                <w:color w:val="000000"/>
                <w:sz w:val="18"/>
              </w:rPr>
              <w:t>Number of relapses during pregnancy and postpartum period</w:t>
            </w:r>
          </w:p>
        </w:tc>
        <w:tc>
          <w:tcPr>
            <w:tcW w:type="dxa" w:w="1511"/>
            <w:shd w:fill="FFFFFF"/>
          </w:tcPr>
          <w:p>
            <w:r>
              <w:rPr>
                <w:rFonts w:ascii="Arial" w:hAnsi="Arial"/>
                <w:color w:val="000000"/>
                <w:sz w:val="18"/>
              </w:rPr>
              <w:t>Our findings reveal a distinct pattern in disease activity: a reduction in relapses during pregnancy, particularly in the third trimester, followed by a significant surge postpartum. This trend is likely attributable to an immunological shift, marked by a Th2-dominant response, reduced pro-inflammatory cytokines, and increased estrogen and progesterone levels. Notably, patients who had been treated with natalizumab or fingolimod exhibited higher relapse rates compared to those who had used other DMTs. This may reflect a potential selection bias, as these therapies are often prescribed for patients with more severe diseases, who may inherently present with higher relapse rates regardless of treatment discontinuation. Natalizumab continuation into the second trimester is associated with safety and a reduction in relapse risk, whereas fingolimod, due to its teratogenic risk, must be discontinued before conception. Given the inherent postpartum increase in disease activity, individualized ...</w:t>
            </w:r>
          </w:p>
        </w:tc>
      </w:tr>
      <w:tr>
        <w:tc>
          <w:tcPr>
            <w:tcW w:type="dxa" w:w="1511"/>
            <w:shd w:fill="FFFFFF"/>
          </w:tcPr>
          <w:p>
            <w:r>
              <w:rPr>
                <w:rFonts w:ascii="Arial" w:hAnsi="Arial"/>
                <w:color w:val="000000"/>
                <w:sz w:val="18"/>
              </w:rPr>
              <w:t>Natalizumab_and_fumarate_treatment_differentially_.pdf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and fumarate treatment differentially modulate CD4+ T cell and B cell subtypes in multiple sclerosis patients without impacting durable COVID-19 vaccine responses</w:t>
            </w:r>
          </w:p>
        </w:tc>
        <w:tc>
          <w:tcPr>
            <w:tcW w:type="dxa" w:w="1511"/>
            <w:shd w:fill="FFFFFF"/>
          </w:tcPr>
          <w:p>
            <w:r>
              <w:rPr>
                <w:rFonts w:ascii="Arial" w:hAnsi="Arial"/>
                <w:color w:val="000000"/>
                <w:sz w:val="18"/>
              </w:rPr>
              <w:t>pwMS treated with natalizumab or fumarates exhibit similarly robust and durable SARS-CoV-2 specific T cell and humoral responses following vaccination and booster dose. DMT-treated pwMS showing comparable responses to healthy individuals following initial vaccination supports the notion that treatment with these specific DMTs does not diminish strong, long-lasting immunity conferred by COVID-19 vaccination, despite the phenotypic differences modulated by each therapy.</w:t>
            </w:r>
          </w:p>
        </w:tc>
        <w:tc>
          <w:tcPr>
            <w:tcW w:type="dxa" w:w="1511"/>
            <w:shd w:fill="FFFFFF"/>
          </w:tcPr>
          <w:p>
            <w:r>
              <w:rPr>
                <w:rFonts w:ascii="Arial" w:hAnsi="Arial"/>
                <w:color w:val="000000"/>
                <w:sz w:val="18"/>
              </w:rPr>
              <w:t>Original Research</w:t>
            </w:r>
          </w:p>
        </w:tc>
        <w:tc>
          <w:tcPr>
            <w:tcW w:type="dxa" w:w="1511"/>
            <w:shd w:fill="FFFFFF"/>
          </w:tcPr>
          <w:p>
            <w:r>
              <w:rPr>
                <w:rFonts w:ascii="Arial" w:hAnsi="Arial"/>
                <w:color w:val="000000"/>
                <w:sz w:val="18"/>
              </w:rPr>
              <w:t>Multiple sclerosis patients (pwMS) with Relapsing Remitting MS (RRMS) or Secondary Progressive MS (SPMS) receiving natalizumab or fumarate treatment</w:t>
            </w:r>
          </w:p>
        </w:tc>
        <w:tc>
          <w:tcPr>
            <w:tcW w:type="dxa" w:w="1511"/>
            <w:shd w:fill="FFFFFF"/>
          </w:tcPr>
          <w:p>
            <w:r>
              <w:rPr>
                <w:rFonts w:ascii="Arial" w:hAnsi="Arial"/>
                <w:color w:val="000000"/>
                <w:sz w:val="18"/>
              </w:rPr>
              <w:t>natalizumab or fumarate treatment</w:t>
            </w:r>
          </w:p>
        </w:tc>
        <w:tc>
          <w:tcPr>
            <w:tcW w:type="dxa" w:w="1511"/>
            <w:shd w:fill="FFFFFF"/>
          </w:tcPr>
          <w:p>
            <w:r>
              <w:rPr>
                <w:rFonts w:ascii="Arial" w:hAnsi="Arial"/>
                <w:color w:val="000000"/>
                <w:sz w:val="18"/>
              </w:rPr>
              <w:t>natalizumab vs. fumarate treatment</w:t>
            </w:r>
          </w:p>
        </w:tc>
        <w:tc>
          <w:tcPr>
            <w:tcW w:type="dxa" w:w="1511"/>
            <w:shd w:fill="FFFFFF"/>
          </w:tcPr>
          <w:p>
            <w:r>
              <w:rPr>
                <w:rFonts w:ascii="Arial" w:hAnsi="Arial"/>
                <w:color w:val="000000"/>
                <w:sz w:val="18"/>
              </w:rPr>
              <w:t>COVID-19 vaccine responses (SARS-CoV-2 specific T cell and humoral responses)</w:t>
            </w:r>
          </w:p>
        </w:tc>
        <w:tc>
          <w:tcPr>
            <w:tcW w:type="dxa" w:w="1511"/>
            <w:shd w:fill="FFFFFF"/>
          </w:tcPr>
          <w:p>
            <w:r>
              <w:rPr>
                <w:rFonts w:ascii="Arial" w:hAnsi="Arial"/>
                <w:color w:val="000000"/>
                <w:sz w:val="18"/>
              </w:rPr>
              <w:t>We observed a significantly increased absolute lymphocyte count (ALC) in natalizumab-treated pwMS when compared to fumarate-treated pwMS primarily due to increased circulating CD19+ B cells. Fumarate-treated pwMS exhibited a diminished Th1/Th2 ratio when compared to natalizumab-treated pwMS or healthy controls, while natalizumab treatment marginally increased the Th1/Th2 ratio compared to healthy controls. The observed increase in B cells in natalizumab-treated pwMS were predominantly memory B cells, and double negative (DN) B cells. However, no significant differences between the treatment groups were seen in terms of Spike IgG titers following the initial vaccination course or booster dose, nor in SARS-CoV-2-specific CD4+ responses, all of which remained robust for at least 6 months post-vaccination. The magnitude of humoral and cellular immune responses in both treatment groups were comparable to vaccinated healthy controls. Additionally, SARS-CoV-2 spike-specific CD4+ T cell phenot...</w:t>
            </w:r>
          </w:p>
        </w:tc>
      </w:tr>
      <w:tr>
        <w:tc>
          <w:tcPr>
            <w:tcW w:type="dxa" w:w="1511"/>
            <w:shd w:fill="FFFFFF"/>
          </w:tcPr>
          <w:p>
            <w:r>
              <w:rPr>
                <w:rFonts w:ascii="Arial" w:hAnsi="Arial"/>
                <w:color w:val="000000"/>
                <w:sz w:val="18"/>
              </w:rPr>
              <w:t>Natalizumab_Immunogenicity_in_Multiple_Sclerosis_E.pdf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Immunogenicity in Multiple Sclerosis: Evaluating Antibody Development and Clinical Outcomes in an Iraqi Cohort</w:t>
            </w:r>
          </w:p>
        </w:tc>
        <w:tc>
          <w:tcPr>
            <w:tcW w:type="dxa" w:w="1511"/>
            <w:shd w:fill="FFFFFF"/>
          </w:tcPr>
          <w:p>
            <w:r>
              <w:rPr>
                <w:rFonts w:ascii="Arial" w:hAnsi="Arial"/>
                <w:color w:val="000000"/>
                <w:sz w:val="18"/>
              </w:rPr>
              <w:t>Anti-natalizumab antibodies were prevalent in MS patients, although their existence had no meaningful correlation with clinical outcome. There was no link between disease activity and antibody production.</w:t>
            </w:r>
          </w:p>
        </w:tc>
        <w:tc>
          <w:tcPr>
            <w:tcW w:type="dxa" w:w="1511"/>
            <w:shd w:fill="FFFFFF"/>
          </w:tcPr>
          <w:p>
            <w:r>
              <w:rPr>
                <w:rFonts w:ascii="Arial" w:hAnsi="Arial"/>
                <w:color w:val="000000"/>
                <w:sz w:val="18"/>
              </w:rPr>
              <w:t>Cross-sectional</w:t>
            </w:r>
          </w:p>
        </w:tc>
        <w:tc>
          <w:tcPr>
            <w:tcW w:type="dxa" w:w="1511"/>
            <w:shd w:fill="FFFFFF"/>
          </w:tcPr>
          <w:p>
            <w:r>
              <w:rPr>
                <w:rFonts w:ascii="Arial" w:hAnsi="Arial"/>
                <w:color w:val="000000"/>
                <w:sz w:val="18"/>
              </w:rPr>
              <w:t>Multiple Sclerosis patients (80 patients diagnosed with multiple sclerosis, treated with natalizumab in Iraq)</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ANA-positive vs ANA-negative groups</w:t>
            </w:r>
          </w:p>
        </w:tc>
        <w:tc>
          <w:tcPr>
            <w:tcW w:type="dxa" w:w="1511"/>
            <w:shd w:fill="FFFFFF"/>
          </w:tcPr>
          <w:p>
            <w:r>
              <w:rPr>
                <w:rFonts w:ascii="Arial" w:hAnsi="Arial"/>
                <w:color w:val="000000"/>
                <w:sz w:val="18"/>
              </w:rPr>
              <w:t>Clinical outcomes (disease activity, EDSS progression, treatment efficacy)</w:t>
            </w:r>
          </w:p>
        </w:tc>
        <w:tc>
          <w:tcPr>
            <w:tcW w:type="dxa" w:w="1511"/>
            <w:shd w:fill="FFFFFF"/>
          </w:tcPr>
          <w:p>
            <w:r>
              <w:rPr>
                <w:rFonts w:ascii="Arial" w:hAnsi="Arial"/>
                <w:color w:val="000000"/>
                <w:sz w:val="18"/>
              </w:rPr>
              <w:t>ANA were detected in 25 individuals (31.25%, 95% CI: 21.4–42.3%). 86% of participants showed ANA during the first 18 months of therapy, with a median time of 14.5 months (IQR: 8.2-22.1 months). Active disease was reported in 33(41.2%) of the 80 participants. There was no significant relationship between ANA levels and disease activity (p=0.927). The mean EDSS scores didn't differ between groups (ANA-positive: 3.70 vs. ANA-negative: 3.96; p=0.576). The ANA-positive cohorts showed reduced EDSS progression (1.58) compared to those with ANA-negative (2.03), although this difference was not statistically significant (p=0.517).</w:t>
            </w:r>
          </w:p>
        </w:tc>
      </w:tr>
      <w:tr>
        <w:tc>
          <w:tcPr>
            <w:tcW w:type="dxa" w:w="1511"/>
            <w:shd w:fill="FFFFFF"/>
          </w:tcPr>
          <w:p>
            <w:r>
              <w:rPr>
                <w:rFonts w:ascii="Arial" w:hAnsi="Arial"/>
                <w:color w:val="000000"/>
                <w:sz w:val="18"/>
              </w:rPr>
              <w:t>Natalizumab_in_cerebrospinal_fluid_and_breastmilk_.pdf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in cerebrospinal fluid and breastmilk of patients with multiple sclerosis</w:t>
            </w:r>
          </w:p>
        </w:tc>
        <w:tc>
          <w:tcPr>
            <w:tcW w:type="dxa" w:w="1511"/>
            <w:shd w:fill="FFFFFF"/>
          </w:tcPr>
          <w:p>
            <w:r>
              <w:rPr>
                <w:rFonts w:ascii="Arial" w:hAnsi="Arial"/>
                <w:color w:val="000000"/>
                <w:sz w:val="18"/>
              </w:rPr>
              <w:t>Routine use of such an assay would enable a better understanding of the safety of therapeutic antibody administration during pregnancy and lactation.</w:t>
            </w:r>
          </w:p>
        </w:tc>
        <w:tc>
          <w:tcPr>
            <w:tcW w:type="dxa" w:w="1511"/>
            <w:shd w:fill="FFFFFF"/>
          </w:tcPr>
          <w:p>
            <w:r>
              <w:rPr>
                <w:rFonts w:ascii="Arial" w:hAnsi="Arial"/>
                <w:color w:val="000000"/>
                <w:sz w:val="18"/>
              </w:rPr>
              <w:t>Original Research</w:t>
            </w:r>
          </w:p>
        </w:tc>
        <w:tc>
          <w:tcPr>
            <w:tcW w:type="dxa" w:w="1511"/>
            <w:shd w:fill="FFFFFF"/>
          </w:tcPr>
          <w:p>
            <w:r>
              <w:rPr>
                <w:rFonts w:ascii="Arial" w:hAnsi="Arial"/>
                <w:color w:val="000000"/>
                <w:sz w:val="18"/>
              </w:rPr>
              <w:t>Patients with multiple sclerosis (MS), including those in CSF cohorts and a breastfeeding RRMS patient</w:t>
            </w:r>
          </w:p>
        </w:tc>
        <w:tc>
          <w:tcPr>
            <w:tcW w:type="dxa" w:w="1511"/>
            <w:shd w:fill="FFFFFF"/>
          </w:tcPr>
          <w:p>
            <w:r>
              <w:rPr>
                <w:rFonts w:ascii="Arial" w:hAnsi="Arial"/>
                <w:color w:val="000000"/>
                <w:sz w:val="18"/>
              </w:rPr>
              <w:t>Natalizumab treatment for multiple sclerosis</w:t>
            </w:r>
          </w:p>
        </w:tc>
        <w:tc>
          <w:tcPr>
            <w:tcW w:type="dxa" w:w="1511"/>
            <w:shd w:fill="FFFFFF"/>
          </w:tcPr>
          <w:p>
            <w:r>
              <w:rPr>
                <w:rFonts w:ascii="Arial" w:hAnsi="Arial"/>
                <w:color w:val="000000"/>
                <w:sz w:val="18"/>
              </w:rPr>
              <w:t>Comparison of natalizumab levels in CSF, serum, and breastmilk between natalizumab-treated MS patients and untreated controls, and longitudinal changes over time</w:t>
            </w:r>
          </w:p>
        </w:tc>
        <w:tc>
          <w:tcPr>
            <w:tcW w:type="dxa" w:w="1511"/>
            <w:shd w:fill="FFFFFF"/>
          </w:tcPr>
          <w:p>
            <w:r>
              <w:rPr>
                <w:rFonts w:ascii="Arial" w:hAnsi="Arial"/>
                <w:color w:val="000000"/>
                <w:sz w:val="18"/>
              </w:rPr>
              <w:t>Detection and quantification of natalizumab in CSF, serum, and breastmilk, including concentration levels, peak times, and relative infant dose (RID).</w:t>
            </w:r>
          </w:p>
        </w:tc>
        <w:tc>
          <w:tcPr>
            <w:tcW w:type="dxa" w:w="1511"/>
            <w:shd w:fill="FFFFFF"/>
          </w:tcPr>
          <w:p>
            <w:r>
              <w:rPr>
                <w:rFonts w:ascii="Arial" w:hAnsi="Arial"/>
                <w:color w:val="000000"/>
                <w:sz w:val="18"/>
              </w:rPr>
              <w:t>Free natalizumab was detected in CSF (average 63.6 ± 32.1 ng/ml), serum, and breastmilk (peak 878 ng/ml, average 173.3 ng/ml over 180 days). The assay had a lower detection limit of 1.5 ng/ml, and neutralizing antibodies inhibited binding. RID was 1.1%, below the 10% safety threshold.</w:t>
            </w:r>
          </w:p>
        </w:tc>
      </w:tr>
      <w:tr>
        <w:tc>
          <w:tcPr>
            <w:tcW w:type="dxa" w:w="1511"/>
            <w:shd w:fill="FFFFFF"/>
          </w:tcPr>
          <w:p>
            <w:r>
              <w:rPr>
                <w:rFonts w:ascii="Arial" w:hAnsi="Arial"/>
                <w:color w:val="000000"/>
                <w:sz w:val="18"/>
              </w:rPr>
              <w:t>Natalizumab_promotes_anti-inflammatory_and_repair_.pdf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promotes anti-inflammatory and repair effects in multiple sclerosis</w:t>
            </w:r>
          </w:p>
        </w:tc>
        <w:tc>
          <w:tcPr>
            <w:tcW w:type="dxa" w:w="1511"/>
            <w:shd w:fill="FFFFFF"/>
          </w:tcPr>
          <w:p>
            <w:r>
              <w:rPr>
                <w:rFonts w:ascii="Arial" w:hAnsi="Arial"/>
                <w:color w:val="000000"/>
                <w:sz w:val="18"/>
              </w:rPr>
              <w:t>This study confirms that a large number of biomarker candidates relevant for MS and treatment response are affected by natalizumab treatment. It also suggests new proteins and processes that ought to be explored further to possibly disclose novel disease mechanisms or predict treatment response.</w:t>
            </w:r>
          </w:p>
        </w:tc>
        <w:tc>
          <w:tcPr>
            <w:tcW w:type="dxa" w:w="1511"/>
            <w:shd w:fill="FFFFFF"/>
          </w:tcPr>
          <w:p>
            <w:r>
              <w:rPr>
                <w:rFonts w:ascii="Arial" w:hAnsi="Arial"/>
                <w:color w:val="000000"/>
                <w:sz w:val="18"/>
              </w:rPr>
              <w:t>Proteomic analysis of cerebrospinal fluid in relapsing-remitting multiple sclerosis patients before and after natalizumab treatment</w:t>
            </w:r>
          </w:p>
        </w:tc>
        <w:tc>
          <w:tcPr>
            <w:tcW w:type="dxa" w:w="1511"/>
            <w:shd w:fill="FFFFFF"/>
          </w:tcPr>
          <w:p>
            <w:r>
              <w:rPr>
                <w:rFonts w:ascii="Arial" w:hAnsi="Arial"/>
                <w:color w:val="000000"/>
                <w:sz w:val="18"/>
              </w:rPr>
              <w:t>Patients with relapsing-remitting multiple sclerosis (RRMS)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Pre-treatment (baseline) vs. post-treatment (after ~2 years of natalizumab therapy)</w:t>
            </w:r>
          </w:p>
        </w:tc>
        <w:tc>
          <w:tcPr>
            <w:tcW w:type="dxa" w:w="1511"/>
            <w:shd w:fill="FFFFFF"/>
          </w:tcPr>
          <w:p>
            <w:r>
              <w:rPr>
                <w:rFonts w:ascii="Arial" w:hAnsi="Arial"/>
                <w:color w:val="000000"/>
                <w:sz w:val="18"/>
              </w:rPr>
              <w:t>Changes in cerebrospinal fluid (CSF) proteome</w:t>
            </w:r>
          </w:p>
        </w:tc>
        <w:tc>
          <w:tcPr>
            <w:tcW w:type="dxa" w:w="1511"/>
            <w:shd w:fill="FFFFFF"/>
          </w:tcPr>
          <w:p>
            <w:r>
              <w:rPr>
                <w:rFonts w:ascii="Arial" w:hAnsi="Arial"/>
                <w:color w:val="000000"/>
                <w:sz w:val="18"/>
              </w:rPr>
              <w:t>Natalizumab treatment resulted in a decrease in inflammatory proteins (e.g., immunoglobulins, CHI3L1) and an increase in proteins involved in metabolism and central nervous system function (e.g., LDHA, LDHB, MDH1, MFGE8). A total of 287 differentially abundant proteins were detected, indicating anti-inflammatory and repair effects.</w:t>
            </w:r>
          </w:p>
        </w:tc>
      </w:tr>
      <w:tr>
        <w:tc>
          <w:tcPr>
            <w:tcW w:type="dxa" w:w="1511"/>
            <w:shd w:fill="FFFFFF"/>
          </w:tcPr>
          <w:p>
            <w:r>
              <w:rPr>
                <w:rFonts w:ascii="Arial" w:hAnsi="Arial"/>
                <w:color w:val="000000"/>
                <w:sz w:val="18"/>
              </w:rPr>
              <w:t>Natalizumab_Rebound_in_Multiple_Sclerosis.pdf</w:t>
            </w:r>
          </w:p>
        </w:tc>
        <w:tc>
          <w:tcPr>
            <w:tcW w:type="dxa" w:w="1511"/>
            <w:shd w:fill="FFFFFF"/>
          </w:tcPr>
          <w:p>
            <w:r>
              <w:rPr>
                <w:rFonts w:ascii="Arial" w:hAnsi="Arial"/>
                <w:color w:val="000000"/>
                <w:sz w:val="18"/>
              </w:rPr>
              <w:t>0.8</w:t>
            </w:r>
          </w:p>
        </w:tc>
        <w:tc>
          <w:tcPr>
            <w:tcW w:type="dxa" w:w="1511"/>
            <w:shd w:fill="FFFFFF"/>
          </w:tcPr>
          <w:p>
            <w:r>
              <w:rPr>
                <w:rFonts w:ascii="Arial" w:hAnsi="Arial"/>
                <w:color w:val="000000"/>
                <w:sz w:val="18"/>
              </w:rPr>
              <w:t>Images in Clinical Neurology Natalizumab Rebound in Multiple Sclerosis</w:t>
            </w:r>
          </w:p>
        </w:tc>
        <w:tc>
          <w:tcPr>
            <w:tcW w:type="dxa" w:w="1511"/>
            <w:shd w:fill="FFFFFF"/>
          </w:tcPr>
          <w:p>
            <w:r>
              <w:rPr>
                <w:rFonts w:ascii="Arial" w:hAnsi="Arial"/>
                <w:color w:val="000000"/>
                <w:sz w:val="18"/>
              </w:rPr>
              <w:t>Cessation of natalizumab mandates appropriate therapeutic bridging and vigilant monitoring owing to substantial risk of withdrawal- related rebound and attendant neurological sequelae.</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24-year-old male with relapsing-remitting multiple sclerosis</w:t>
            </w:r>
          </w:p>
        </w:tc>
        <w:tc>
          <w:tcPr>
            <w:tcW w:type="dxa" w:w="1511"/>
            <w:shd w:fill="FFFFFF"/>
          </w:tcPr>
          <w:p>
            <w:r>
              <w:rPr>
                <w:rFonts w:ascii="Arial" w:hAnsi="Arial"/>
                <w:color w:val="000000"/>
                <w:sz w:val="18"/>
              </w:rPr>
              <w:t>Natalizumab (discontinued and then restarted)</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Subacute right ataxic-hemiparesis, dysarthria, and dysphagia; resolved to pre-cessation baseline with sustained radiologic improvement after resuming natalizumab</w:t>
            </w:r>
          </w:p>
        </w:tc>
        <w:tc>
          <w:tcPr>
            <w:tcW w:type="dxa" w:w="1511"/>
            <w:shd w:fill="FFFFFF"/>
          </w:tcPr>
          <w:p>
            <w:r>
              <w:rPr>
                <w:rFonts w:ascii="Arial" w:hAnsi="Arial"/>
                <w:color w:val="000000"/>
                <w:sz w:val="18"/>
              </w:rPr>
              <w:t>Two months after discontinuing natalizumab, patient developed subacute right ataxic-hemiparesis, dysarthria, and dysphagia, requiring hospital admission. Brainstem relapse confirmed on MRI. Treated with IV corticosteroids and plasma pheresis. Deficits resolved to pre-cessation baseline with radiologic improvement after restarting natalizumab</w:t>
            </w:r>
          </w:p>
        </w:tc>
      </w:tr>
      <w:tr>
        <w:tc>
          <w:tcPr>
            <w:tcW w:type="dxa" w:w="1511"/>
            <w:shd w:fill="FFFFFF"/>
          </w:tcPr>
          <w:p>
            <w:r>
              <w:rPr>
                <w:rFonts w:ascii="Arial" w:hAnsi="Arial"/>
                <w:color w:val="000000"/>
                <w:sz w:val="18"/>
              </w:rPr>
              <w:t>Natalizumab_Rebound_in_Multiple_Sclerosis.pdf</w:t>
            </w:r>
          </w:p>
        </w:tc>
        <w:tc>
          <w:tcPr>
            <w:tcW w:type="dxa" w:w="1511"/>
            <w:shd w:fill="FFFFFF"/>
          </w:tcPr>
          <w:p>
            <w:r>
              <w:rPr>
                <w:rFonts w:ascii="Arial" w:hAnsi="Arial"/>
                <w:color w:val="000000"/>
                <w:sz w:val="18"/>
              </w:rPr>
              <w:t>0.8</w:t>
            </w:r>
          </w:p>
        </w:tc>
        <w:tc>
          <w:tcPr>
            <w:tcW w:type="dxa" w:w="1511"/>
            <w:shd w:fill="FFFFFF"/>
          </w:tcPr>
          <w:p>
            <w:r>
              <w:rPr>
                <w:rFonts w:ascii="Arial" w:hAnsi="Arial"/>
                <w:color w:val="000000"/>
                <w:sz w:val="18"/>
              </w:rPr>
              <w:t>Images in Clinical Neurology Natalizumab Rebound in Multiple Sclerosis</w:t>
            </w:r>
          </w:p>
        </w:tc>
        <w:tc>
          <w:tcPr>
            <w:tcW w:type="dxa" w:w="1511"/>
            <w:shd w:fill="FFFFFF"/>
          </w:tcPr>
          <w:p>
            <w:r>
              <w:rPr>
                <w:rFonts w:ascii="Arial" w:hAnsi="Arial"/>
                <w:color w:val="000000"/>
                <w:sz w:val="18"/>
              </w:rPr>
              <w:t>Cessation of natalizumab mandates appropriate therapeutic bridging and vigilant monitoring owing to substantial risk of withdrawal- related rebound and attendant neurological sequelae.</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24-year-old male with relapsing-remitting multiple sclerosis</w:t>
            </w:r>
          </w:p>
        </w:tc>
        <w:tc>
          <w:tcPr>
            <w:tcW w:type="dxa" w:w="1511"/>
            <w:shd w:fill="FFFFFF"/>
          </w:tcPr>
          <w:p>
            <w:r>
              <w:rPr>
                <w:rFonts w:ascii="Arial" w:hAnsi="Arial"/>
                <w:color w:val="000000"/>
                <w:sz w:val="18"/>
              </w:rPr>
              <w:t>Natalizumab (discontinued and then restarted)</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Subacute right ataxic-hemiparesis, dysarthria, and dysphagia; resolved to pre-cessation baseline with sustained radiologic improvement after resuming natalizumab</w:t>
            </w:r>
          </w:p>
        </w:tc>
        <w:tc>
          <w:tcPr>
            <w:tcW w:type="dxa" w:w="1511"/>
            <w:shd w:fill="FFFFFF"/>
          </w:tcPr>
          <w:p>
            <w:r>
              <w:rPr>
                <w:rFonts w:ascii="Arial" w:hAnsi="Arial"/>
                <w:color w:val="000000"/>
                <w:sz w:val="18"/>
              </w:rPr>
              <w:t>Two months after discontinuing natalizumab, patient developed subacute right ataxic-hemiparesis, dysarthria, and dysphagia, requiring hospital admission. Brainstem relapse confirmed on MRI. Treated with IV corticosteroids and plasma pheresis. Deficits resolved to pre-cessation baseline with radiologic improvement after restarting natalizumab</w:t>
            </w:r>
          </w:p>
        </w:tc>
      </w:tr>
      <w:tr>
        <w:tc>
          <w:tcPr>
            <w:tcW w:type="dxa" w:w="1511"/>
            <w:shd w:fill="FFFFFF"/>
          </w:tcPr>
          <w:p>
            <w:r>
              <w:rPr>
                <w:rFonts w:ascii="Arial" w:hAnsi="Arial"/>
                <w:color w:val="000000"/>
                <w:sz w:val="18"/>
              </w:rPr>
              <w:t>Natalizumab_Treatment_Induces_Proinflammatory_CD4_.pdf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Treatment Induces Proinflammatory CD4 T Cells Preferentially in the Integrin β7+ Compartment</w:t>
            </w:r>
          </w:p>
        </w:tc>
        <w:tc>
          <w:tcPr>
            <w:tcW w:type="dxa" w:w="1511"/>
            <w:shd w:fill="FFFFFF"/>
          </w:tcPr>
          <w:p>
            <w:r>
              <w:rPr>
                <w:rFonts w:ascii="Arial" w:hAnsi="Arial"/>
                <w:color w:val="000000"/>
                <w:sz w:val="18"/>
              </w:rPr>
              <w:t>Our study shows that circulating integrin β7+ memory CD4 T cells of patients with relapsing-remitting MS under natalizumab are enriched in proinflammatory cells supporting the hypothesis that integrin β7+ memory CD4 T cells could play a pathogenic role in the disease rebound observed at natalizumab discontinuation.</w:t>
            </w:r>
          </w:p>
        </w:tc>
        <w:tc>
          <w:tcPr>
            <w:tcW w:type="dxa" w:w="1511"/>
            <w:shd w:fill="FFFFFF"/>
          </w:tcPr>
          <w:p>
            <w:r>
              <w:rPr>
                <w:rFonts w:ascii="Arial" w:hAnsi="Arial"/>
                <w:color w:val="000000"/>
                <w:sz w:val="18"/>
              </w:rPr>
              <w:t>Comparative study of immune cell subsets in patients with multiple sclerosis receiving natalizumab treatment</w:t>
            </w:r>
          </w:p>
        </w:tc>
        <w:tc>
          <w:tcPr>
            <w:tcW w:type="dxa" w:w="1511"/>
            <w:shd w:fill="FFFFFF"/>
          </w:tcPr>
          <w:p>
            <w:r>
              <w:rPr>
                <w:rFonts w:ascii="Arial" w:hAnsi="Arial"/>
                <w:color w:val="000000"/>
                <w:sz w:val="18"/>
              </w:rPr>
              <w:t>Patients with relapsing-remitting multiple sclerosis (RRMS) treated with natalizumab and healthy donors</w:t>
            </w:r>
          </w:p>
        </w:tc>
        <w:tc>
          <w:tcPr>
            <w:tcW w:type="dxa" w:w="1511"/>
            <w:shd w:fill="FFFFFF"/>
          </w:tcPr>
          <w:p>
            <w:r>
              <w:rPr>
                <w:rFonts w:ascii="Arial" w:hAnsi="Arial"/>
                <w:color w:val="000000"/>
                <w:sz w:val="18"/>
              </w:rPr>
              <w:t>Natalizumab treatment</w:t>
            </w:r>
          </w:p>
        </w:tc>
        <w:tc>
          <w:tcPr>
            <w:tcW w:type="dxa" w:w="1511"/>
            <w:shd w:fill="FFFFFF"/>
          </w:tcPr>
          <w:p>
            <w:r>
              <w:rPr>
                <w:rFonts w:ascii="Arial" w:hAnsi="Arial"/>
                <w:color w:val="000000"/>
                <w:sz w:val="18"/>
              </w:rPr>
              <w:t>Natalizumab-treated patients compared with non-natalizumab-treated patients with relapsing-remitting MS and healthy donors</w:t>
            </w:r>
          </w:p>
        </w:tc>
        <w:tc>
          <w:tcPr>
            <w:tcW w:type="dxa" w:w="1511"/>
            <w:shd w:fill="FFFFFF"/>
          </w:tcPr>
          <w:p>
            <w:r>
              <w:rPr>
                <w:rFonts w:ascii="Arial" w:hAnsi="Arial"/>
                <w:color w:val="000000"/>
                <w:sz w:val="18"/>
              </w:rPr>
              <w:t>Phenotype and cytokine expression profile of integrin β7+ and β7- memory CD4 T cells, including proinflammatory Th17/Th1 cells and transmigration capacity across blood-brain barrier</w:t>
            </w:r>
          </w:p>
        </w:tc>
        <w:tc>
          <w:tcPr>
            <w:tcW w:type="dxa" w:w="1511"/>
            <w:shd w:fill="FFFFFF"/>
          </w:tcPr>
          <w:p>
            <w:r>
              <w:rPr>
                <w:rFonts w:ascii="Arial" w:hAnsi="Arial"/>
                <w:color w:val="000000"/>
                <w:sz w:val="18"/>
              </w:rPr>
              <w:t>Integrin β7+ memory CD4 T cells in natalizumab-treated RRMS patients displayed higher proportions of proinflammatory Th17/Th1 cells and increased coexpression of Th1/Th17 cytokines (e.g., IFNγ+IL-17A+, GM-CSF+IL-17A+). These cells also expressed markers associated with pathogenicity (higher CD226, lower PD-1/ICOS). In contrast, integrin β7- cells showed modest changes. β7+ Th17/Th1 cells migrated efficiently across an in vitro blood-brain barrier model, similar to β7- pathogenic subsets.</w:t>
            </w:r>
          </w:p>
        </w:tc>
      </w:tr>
      <w:tr>
        <w:tc>
          <w:tcPr>
            <w:tcW w:type="dxa" w:w="1511"/>
            <w:shd w:fill="FFFFFF"/>
          </w:tcPr>
          <w:p>
            <w:r>
              <w:rPr>
                <w:rFonts w:ascii="Arial" w:hAnsi="Arial"/>
                <w:color w:val="000000"/>
                <w:sz w:val="18"/>
              </w:rPr>
              <w:t>Natalizumab-associated_progressive_multifocal_leuk (1).pdf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Natalizumab-associated progressive multifocal leukoencephalopathy</w:t>
            </w:r>
          </w:p>
        </w:tc>
        <w:tc>
          <w:tcPr>
            <w:tcW w:type="dxa" w:w="1511"/>
            <w:shd w:fill="FFFFFF"/>
          </w:tcPr>
          <w:p>
            <w:r>
              <w:rPr>
                <w:rFonts w:ascii="Arial" w:hAnsi="Arial"/>
                <w:color w:val="000000"/>
                <w:sz w:val="18"/>
              </w:rPr>
              <w:t>The use of natalizumab in the treatment of RRMS leads to an increased risk of developing PML. Duration of treatment and JCV antibody seropositivity (and specifically antibody index) can be used to risk-stratify patients on natalizumab and allow for more individualized conversations regarding benefits and potential hazards of therapy. Tracking the JCV antibody index while on treatment and monitoring for the possible development of PML with serial MRI scans can help further personalize a patient’s possible risk of PML, as well as potentially capture PML in the presymptomatic stage, thus leading to improved outcomes. While RRMS disease activity can appear similar to PML lesions on MRI, certain features have been identified (such as the punctate pattern or “Milky Way” sign) that are more closely associated with PML. If a patient develops PML while on natalizumab, immunosuppressive therapy should be discontinued. The benefit of plasma exchange is unclear. Other therapies such as mirtazapine...</w:t>
            </w:r>
          </w:p>
        </w:tc>
        <w:tc>
          <w:tcPr>
            <w:tcW w:type="dxa" w:w="1511"/>
            <w:shd w:fill="FFFFFF"/>
          </w:tcPr>
          <w:p>
            <w:r>
              <w:rPr>
                <w:rFonts w:ascii="Arial" w:hAnsi="Arial"/>
                <w:color w:val="000000"/>
                <w:sz w:val="18"/>
              </w:rPr>
              <w:t>Mini Review</w:t>
            </w:r>
          </w:p>
        </w:tc>
        <w:tc>
          <w:tcPr>
            <w:tcW w:type="dxa" w:w="1511"/>
            <w:shd w:fill="FFFFFF"/>
          </w:tcPr>
          <w:p>
            <w:r>
              <w:rPr>
                <w:rFonts w:ascii="Arial" w:hAnsi="Arial"/>
                <w:color w:val="000000"/>
                <w:sz w:val="18"/>
              </w:rPr>
              <w:t>Patients with multiple sclerosis (MS) and Crohn’s disease receiving natalizumab treatment</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Development of progressive multifocal leukoencephalopathy (PML) in patients receiving natalizumab</w:t>
            </w:r>
          </w:p>
        </w:tc>
        <w:tc>
          <w:tcPr>
            <w:tcW w:type="dxa" w:w="1511"/>
            <w:shd w:fill="FFFFFF"/>
          </w:tcPr>
          <w:p>
            <w:r>
              <w:rPr>
                <w:rFonts w:ascii="Arial" w:hAnsi="Arial"/>
                <w:color w:val="000000"/>
                <w:sz w:val="18"/>
              </w:rPr>
              <w:t>Risk stratification based on JCV antibody index, MRI findings for PML detection, and outcomes of treatment strategies including discontinuation of natalizumab, plasma exchange, and adjunctive therapies with mixed efficacy.</w:t>
            </w:r>
          </w:p>
        </w:tc>
      </w:tr>
      <w:tr>
        <w:tc>
          <w:tcPr>
            <w:tcW w:type="dxa" w:w="1511"/>
            <w:shd w:fill="FFFFFF"/>
          </w:tcPr>
          <w:p>
            <w:r>
              <w:rPr>
                <w:rFonts w:ascii="Arial" w:hAnsi="Arial"/>
                <w:color w:val="000000"/>
                <w:sz w:val="18"/>
              </w:rPr>
              <w:t>Natalizumab-Associated_Progressive_Multifocal_Leuk.pdf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Natalizumab-Associated Progressive Multifocal Leukoencephalopathy After Natalizumab Extended Interval Dosing Therapy in Japan</w:t>
            </w:r>
          </w:p>
        </w:tc>
        <w:tc>
          <w:tcPr>
            <w:tcW w:type="dxa" w:w="1511"/>
            <w:shd w:fill="FFFFFF"/>
          </w:tcPr>
          <w:p>
            <w:r>
              <w:rPr>
                <w:rFonts w:ascii="Arial" w:hAnsi="Arial"/>
                <w:color w:val="000000"/>
                <w:sz w:val="18"/>
              </w:rPr>
              <w:t>The clinical symptoms of NTZ-PML were consistent with those reported previously. Although natalizumab EID is expected to lower the risk of developing PML, its effectiveness may be limited, particularly in Japanese individuals with high JC virus antibody titers.</w:t>
            </w:r>
          </w:p>
        </w:tc>
        <w:tc>
          <w:tcPr>
            <w:tcW w:type="dxa" w:w="1511"/>
            <w:shd w:fill="FFFFFF"/>
          </w:tcPr>
          <w:p>
            <w:r>
              <w:rPr>
                <w:rFonts w:ascii="Arial" w:hAnsi="Arial"/>
                <w:color w:val="000000"/>
                <w:sz w:val="18"/>
              </w:rPr>
              <w:t>Clinical/Scientific Note</w:t>
            </w:r>
          </w:p>
        </w:tc>
        <w:tc>
          <w:tcPr>
            <w:tcW w:type="dxa" w:w="1511"/>
            <w:shd w:fill="FFFFFF"/>
          </w:tcPr>
          <w:p>
            <w:r>
              <w:rPr>
                <w:rFonts w:ascii="Arial" w:hAnsi="Arial"/>
                <w:color w:val="000000"/>
                <w:sz w:val="18"/>
              </w:rPr>
              <w:t>5 confirmed cases of natalizumab-associated progressive multifocal leukoencephalopathy (NTZ-PML) in Japan</w:t>
            </w:r>
          </w:p>
        </w:tc>
        <w:tc>
          <w:tcPr>
            <w:tcW w:type="dxa" w:w="1511"/>
            <w:shd w:fill="FFFFFF"/>
          </w:tcPr>
          <w:p>
            <w:r>
              <w:rPr>
                <w:rFonts w:ascii="Arial" w:hAnsi="Arial"/>
                <w:color w:val="000000"/>
                <w:sz w:val="18"/>
              </w:rPr>
              <w:t>Natalizumab extended interval dosing therapy</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Progressive multifocal leukoencephalopathy (PML) development and clinical outcomes (e.g., EDSS scores, treatment responses)</w:t>
            </w:r>
          </w:p>
        </w:tc>
        <w:tc>
          <w:tcPr>
            <w:tcW w:type="dxa" w:w="1511"/>
            <w:shd w:fill="FFFFFF"/>
          </w:tcPr>
          <w:p>
            <w:r>
              <w:rPr>
                <w:rFonts w:ascii="Arial" w:hAnsi="Arial"/>
                <w:color w:val="000000"/>
                <w:sz w:val="18"/>
              </w:rPr>
              <w:t>From 2016 to 2024, the nationwide PML surveillance committee identified 8 NTZ-PML cases, of which 5 (all women and relapsing-remitting types) were registered as clinically definite PML cases. In all cases, extended interval dosing therapy (EID) every 6–8 weeks was administered for at least 1 year before PML onset, and 3 cases had received EID from the outset. At PML onset, the viral DNA levels in the CSF were ≤100 copies/mL in 3 cases.</w:t>
            </w:r>
          </w:p>
        </w:tc>
      </w:tr>
      <w:tr>
        <w:tc>
          <w:tcPr>
            <w:tcW w:type="dxa" w:w="1511"/>
            <w:shd w:fill="FFFFFF"/>
          </w:tcPr>
          <w:p>
            <w:r>
              <w:rPr>
                <w:rFonts w:ascii="Arial" w:hAnsi="Arial"/>
                <w:color w:val="000000"/>
                <w:sz w:val="18"/>
              </w:rPr>
              <w:t>Nicholas et al. - 194 Natalizumab treatment for MS UK and global results from TOP.pdf</w:t>
            </w:r>
          </w:p>
        </w:tc>
        <w:tc>
          <w:tcPr>
            <w:tcW w:type="dxa" w:w="1511"/>
            <w:shd w:fill="FFFFFF"/>
          </w:tcPr>
          <w:p>
            <w:r>
              <w:rPr>
                <w:rFonts w:ascii="Arial" w:hAnsi="Arial"/>
                <w:color w:val="000000"/>
                <w:sz w:val="18"/>
              </w:rPr>
              <w:t>0.0</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Not Found</w:t>
            </w:r>
          </w:p>
        </w:tc>
      </w:tr>
      <w:tr>
        <w:tc>
          <w:tcPr>
            <w:tcW w:type="dxa" w:w="1511"/>
            <w:shd w:fill="FFFFFF"/>
          </w:tcPr>
          <w:p>
            <w:r>
              <w:rPr>
                <w:rFonts w:ascii="Arial" w:hAnsi="Arial"/>
                <w:color w:val="000000"/>
                <w:sz w:val="18"/>
              </w:rPr>
              <w:t>Nikfar et al. - 2010 - A meta-analysis on the efficacy and tolerability of natalizumab in relapsing multiple sclerosis.pdf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 meta-analysis on the efficacy and tolerability of natalizumab in relapsing multiple sclerosis</w:t>
            </w:r>
          </w:p>
        </w:tc>
        <w:tc>
          <w:tcPr>
            <w:tcW w:type="dxa" w:w="1511"/>
            <w:shd w:fill="FFFFFF"/>
          </w:tcPr>
          <w:p>
            <w:r>
              <w:rPr>
                <w:rFonts w:ascii="Arial" w:hAnsi="Arial"/>
                <w:color w:val="000000"/>
                <w:sz w:val="18"/>
              </w:rPr>
              <w:t>It seems that using 3 or 6 mg/kg every 4 weeks is the best method of administration of natalizumab for preventing relapse and occurrence of new Gd-enhancing lesions. The current data on the efficacy and safety of natalizumab are insufficient to reach a convincing conclusion and thus further clinical trials are still needed.</w:t>
            </w:r>
          </w:p>
        </w:tc>
        <w:tc>
          <w:tcPr>
            <w:tcW w:type="dxa" w:w="1511"/>
            <w:shd w:fill="FFFFFF"/>
          </w:tcPr>
          <w:p>
            <w:r>
              <w:rPr>
                <w:rFonts w:ascii="Arial" w:hAnsi="Arial"/>
                <w:color w:val="000000"/>
                <w:sz w:val="18"/>
              </w:rPr>
              <w:t>meta-analysis</w:t>
            </w:r>
          </w:p>
        </w:tc>
        <w:tc>
          <w:tcPr>
            <w:tcW w:type="dxa" w:w="1511"/>
            <w:shd w:fill="FFFFFF"/>
          </w:tcPr>
          <w:p>
            <w:r>
              <w:rPr>
                <w:rFonts w:ascii="Arial" w:hAnsi="Arial"/>
                <w:color w:val="000000"/>
                <w:sz w:val="18"/>
              </w:rPr>
              <w:t>Patients with relapsing multiple sclerosis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Efficacy outcomes: mean change in Expanded Disability Status Scale (EDSS), number of patients with at least one relapse, number of patients with at least one new gadolinium (Gd)-enhancing lesion; Tolerability outcomes: any adverse events, serious adverse events, death, withdrawal because of adverse events</w:t>
            </w:r>
          </w:p>
        </w:tc>
        <w:tc>
          <w:tcPr>
            <w:tcW w:type="dxa" w:w="1511"/>
            <w:shd w:fill="FFFFFF"/>
          </w:tcPr>
          <w:p>
            <w:r>
              <w:rPr>
                <w:rFonts w:ascii="Arial" w:hAnsi="Arial"/>
                <w:color w:val="000000"/>
                <w:sz w:val="18"/>
              </w:rPr>
              <w:t>Pooled relative risk for at least one relapse in four trials including all doses was 0.7, with a non-significant RR (95% CI: 0.42-1.17, p = 0.17). Summary RR for at least one relapse in two trials in which doses of 3 mg/kg or 6 mg/kg or 300 mg every 4 weeks were administered gave a value of 0.5 as a significant RR (95% CI: 0.42-0.61, p &lt; 0.0001). The summary RR for at least one new Gd-enhancing lesion was 0.22, a non-significant RR (95% CI: 0.05-1.01, p = 0.051). Three deaths were reported in the natalizumab group. Comparing adverse events between natalizumab and placebo yielded a non-significant RR of 0.99 (95% CI: 0.96-1.01, p = 0.34) for any adverse events (n = 3), and a significant RR of 0.39 (95% CI: 0.29-0.52, p &lt; 0.0001) for serious adverse events (n = 2). The summary RR for withdrawal due to adverse events by natalizumab vs. placebo therapy between two trials was 1.43, a non-significant RR (95% CI: 0.68-3.02, p = 0.35).</w:t>
            </w:r>
          </w:p>
        </w:tc>
      </w:tr>
      <w:tr>
        <w:tc>
          <w:tcPr>
            <w:tcW w:type="dxa" w:w="1511"/>
            <w:shd w:fill="FFFFFF"/>
          </w:tcPr>
          <w:p>
            <w:r>
              <w:rPr>
                <w:rFonts w:ascii="Arial" w:hAnsi="Arial"/>
                <w:color w:val="000000"/>
                <w:sz w:val="18"/>
              </w:rPr>
              <w:t>PB006_A_Natalizumab_Biosimilar.pdf</w:t>
            </w:r>
          </w:p>
        </w:tc>
        <w:tc>
          <w:tcPr>
            <w:tcW w:type="dxa" w:w="1511"/>
            <w:shd w:fill="FFFFFF"/>
          </w:tcPr>
          <w:p>
            <w:r>
              <w:rPr>
                <w:rFonts w:ascii="Arial" w:hAnsi="Arial"/>
                <w:color w:val="000000"/>
                <w:sz w:val="18"/>
              </w:rPr>
              <w:t>0.8</w:t>
            </w:r>
          </w:p>
        </w:tc>
        <w:tc>
          <w:tcPr>
            <w:tcW w:type="dxa" w:w="1511"/>
            <w:shd w:fill="FFFFFF"/>
          </w:tcPr>
          <w:p>
            <w:r>
              <w:rPr>
                <w:rFonts w:ascii="Arial" w:hAnsi="Arial"/>
                <w:color w:val="000000"/>
                <w:sz w:val="18"/>
              </w:rPr>
              <w:t>ADIS BIOSIMILAR BRIEF PB006: A Natalizumab Biosimilar</w:t>
            </w:r>
          </w:p>
        </w:tc>
        <w:tc>
          <w:tcPr>
            <w:tcW w:type="dxa" w:w="1511"/>
            <w:shd w:fill="FFFFFF"/>
          </w:tcPr>
          <w:p>
            <w:r>
              <w:rPr>
                <w:rFonts w:ascii="Arial" w:hAnsi="Arial"/>
                <w:color w:val="000000"/>
                <w:sz w:val="18"/>
              </w:rPr>
              <w:t>The role of reference natalizumab in the management of RRMS is well established and PB006 provides an effective biosimilar alternative for patients requiring natalizumab therapy.</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Adults with highly active relapsing-remitting multiple sclerosis (RRMS)</w:t>
            </w:r>
          </w:p>
        </w:tc>
        <w:tc>
          <w:tcPr>
            <w:tcW w:type="dxa" w:w="1511"/>
            <w:shd w:fill="FFFFFF"/>
          </w:tcPr>
          <w:p>
            <w:r>
              <w:rPr>
                <w:rFonts w:ascii="Arial" w:hAnsi="Arial"/>
                <w:color w:val="000000"/>
                <w:sz w:val="18"/>
              </w:rPr>
              <w:t>PB006 (Tyruko®), a natalizumab biosimilar</w:t>
            </w:r>
          </w:p>
        </w:tc>
        <w:tc>
          <w:tcPr>
            <w:tcW w:type="dxa" w:w="1511"/>
            <w:shd w:fill="FFFFFF"/>
          </w:tcPr>
          <w:p>
            <w:r>
              <w:rPr>
                <w:rFonts w:ascii="Arial" w:hAnsi="Arial"/>
                <w:color w:val="000000"/>
                <w:sz w:val="18"/>
              </w:rPr>
              <w:t>Reference natalizumab</w:t>
            </w:r>
          </w:p>
        </w:tc>
        <w:tc>
          <w:tcPr>
            <w:tcW w:type="dxa" w:w="1511"/>
            <w:shd w:fill="FFFFFF"/>
          </w:tcPr>
          <w:p>
            <w:r>
              <w:rPr>
                <w:rFonts w:ascii="Arial" w:hAnsi="Arial"/>
                <w:color w:val="000000"/>
                <w:sz w:val="18"/>
              </w:rPr>
              <w:t>Clinical efficacy, tolerability, safety and immunogenicity</w:t>
            </w:r>
          </w:p>
        </w:tc>
        <w:tc>
          <w:tcPr>
            <w:tcW w:type="dxa" w:w="1511"/>
            <w:shd w:fill="FFFFFF"/>
          </w:tcPr>
          <w:p>
            <w:r>
              <w:rPr>
                <w:rFonts w:ascii="Arial" w:hAnsi="Arial"/>
                <w:color w:val="000000"/>
                <w:sz w:val="18"/>
              </w:rPr>
              <w:t>PB006 demonstrated clinical efficacy similar to that of reference natalizumab in patients with RRMS, and was generally well tolerated in this population. The tolerability, safety and immunogenicity profiles of PB006 were similar to those of reference natalizumab, and switching from reference natalizumab to PB006 appeared to have no impact on tolerability or immunogenicity.</w:t>
            </w:r>
          </w:p>
        </w:tc>
      </w:tr>
      <w:tr>
        <w:tc>
          <w:tcPr>
            <w:tcW w:type="dxa" w:w="1511"/>
            <w:shd w:fill="FFFFFF"/>
          </w:tcPr>
          <w:p>
            <w:r>
              <w:rPr>
                <w:rFonts w:ascii="Arial" w:hAnsi="Arial"/>
                <w:color w:val="000000"/>
                <w:sz w:val="18"/>
              </w:rPr>
              <w:t>Pediatric-onset_Multiple_Sclerosis_treatment_a_mul.pdf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Pediatric‑onset Multiple Sclerosis treatment: a multicentre observational study comparing natalizumab with fingolimod</w:t>
            </w:r>
          </w:p>
        </w:tc>
        <w:tc>
          <w:tcPr>
            <w:tcW w:type="dxa" w:w="1511"/>
            <w:shd w:fill="FFFFFF"/>
          </w:tcPr>
          <w:p>
            <w:r>
              <w:rPr>
                <w:rFonts w:ascii="Arial" w:hAnsi="Arial"/>
                <w:color w:val="000000"/>
                <w:sz w:val="18"/>
              </w:rPr>
              <w:t>Both natalizumab and fingolimod showed high and sustained efficacy in controlling relapses and natalizumab also associated to a disability decrease in POMS. This latter effect might be partly mediated by the high inflammatory activ- ity at baseline in N-POMS.</w:t>
            </w:r>
          </w:p>
        </w:tc>
        <w:tc>
          <w:tcPr>
            <w:tcW w:type="dxa" w:w="1511"/>
            <w:shd w:fill="FFFFFF"/>
          </w:tcPr>
          <w:p>
            <w:r>
              <w:rPr>
                <w:rFonts w:ascii="Arial" w:hAnsi="Arial"/>
                <w:color w:val="000000"/>
                <w:sz w:val="18"/>
              </w:rPr>
              <w:t>observational longitudinal multicentre study</w:t>
            </w:r>
          </w:p>
        </w:tc>
        <w:tc>
          <w:tcPr>
            <w:tcW w:type="dxa" w:w="1511"/>
            <w:shd w:fill="FFFFFF"/>
          </w:tcPr>
          <w:p>
            <w:r>
              <w:rPr>
                <w:rFonts w:ascii="Arial" w:hAnsi="Arial"/>
                <w:color w:val="000000"/>
                <w:sz w:val="18"/>
              </w:rPr>
              <w:t>Pediatric-onset Multiple Sclerosis (POMS) patients treated with natalizumab or fingolimod</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fingolimod</w:t>
            </w:r>
          </w:p>
        </w:tc>
        <w:tc>
          <w:tcPr>
            <w:tcW w:type="dxa" w:w="1511"/>
            <w:shd w:fill="FFFFFF"/>
          </w:tcPr>
          <w:p>
            <w:r>
              <w:rPr>
                <w:rFonts w:ascii="Arial" w:hAnsi="Arial"/>
                <w:color w:val="000000"/>
                <w:sz w:val="18"/>
              </w:rPr>
              <w:t>Annual Relapse Rate (ARR), Expanded Disability Status Scale (EDSS), Symbol Digit Modality Test (SDMT), and MRI activity</w:t>
            </w:r>
          </w:p>
        </w:tc>
        <w:tc>
          <w:tcPr>
            <w:tcW w:type="dxa" w:w="1511"/>
            <w:shd w:fill="FFFFFF"/>
          </w:tcPr>
          <w:p>
            <w:r>
              <w:rPr>
                <w:rFonts w:ascii="Arial" w:hAnsi="Arial"/>
                <w:color w:val="000000"/>
                <w:sz w:val="18"/>
              </w:rPr>
              <w:t>We enrolled 57 N-POMS and 27 F-POMS patients from six Italian MS Centres. At T0, N-POMS patients showed higher ARR (p = 0.03), higher EDSS (p = 0.003) and lower SDMT (p = 0.04) at baseline compared with F-POMS. Between T0 and T1 ARR improved for both N-POMS and F-POMS (p &lt; 0.001), while EDSS (p &lt; 0.001) and SDMT (p = 0.03) improved only for N-POMS. At T2 (66.1 ± 55.4 months) we collected data from 42 out of 57 N-POMS patients showing no further ARR decrease.</w:t>
            </w:r>
          </w:p>
        </w:tc>
      </w:tr>
      <w:tr>
        <w:tc>
          <w:tcPr>
            <w:tcW w:type="dxa" w:w="1511"/>
            <w:shd w:fill="FFFFFF"/>
          </w:tcPr>
          <w:p>
            <w:r>
              <w:rPr>
                <w:rFonts w:ascii="Arial" w:hAnsi="Arial"/>
                <w:color w:val="000000"/>
                <w:sz w:val="18"/>
              </w:rPr>
              <w:t>Pharmacokinetic_Model-Informed_Precision_Dosing_of.pdf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Pharmacokinetic Model-Informed Precision Dosing of Natalizumab in Multiple Sclerosis</w:t>
            </w:r>
          </w:p>
        </w:tc>
        <w:tc>
          <w:tcPr>
            <w:tcW w:type="dxa" w:w="1511"/>
            <w:shd w:fill="FFFFFF"/>
          </w:tcPr>
          <w:p>
            <w:r>
              <w:rPr>
                <w:rFonts w:ascii="Arial" w:hAnsi="Arial"/>
                <w:color w:val="000000"/>
                <w:sz w:val="18"/>
              </w:rPr>
              <w:t>MIPD would improve the precision of selecting individual dose intervals compared to a previously conducted TDM-guided protocol for personalized dosing. The findings support the superiority of MIPD, which tailors treatment for individuals, reducing hospital visits and lowering overall costs tremendously.</w:t>
            </w:r>
          </w:p>
        </w:tc>
        <w:tc>
          <w:tcPr>
            <w:tcW w:type="dxa" w:w="1511"/>
            <w:shd w:fill="FFFFFF"/>
          </w:tcPr>
          <w:p>
            <w:r>
              <w:rPr>
                <w:rFonts w:ascii="Arial" w:hAnsi="Arial"/>
                <w:color w:val="000000"/>
                <w:sz w:val="18"/>
              </w:rPr>
              <w:t>Population pharmacokinetic study</w:t>
            </w:r>
          </w:p>
        </w:tc>
        <w:tc>
          <w:tcPr>
            <w:tcW w:type="dxa" w:w="1511"/>
            <w:shd w:fill="FFFFFF"/>
          </w:tcPr>
          <w:p>
            <w:r>
              <w:rPr>
                <w:rFonts w:ascii="Arial" w:hAnsi="Arial"/>
                <w:color w:val="000000"/>
                <w:sz w:val="18"/>
              </w:rPr>
              <w:t>Relapsing-remitting multiple sclerosis (RRMS) patients</w:t>
            </w:r>
          </w:p>
        </w:tc>
        <w:tc>
          <w:tcPr>
            <w:tcW w:type="dxa" w:w="1511"/>
            <w:shd w:fill="FFFFFF"/>
          </w:tcPr>
          <w:p>
            <w:r>
              <w:rPr>
                <w:rFonts w:ascii="Arial" w:hAnsi="Arial"/>
                <w:color w:val="000000"/>
                <w:sz w:val="18"/>
              </w:rPr>
              <w:t>Natalizumab dosing using model-informed precision dosing (MIPD)</w:t>
            </w:r>
          </w:p>
        </w:tc>
        <w:tc>
          <w:tcPr>
            <w:tcW w:type="dxa" w:w="1511"/>
            <w:shd w:fill="FFFFFF"/>
          </w:tcPr>
          <w:p>
            <w:r>
              <w:rPr>
                <w:rFonts w:ascii="Arial" w:hAnsi="Arial"/>
                <w:color w:val="000000"/>
                <w:sz w:val="18"/>
              </w:rPr>
              <w:t>Model-informed precision dosing (MIPD) vs. stratified personalized dosing (SPD)</w:t>
            </w:r>
          </w:p>
        </w:tc>
        <w:tc>
          <w:tcPr>
            <w:tcW w:type="dxa" w:w="1511"/>
            <w:shd w:fill="FFFFFF"/>
          </w:tcPr>
          <w:p>
            <w:r>
              <w:rPr>
                <w:rFonts w:ascii="Arial" w:hAnsi="Arial"/>
                <w:color w:val="000000"/>
                <w:sz w:val="18"/>
              </w:rPr>
              <w:t>Target attainment of natalizumab trough concentrations (10 μg/mL, 5 μg/mL, 2 μg/mL) and reduction in infusion frequency</w:t>
            </w:r>
          </w:p>
        </w:tc>
        <w:tc>
          <w:tcPr>
            <w:tcW w:type="dxa" w:w="1511"/>
            <w:shd w:fill="FFFFFF"/>
          </w:tcPr>
          <w:p>
            <w:r>
              <w:rPr>
                <w:rFonts w:ascii="Arial" w:hAnsi="Arial"/>
                <w:color w:val="000000"/>
                <w:sz w:val="18"/>
              </w:rPr>
              <w:t>MIPD achieved higher accuracy (mean percentage error 4.8% vs. 24% for 10 μg/mL target, 4.8% vs. 86% for 5 μg/mL) and precision (RMSE 2.31 vs. 3.95 μg/mL for 10 μg/mL, 1.53 vs. 5.02 μg/mL for 5 μg/mL) compared to stratified personalized dosing (SPD). Simulations showed a 40% reduction in average infusions with MIPD while maintaining therapeutic trough levels.</w:t>
            </w:r>
          </w:p>
        </w:tc>
      </w:tr>
      <w:tr>
        <w:tc>
          <w:tcPr>
            <w:tcW w:type="dxa" w:w="1511"/>
            <w:shd w:fill="FFFFFF"/>
          </w:tcPr>
          <w:p>
            <w:r>
              <w:rPr>
                <w:rFonts w:ascii="Arial" w:hAnsi="Arial"/>
                <w:color w:val="000000"/>
                <w:sz w:val="18"/>
              </w:rPr>
              <w:t>Pharmacokinetics_and_Pharmacodynamics_of_Natalizum.pdf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Pharmacokinetics and Pharmacodynamics of Natalizumab 6-Week Dosing vs Continued 4-Week Dosing for Relapsing-Remitting Multiple Sclerosis</w:t>
            </w:r>
          </w:p>
        </w:tc>
        <w:tc>
          <w:tcPr>
            <w:tcW w:type="dxa" w:w="1511"/>
            <w:shd w:fill="FFFFFF"/>
          </w:tcPr>
          <w:p>
            <w:r>
              <w:rPr>
                <w:rFonts w:ascii="Arial" w:hAnsi="Arial"/>
                <w:color w:val="000000"/>
                <w:sz w:val="18"/>
              </w:rPr>
              <w:t>In conclusion, Q6W dosing of natalizumab is an effective treatment that may help mitigate the PML risk while maintaining clinical efficacy in the majority of patients, and this analysis provides an exploration of the pharmacokinetics and pharmacodynamics underlying the maintenance of efficacy with Q6W dosing.</w:t>
            </w:r>
          </w:p>
        </w:tc>
        <w:tc>
          <w:tcPr>
            <w:tcW w:type="dxa" w:w="1511"/>
            <w:shd w:fill="FFFFFF"/>
          </w:tcPr>
          <w:p>
            <w:r>
              <w:rPr>
                <w:rFonts w:ascii="Arial" w:hAnsi="Arial"/>
                <w:color w:val="000000"/>
                <w:sz w:val="18"/>
              </w:rPr>
              <w:t>Randomized controlled trial (Phase 3b clinical trial)</w:t>
            </w:r>
          </w:p>
        </w:tc>
        <w:tc>
          <w:tcPr>
            <w:tcW w:type="dxa" w:w="1511"/>
            <w:shd w:fill="FFFFFF"/>
          </w:tcPr>
          <w:p>
            <w:r>
              <w:rPr>
                <w:rFonts w:ascii="Arial" w:hAnsi="Arial"/>
                <w:color w:val="000000"/>
                <w:sz w:val="18"/>
              </w:rPr>
              <w:t>Adults (18–60 years) with relapsing-remitting multiple sclerosis (RRMS), Expanded Disability Status Scale (EDSS) score &lt;5.5, stable on intravenous (IV) natalizumab every 4-week (Q4W) dosing for ≥12 months</w:t>
            </w:r>
          </w:p>
        </w:tc>
        <w:tc>
          <w:tcPr>
            <w:tcW w:type="dxa" w:w="1511"/>
            <w:shd w:fill="FFFFFF"/>
          </w:tcPr>
          <w:p>
            <w:r>
              <w:rPr>
                <w:rFonts w:ascii="Arial" w:hAnsi="Arial"/>
                <w:color w:val="000000"/>
                <w:sz w:val="18"/>
              </w:rPr>
              <w:t>Intravenous (IV) natalizumab every 6-week (Q6W) dosing</w:t>
            </w:r>
          </w:p>
        </w:tc>
        <w:tc>
          <w:tcPr>
            <w:tcW w:type="dxa" w:w="1511"/>
            <w:shd w:fill="FFFFFF"/>
          </w:tcPr>
          <w:p>
            <w:r>
              <w:rPr>
                <w:rFonts w:ascii="Arial" w:hAnsi="Arial"/>
                <w:color w:val="000000"/>
                <w:sz w:val="18"/>
              </w:rPr>
              <w:t>Continued intravenous (IV) natalizumab every 4-week (Q4W) dosing</w:t>
            </w:r>
          </w:p>
        </w:tc>
        <w:tc>
          <w:tcPr>
            <w:tcW w:type="dxa" w:w="1511"/>
            <w:shd w:fill="FFFFFF"/>
          </w:tcPr>
          <w:p>
            <w:r>
              <w:rPr>
                <w:rFonts w:ascii="Arial" w:hAnsi="Arial"/>
                <w:color w:val="000000"/>
                <w:sz w:val="18"/>
              </w:rPr>
              <w:t>Pharmacokinetic (trough serum natalizumab concentration) and pharmacodynamic (α4-integrin saturation, soluble vascular cell adhesion molecule-1 (sVCAM-1) levels) parameters</w:t>
            </w:r>
          </w:p>
        </w:tc>
        <w:tc>
          <w:tcPr>
            <w:tcW w:type="dxa" w:w="1511"/>
            <w:shd w:fill="FFFFFF"/>
          </w:tcPr>
          <w:p>
            <w:r>
              <w:rPr>
                <w:rFonts w:ascii="Arial" w:hAnsi="Arial"/>
                <w:color w:val="000000"/>
                <w:sz w:val="18"/>
              </w:rPr>
              <w:t>In the NOVA study, 486 participants in the Q6W group and 487 in the Q4W group were included in PK and PD analyses. Mean trough natalizumab concentrations were 10–21 μg/mL (Q6W) vs 33–38 μg/mL (Q4W). Mean α4-integrin saturation remained above 65.5% (Q6W) and 77.9% (Q4W). In the Q6W group, mean sVCAM-1 levels increased 23.6% by week 24 and remained elevated. Most participants with T2 lesion activity or relapse activity maintained trough natalizumab levels &gt;10 μg/mL and α4-integrin saturation &gt;50%.</w:t>
            </w:r>
          </w:p>
        </w:tc>
      </w:tr>
      <w:tr>
        <w:tc>
          <w:tcPr>
            <w:tcW w:type="dxa" w:w="1511"/>
            <w:shd w:fill="FFFFFF"/>
          </w:tcPr>
          <w:p>
            <w:r>
              <w:rPr>
                <w:rFonts w:ascii="Arial" w:hAnsi="Arial"/>
                <w:color w:val="000000"/>
                <w:sz w:val="18"/>
              </w:rPr>
              <w:t>PIIS0022510X1830251X.pdf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Predictors of relapse and disability progression in MS patients who discontinue disease-modifying therapy</w:t>
            </w:r>
          </w:p>
        </w:tc>
        <w:tc>
          <w:tcPr>
            <w:tcW w:type="dxa" w:w="1511"/>
            <w:shd w:fill="FFFFFF"/>
          </w:tcPr>
          <w:p>
            <w:r>
              <w:rPr>
                <w:rFonts w:ascii="Arial" w:hAnsi="Arial"/>
                <w:color w:val="000000"/>
                <w:sz w:val="18"/>
              </w:rPr>
              <w:t>Knowledge of post-DMT relapse and disability progression rates and predictors of post-DMT disease activity allows for a more informed discussion of DMT discontinuation in those patients who are considering this option.</w:t>
            </w:r>
          </w:p>
        </w:tc>
        <w:tc>
          <w:tcPr>
            <w:tcW w:type="dxa" w:w="1511"/>
            <w:shd w:fill="FFFFFF"/>
          </w:tcPr>
          <w:p>
            <w:r>
              <w:rPr>
                <w:rFonts w:ascii="Arial" w:hAnsi="Arial"/>
                <w:color w:val="000000"/>
                <w:sz w:val="18"/>
              </w:rPr>
              <w:t>Observational cohort study</w:t>
            </w:r>
          </w:p>
        </w:tc>
        <w:tc>
          <w:tcPr>
            <w:tcW w:type="dxa" w:w="1511"/>
            <w:shd w:fill="FFFFFF"/>
          </w:tcPr>
          <w:p>
            <w:r>
              <w:rPr>
                <w:rFonts w:ascii="Arial" w:hAnsi="Arial"/>
                <w:color w:val="000000"/>
                <w:sz w:val="18"/>
              </w:rPr>
              <w:t>MS patients meeting inclusion criteria: clinician-confirmed MS diagnosis (2010 McDonald criteria), age ≥18 at index DMT start, ≥12 months on index DMT prior to discontinuation, ≥24 months follow-up post-discontinuation, no DMT restart within 6 months post-discontinuation.</w:t>
            </w:r>
          </w:p>
        </w:tc>
        <w:tc>
          <w:tcPr>
            <w:tcW w:type="dxa" w:w="1511"/>
            <w:shd w:fill="FFFFFF"/>
          </w:tcPr>
          <w:p>
            <w:r>
              <w:rPr>
                <w:rFonts w:ascii="Arial" w:hAnsi="Arial"/>
                <w:color w:val="000000"/>
                <w:sz w:val="18"/>
              </w:rPr>
              <w:t>Discontinuation of disease-modifying therapy (DMTs)</w:t>
            </w:r>
          </w:p>
        </w:tc>
        <w:tc>
          <w:tcPr>
            <w:tcW w:type="dxa" w:w="1511"/>
            <w:shd w:fill="FFFFFF"/>
          </w:tcPr>
          <w:p>
            <w:r>
              <w:rPr>
                <w:rFonts w:ascii="Arial" w:hAnsi="Arial"/>
                <w:color w:val="000000"/>
                <w:sz w:val="18"/>
              </w:rPr>
              <w:t>Comparison of different disease-modifying therapies (DMTs) regarding post-discontinuation relapse and confirmed disability progression (CDP).</w:t>
            </w:r>
          </w:p>
        </w:tc>
        <w:tc>
          <w:tcPr>
            <w:tcW w:type="dxa" w:w="1511"/>
            <w:shd w:fill="FFFFFF"/>
          </w:tcPr>
          <w:p>
            <w:r>
              <w:rPr>
                <w:rFonts w:ascii="Arial" w:hAnsi="Arial"/>
                <w:color w:val="000000"/>
                <w:sz w:val="18"/>
              </w:rPr>
              <w:t>Post-discontinuation relapse and confirmed disability progression (CDP)</w:t>
            </w:r>
          </w:p>
        </w:tc>
        <w:tc>
          <w:tcPr>
            <w:tcW w:type="dxa" w:w="1511"/>
            <w:shd w:fill="FFFFFF"/>
          </w:tcPr>
          <w:p>
            <w:r>
              <w:rPr>
                <w:rFonts w:ascii="Arial" w:hAnsi="Arial"/>
                <w:color w:val="000000"/>
                <w:sz w:val="18"/>
              </w:rPr>
              <w:t>Overall post-discontinuation annualized relapse rate was 0.224 (95% CI 0.219, 0.229) and CDP rate was 8.23 (7.72, 8.76) per 100 person-years. Risk factors for relapse included younger age, female sex, moderate disability, and relapse within 1 year of discontinuation. Risk of CDP increased with baseline disability and disease progression prior to stopping DMT. Natalizumab was associated with increased risk of both outcomes compared to other DMTs.</w:t>
            </w:r>
          </w:p>
        </w:tc>
      </w:tr>
      <w:tr>
        <w:tc>
          <w:tcPr>
            <w:tcW w:type="dxa" w:w="1511"/>
            <w:shd w:fill="FFFFFF"/>
          </w:tcPr>
          <w:p>
            <w:r>
              <w:rPr>
                <w:rFonts w:ascii="Arial" w:hAnsi="Arial"/>
                <w:color w:val="000000"/>
                <w:sz w:val="18"/>
              </w:rPr>
              <w:t>PIIS0165572817300553.pdf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Massive intracerebral Epstein-Barr virus reactivation in lethal multiple sclerosis relapse after natalizumab withdrawal</w:t>
            </w:r>
          </w:p>
        </w:tc>
        <w:tc>
          <w:tcPr>
            <w:tcW w:type="dxa" w:w="1511"/>
            <w:shd w:fill="FFFFFF"/>
          </w:tcPr>
          <w:p>
            <w:r>
              <w:rPr>
                <w:rFonts w:ascii="Arial" w:hAnsi="Arial"/>
                <w:color w:val="000000"/>
                <w:sz w:val="18"/>
              </w:rPr>
              <w:t>The hyper-inflammatory CD8+ T-cell dominated response observed after natalizumab discontinuation in the absence of detectable JC virus infection could represent an immune reconstitution inflammatory syndrome directed against EBV, suggesting a rationale for switching to B-cell-depleting therapies after natalizumab discontinuation.</w:t>
            </w:r>
          </w:p>
        </w:tc>
        <w:tc>
          <w:tcPr>
            <w:tcW w:type="dxa" w:w="1511"/>
            <w:shd w:fill="FFFFFF"/>
          </w:tcPr>
          <w:p>
            <w:r>
              <w:rPr>
                <w:rFonts w:ascii="Arial" w:hAnsi="Arial"/>
                <w:color w:val="000000"/>
                <w:sz w:val="18"/>
              </w:rPr>
              <w:t>Case study (analysis of post-mortem brain tissue from a single MS patient)</w:t>
            </w:r>
          </w:p>
        </w:tc>
        <w:tc>
          <w:tcPr>
            <w:tcW w:type="dxa" w:w="1511"/>
            <w:shd w:fill="FFFFFF"/>
          </w:tcPr>
          <w:p>
            <w:r>
              <w:rPr>
                <w:rFonts w:ascii="Arial" w:hAnsi="Arial"/>
                <w:color w:val="000000"/>
                <w:sz w:val="18"/>
              </w:rPr>
              <w:t>A 50-year-old male with relapsing-remitting multiple sclerosis who died during a fulminating MS relapse after natalizumab withdrawal</w:t>
            </w:r>
          </w:p>
        </w:tc>
        <w:tc>
          <w:tcPr>
            <w:tcW w:type="dxa" w:w="1511"/>
            <w:shd w:fill="FFFFFF"/>
          </w:tcPr>
          <w:p>
            <w:r>
              <w:rPr>
                <w:rFonts w:ascii="Arial" w:hAnsi="Arial"/>
                <w:color w:val="000000"/>
                <w:sz w:val="18"/>
              </w:rPr>
              <w:t>Natalizumab withdrawal</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Massive intracerebral Epstein-Barr virus reactivation leading to lethal multiple sclerosis relapse</w:t>
            </w:r>
          </w:p>
        </w:tc>
        <w:tc>
          <w:tcPr>
            <w:tcW w:type="dxa" w:w="1511"/>
            <w:shd w:fill="FFFFFF"/>
          </w:tcPr>
          <w:p>
            <w:r>
              <w:rPr>
                <w:rFonts w:ascii="Arial" w:hAnsi="Arial"/>
                <w:color w:val="000000"/>
                <w:sz w:val="18"/>
              </w:rPr>
              <w:t>Post-mortem brain tissue analysis revealed widespread EBV latent and productive infection of infiltrating B-lineage cells, with higher frequency of EBV lytically infected cells and granzyme B+ CD8+ T cells in actively demyelinating lesions, indicating a link between EBV reactivation, cytotoxic activity, and highly destructive inflammation.</w:t>
            </w:r>
          </w:p>
        </w:tc>
      </w:tr>
      <w:tr>
        <w:tc>
          <w:tcPr>
            <w:tcW w:type="dxa" w:w="1511"/>
            <w:shd w:fill="FFFFFF"/>
          </w:tcPr>
          <w:p>
            <w:r>
              <w:rPr>
                <w:rFonts w:ascii="Arial" w:hAnsi="Arial"/>
                <w:color w:val="000000"/>
                <w:sz w:val="18"/>
              </w:rPr>
              <w:t>PIIS0165572818300468.pdf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Epstein-Barr virus-associated immune reconstitution inflammatory syndrome as possible cause of fulminant multiple sclerosis relapse after natalizumab interruption</w:t>
            </w:r>
          </w:p>
        </w:tc>
        <w:tc>
          <w:tcPr>
            <w:tcW w:type="dxa" w:w="1511"/>
            <w:shd w:fill="FFFFFF"/>
          </w:tcPr>
          <w:p>
            <w:r>
              <w:rPr>
                <w:rFonts w:ascii="Arial" w:hAnsi="Arial"/>
                <w:color w:val="000000"/>
                <w:sz w:val="18"/>
              </w:rPr>
              <w:t>This study shows that overwhelming inflammation is associated with widespread EBV infection and reactivation in the brain of a MS patient dying from a lethal relapse after natalizumab withdrawal, suggesting that this condition represents an EBV-associated immune reconstitution inflammatory syndrome.</w:t>
            </w:r>
          </w:p>
        </w:tc>
        <w:tc>
          <w:tcPr>
            <w:tcW w:type="dxa" w:w="1511"/>
            <w:shd w:fill="FFFFFF"/>
          </w:tcPr>
          <w:p>
            <w:r>
              <w:rPr>
                <w:rFonts w:ascii="Arial" w:hAnsi="Arial"/>
                <w:color w:val="000000"/>
                <w:sz w:val="18"/>
              </w:rPr>
              <w:t>Postmortem analysis of a case of fatal MS relapse after natalizumab interruption</w:t>
            </w:r>
          </w:p>
        </w:tc>
        <w:tc>
          <w:tcPr>
            <w:tcW w:type="dxa" w:w="1511"/>
            <w:shd w:fill="FFFFFF"/>
          </w:tcPr>
          <w:p>
            <w:r>
              <w:rPr>
                <w:rFonts w:ascii="Arial" w:hAnsi="Arial"/>
                <w:color w:val="000000"/>
                <w:sz w:val="18"/>
              </w:rPr>
              <w:t>Multiple sclerosis patients experiencing fulminant relapse after natalizumab interruption</w:t>
            </w:r>
          </w:p>
        </w:tc>
        <w:tc>
          <w:tcPr>
            <w:tcW w:type="dxa" w:w="1511"/>
            <w:shd w:fill="FFFFFF"/>
          </w:tcPr>
          <w:p>
            <w:r>
              <w:rPr>
                <w:rFonts w:ascii="Arial" w:hAnsi="Arial"/>
                <w:color w:val="000000"/>
                <w:sz w:val="18"/>
              </w:rPr>
              <w:t>Interruption of natalizumab treatment</w:t>
            </w:r>
          </w:p>
        </w:tc>
        <w:tc>
          <w:tcPr>
            <w:tcW w:type="dxa" w:w="1511"/>
            <w:shd w:fill="FFFFFF"/>
          </w:tcPr>
          <w:p>
            <w:r>
              <w:rPr>
                <w:rFonts w:ascii="Arial" w:hAnsi="Arial"/>
                <w:color w:val="000000"/>
                <w:sz w:val="18"/>
              </w:rPr>
              <w:t>Comparison with chronic multiple sclerosis cases (to evaluate EBV protein expression and immune response differences)</w:t>
            </w:r>
          </w:p>
        </w:tc>
        <w:tc>
          <w:tcPr>
            <w:tcW w:type="dxa" w:w="1511"/>
            <w:shd w:fill="FFFFFF"/>
          </w:tcPr>
          <w:p>
            <w:r>
              <w:rPr>
                <w:rFonts w:ascii="Arial" w:hAnsi="Arial"/>
                <w:color w:val="000000"/>
                <w:sz w:val="18"/>
              </w:rPr>
              <w:t>Fulminant multiple sclerosis relapse (lethal outcome) associated with EBV-associated immune reconstitution inflammatory syndrome</w:t>
            </w:r>
          </w:p>
        </w:tc>
        <w:tc>
          <w:tcPr>
            <w:tcW w:type="dxa" w:w="1511"/>
            <w:shd w:fill="FFFFFF"/>
          </w:tcPr>
          <w:p>
            <w:r>
              <w:rPr>
                <w:rFonts w:ascii="Arial" w:hAnsi="Arial"/>
                <w:color w:val="000000"/>
                <w:sz w:val="18"/>
              </w:rPr>
              <w:t>Widespread EBV infection and reactivation in brain tissue, detection of EBV-specific CD8+ T cells perivascularly, cell-free EBV DNA in CSF, indicating EBV-associated immune reconstitution inflammatory syndrome.</w:t>
            </w:r>
          </w:p>
        </w:tc>
      </w:tr>
      <w:tr>
        <w:tc>
          <w:tcPr>
            <w:tcW w:type="dxa" w:w="1511"/>
            <w:shd w:fill="FFFFFF"/>
          </w:tcPr>
          <w:p>
            <w:r>
              <w:rPr>
                <w:rFonts w:ascii="Arial" w:hAnsi="Arial"/>
                <w:color w:val="000000"/>
                <w:sz w:val="18"/>
              </w:rPr>
              <w:t>PIIS2211034821002418.pdf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Natalizumab discontinuation in a Dutch real-world cohort</w:t>
            </w:r>
          </w:p>
        </w:tc>
        <w:tc>
          <w:tcPr>
            <w:tcW w:type="dxa" w:w="1511"/>
            <w:shd w:fill="FFFFFF"/>
          </w:tcPr>
          <w:p>
            <w:r>
              <w:rPr>
                <w:rFonts w:ascii="Arial" w:hAnsi="Arial"/>
                <w:color w:val="000000"/>
                <w:sz w:val="18"/>
              </w:rPr>
              <w:t>JCV positivity seems the most frequent reason for natalizumab discontinuation. The heterogeneity in treatment switches reflects the advances made in treatment options, and underlines the need for adequate patient counselling.</w:t>
            </w:r>
          </w:p>
        </w:tc>
        <w:tc>
          <w:tcPr>
            <w:tcW w:type="dxa" w:w="1511"/>
            <w:shd w:fill="FFFFFF"/>
          </w:tcPr>
          <w:p>
            <w:r>
              <w:rPr>
                <w:rFonts w:ascii="Arial" w:hAnsi="Arial"/>
                <w:color w:val="000000"/>
                <w:sz w:val="18"/>
              </w:rPr>
              <w:t>Observational cohort study</w:t>
            </w:r>
          </w:p>
        </w:tc>
        <w:tc>
          <w:tcPr>
            <w:tcW w:type="dxa" w:w="1511"/>
            <w:shd w:fill="FFFFFF"/>
          </w:tcPr>
          <w:p>
            <w:r>
              <w:rPr>
                <w:rFonts w:ascii="Arial" w:hAnsi="Arial"/>
                <w:color w:val="000000"/>
                <w:sz w:val="18"/>
              </w:rPr>
              <w:t>Multiple sclerosis patients treated with natalizumab at the Amsterdam UMC</w:t>
            </w:r>
          </w:p>
        </w:tc>
        <w:tc>
          <w:tcPr>
            <w:tcW w:type="dxa" w:w="1511"/>
            <w:shd w:fill="FFFFFF"/>
          </w:tcPr>
          <w:p>
            <w:r>
              <w:rPr>
                <w:rFonts w:ascii="Arial" w:hAnsi="Arial"/>
                <w:color w:val="000000"/>
                <w:sz w:val="18"/>
              </w:rPr>
              <w:t>Natalizumab treatment</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Treatment discontinuation and reasons for discontinuation (e.g., JC-virus positivity, PML, disease progression)</w:t>
            </w:r>
          </w:p>
        </w:tc>
        <w:tc>
          <w:tcPr>
            <w:tcW w:type="dxa" w:w="1511"/>
            <w:shd w:fill="FFFFFF"/>
          </w:tcPr>
          <w:p>
            <w:r>
              <w:rPr>
                <w:rFonts w:ascii="Arial" w:hAnsi="Arial"/>
                <w:color w:val="000000"/>
                <w:sz w:val="18"/>
              </w:rPr>
              <w:t>Of 253 patients who ever received natalizumab treatment, 147 have discontinued treatment. The most frequent reason for treatment discontinuation was JC-virus (JCV) positivity. Treatment switches are summarized in Fig. 1. Most patients (85.7%) switched to another treatment after natalizumab discontinuation. A documented second treatment switch was made in 52 patients (35.4%).</w:t>
            </w:r>
          </w:p>
        </w:tc>
      </w:tr>
      <w:tr>
        <w:tc>
          <w:tcPr>
            <w:tcW w:type="dxa" w:w="1511"/>
            <w:shd w:fill="FFFFFF"/>
          </w:tcPr>
          <w:p>
            <w:r>
              <w:rPr>
                <w:rFonts w:ascii="Arial" w:hAnsi="Arial"/>
                <w:color w:val="000000"/>
                <w:sz w:val="18"/>
              </w:rPr>
              <w:t>PIIS2211034821002613.pdf</w:t>
            </w:r>
          </w:p>
        </w:tc>
        <w:tc>
          <w:tcPr>
            <w:tcW w:type="dxa" w:w="1511"/>
            <w:shd w:fill="FFFFFF"/>
          </w:tcPr>
          <w:p>
            <w:r>
              <w:rPr>
                <w:rFonts w:ascii="Arial" w:hAnsi="Arial"/>
                <w:color w:val="000000"/>
                <w:sz w:val="18"/>
              </w:rPr>
              <w:t>1.0</w:t>
            </w:r>
          </w:p>
        </w:tc>
        <w:tc>
          <w:tcPr>
            <w:tcW w:type="dxa" w:w="1511"/>
            <w:shd w:fill="FFFFFF"/>
          </w:tcPr>
          <w:p>
            <w:r>
              <w:rPr>
                <w:rFonts w:ascii="Arial" w:hAnsi="Arial"/>
                <w:color w:val="000000"/>
                <w:sz w:val="18"/>
              </w:rPr>
              <w:t>The use of digital biomarkers to distinguish healthy controls from patients with radiologically isolated syndrome (RIS)</w:t>
            </w:r>
          </w:p>
        </w:tc>
        <w:tc>
          <w:tcPr>
            <w:tcW w:type="dxa" w:w="1511"/>
            <w:shd w:fill="FFFFFF"/>
          </w:tcPr>
          <w:p>
            <w:r>
              <w:rPr>
                <w:rFonts w:ascii="Arial" w:hAnsi="Arial"/>
                <w:color w:val="000000"/>
                <w:sz w:val="18"/>
              </w:rPr>
              <w:t>MSST requires only a smartphone to obtain digital biomarkers related to several dimensions of the neurological examination. Our results highlighted subtle differences between HCs and patients with RIS. We plan to evaluate this tool in MS patients, which will allow a much larger sample of patients, to determine whether digital biomarkers can predict disease course.</w:t>
            </w:r>
          </w:p>
        </w:tc>
        <w:tc>
          <w:tcPr>
            <w:tcW w:type="dxa" w:w="1511"/>
            <w:shd w:fill="FFFFFF"/>
          </w:tcPr>
          <w:p>
            <w:r>
              <w:rPr>
                <w:rFonts w:ascii="Arial" w:hAnsi="Arial"/>
                <w:color w:val="000000"/>
                <w:sz w:val="18"/>
              </w:rPr>
              <w:t>Cross-sectional observational study</w:t>
            </w:r>
          </w:p>
        </w:tc>
        <w:tc>
          <w:tcPr>
            <w:tcW w:type="dxa" w:w="1511"/>
            <w:shd w:fill="FFFFFF"/>
          </w:tcPr>
          <w:p>
            <w:r>
              <w:rPr>
                <w:rFonts w:ascii="Arial" w:hAnsi="Arial"/>
                <w:color w:val="000000"/>
                <w:sz w:val="18"/>
              </w:rPr>
              <w:t>healthy controls (HCs) and patients with radiologically isolated syndrome (RIS)</w:t>
            </w:r>
          </w:p>
        </w:tc>
        <w:tc>
          <w:tcPr>
            <w:tcW w:type="dxa" w:w="1511"/>
            <w:shd w:fill="FFFFFF"/>
          </w:tcPr>
          <w:p>
            <w:r>
              <w:rPr>
                <w:rFonts w:ascii="Arial" w:hAnsi="Arial"/>
                <w:color w:val="000000"/>
                <w:sz w:val="18"/>
              </w:rPr>
              <w:t>smartphone application called MS Screen Test (MSST)</w:t>
            </w:r>
          </w:p>
        </w:tc>
        <w:tc>
          <w:tcPr>
            <w:tcW w:type="dxa" w:w="1511"/>
            <w:shd w:fill="FFFFFF"/>
          </w:tcPr>
          <w:p>
            <w:r>
              <w:rPr>
                <w:rFonts w:ascii="Arial" w:hAnsi="Arial"/>
                <w:color w:val="000000"/>
                <w:sz w:val="18"/>
              </w:rPr>
              <w:t>age- and gender-matched healthy controls (HCs) and patients with radiologically isolated syndrome (RIS)</w:t>
            </w:r>
          </w:p>
        </w:tc>
        <w:tc>
          <w:tcPr>
            <w:tcW w:type="dxa" w:w="1511"/>
            <w:shd w:fill="FFFFFF"/>
          </w:tcPr>
          <w:p>
            <w:r>
              <w:rPr>
                <w:rFonts w:ascii="Arial" w:hAnsi="Arial"/>
                <w:color w:val="000000"/>
                <w:sz w:val="18"/>
              </w:rPr>
              <w:t>digital biomarkers related to several dimensions of the neurological examination (e.g., finger tapping speed, hand synchronization, low contrast vision, cognition)</w:t>
            </w:r>
          </w:p>
        </w:tc>
        <w:tc>
          <w:tcPr>
            <w:tcW w:type="dxa" w:w="1511"/>
            <w:shd w:fill="FFFFFF"/>
          </w:tcPr>
          <w:p>
            <w:r>
              <w:rPr>
                <w:rFonts w:ascii="Arial" w:hAnsi="Arial"/>
                <w:color w:val="000000"/>
                <w:sz w:val="18"/>
              </w:rPr>
              <w:t>Thirty-seven HCs underwent two consecutive evaluations on MSST, which showed good reproducibility for all measures. Then, the findings from 21 patients with RIS were compared with those from 32 matched HCs. Compared with HCs, patients with RIS had a lower finger tapping speed on the dominant hand (5.6 versus 6.5 taps/s; p = 0.005), a longer inter-hand interval during the hand synchronization task (14.4 versus 11.3 ms; p = 0.03) and significantly poorer scores on the low contrast vision and cognition tests.</w:t>
            </w:r>
          </w:p>
        </w:tc>
      </w:tr>
      <w:tr>
        <w:tc>
          <w:tcPr>
            <w:tcW w:type="dxa" w:w="1511"/>
            <w:shd w:fill="FFFFFF"/>
          </w:tcPr>
          <w:p>
            <w:r>
              <w:rPr>
                <w:rFonts w:ascii="Arial" w:hAnsi="Arial"/>
                <w:color w:val="000000"/>
                <w:sz w:val="18"/>
              </w:rPr>
              <w:t>Polman et al. - 2006 - A randomized, placebo-controlled trial of natalizumab for relapsing multiple sclerosis.pdf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 Randomized, Placebo-Controlled Trial of Natalizumab for Relapsing Multiple Sclerosis</w:t>
            </w:r>
          </w:p>
        </w:tc>
        <w:tc>
          <w:tcPr>
            <w:tcW w:type="dxa" w:w="1511"/>
            <w:shd w:fill="FFFFFF"/>
          </w:tcPr>
          <w:p>
            <w:r>
              <w:rPr>
                <w:rFonts w:ascii="Arial" w:hAnsi="Arial"/>
                <w:color w:val="000000"/>
                <w:sz w:val="18"/>
              </w:rPr>
              <w:t>Natalizumab reduced the risk of the sustained progression of disability and the rate of clinical relapse in patients with relapsing multiple sclerosis. Adhesion-molecule inhibitors hold promise as an effective treatment for relapsing multiple sclerosis.</w:t>
            </w:r>
          </w:p>
        </w:tc>
        <w:tc>
          <w:tcPr>
            <w:tcW w:type="dxa" w:w="1511"/>
            <w:shd w:fill="FFFFFF"/>
          </w:tcPr>
          <w:p>
            <w:r>
              <w:rPr>
                <w:rFonts w:ascii="Arial" w:hAnsi="Arial"/>
                <w:color w:val="000000"/>
                <w:sz w:val="18"/>
              </w:rPr>
              <w:t>Randomized, Placebo-Controlled Trial</w:t>
            </w:r>
          </w:p>
        </w:tc>
        <w:tc>
          <w:tcPr>
            <w:tcW w:type="dxa" w:w="1511"/>
            <w:shd w:fill="FFFFFF"/>
          </w:tcPr>
          <w:p>
            <w:r>
              <w:rPr>
                <w:rFonts w:ascii="Arial" w:hAnsi="Arial"/>
                <w:color w:val="000000"/>
                <w:sz w:val="18"/>
              </w:rPr>
              <w:t>Patients with relapsing multiple sclerosis (age 18–50 years, Expanded Disability Status Scale score 0–5.0, MRI lesions consistent with multiple sclerosis, at least one medically documented relapse within 12 months before study start)</w:t>
            </w:r>
          </w:p>
        </w:tc>
        <w:tc>
          <w:tcPr>
            <w:tcW w:type="dxa" w:w="1511"/>
            <w:shd w:fill="FFFFFF"/>
          </w:tcPr>
          <w:p>
            <w:r>
              <w:rPr>
                <w:rFonts w:ascii="Arial" w:hAnsi="Arial"/>
                <w:color w:val="000000"/>
                <w:sz w:val="18"/>
              </w:rPr>
              <w:t>Natalizumab (300 mg) by intravenous infusion every four weeks</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Primary outcomes: rate of clinical relapse at one year and rate of sustained progression of disability at two years; secondary outcomes include T2-weighted and gadolinium-enhanced MRI-detected lesions</w:t>
            </w:r>
          </w:p>
        </w:tc>
        <w:tc>
          <w:tcPr>
            <w:tcW w:type="dxa" w:w="1511"/>
            <w:shd w:fill="FFFFFF"/>
          </w:tcPr>
          <w:p>
            <w:r>
              <w:rPr>
                <w:rFonts w:ascii="Arial" w:hAnsi="Arial"/>
                <w:color w:val="000000"/>
                <w:sz w:val="18"/>
              </w:rPr>
              <w:t>Natalizumab reduced the risk of sustained disability progression by 42% over two years (hazard ratio 0.58; P&lt;0.001). It reduced the annualized relapse rate by 68% at one year (P&lt;0.001) and led to an 83% reduction in new/enlarging T2 MRI lesions and 92% reduction in gadolinium-enhanced lesions over two years. Safety events included more frequent fatigue and allergic reactions in the natalizumab group.</w:t>
            </w:r>
          </w:p>
        </w:tc>
      </w:tr>
      <w:tr>
        <w:tc>
          <w:tcPr>
            <w:tcW w:type="dxa" w:w="1511"/>
            <w:shd w:fill="FFFFFF"/>
          </w:tcPr>
          <w:p>
            <w:r>
              <w:rPr>
                <w:rFonts w:ascii="Arial" w:hAnsi="Arial"/>
                <w:color w:val="000000"/>
                <w:sz w:val="18"/>
              </w:rPr>
              <w:t>PPA-20791-an-update-on-the-use-of-natalizumab-in-the-treatment-of-mult_051915.pdf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An update on the use of natalizumab in the treatment of multiple sclerosis: appropriate patient selection and special considerations</w:t>
            </w:r>
          </w:p>
        </w:tc>
        <w:tc>
          <w:tcPr>
            <w:tcW w:type="dxa" w:w="1511"/>
            <w:shd w:fill="FFFFFF"/>
          </w:tcPr>
          <w:p>
            <w:r>
              <w:rPr>
                <w:rFonts w:ascii="Arial" w:hAnsi="Arial"/>
                <w:color w:val="000000"/>
                <w:sz w:val="18"/>
              </w:rPr>
              <w:t>Natalizumab is a highly effective and well-tolerated therapy for patients with active MS. Recent data have demonstrated sustained efficacy on long-term use with no new safety concerns. Treatment is limited by the risk of PML. Although risk stratification allows estimation of a low, intermediate, or high PML risk, current strategies do not allow risk prediction in the individual patient. Other effective treatment options, such as fingolimod or alemtuzumab, may be considered on an individual basis, since there are no class I comparative trials available. Discontinuation of natalizumab may lead to recurrence of disease activity. Pre-natalizumab activity levels as well as duration of the washout period may influence the postnatalizumab relapse risk. Fingolimod may help to diminish recurrence of disease activity, in particular, if the washout period is kept short. There are no data available on switching from natalizumab to new orals or to other monoclonal antibodies, such as alemtuzumab.</w:t>
            </w:r>
          </w:p>
        </w:tc>
        <w:tc>
          <w:tcPr>
            <w:tcW w:type="dxa" w:w="1511"/>
            <w:shd w:fill="FFFFFF"/>
          </w:tcPr>
          <w:p>
            <w:r>
              <w:rPr>
                <w:rFonts w:ascii="Arial" w:hAnsi="Arial"/>
                <w:color w:val="000000"/>
                <w:sz w:val="18"/>
              </w:rPr>
              <w:t>Review</w:t>
            </w:r>
          </w:p>
        </w:tc>
        <w:tc>
          <w:tcPr>
            <w:tcW w:type="dxa" w:w="1511"/>
            <w:shd w:fill="FFFFFF"/>
          </w:tcPr>
          <w:p>
            <w:r>
              <w:rPr>
                <w:rFonts w:ascii="Arial" w:hAnsi="Arial"/>
                <w:color w:val="000000"/>
                <w:sz w:val="18"/>
              </w:rPr>
              <w:t>Patients with multiple sclerosis (MS)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Other disease-modifying therapies for MS (e.g., interferon beta, glatiramer acetate, fingolimod, alemtuzumab)</w:t>
            </w:r>
          </w:p>
        </w:tc>
        <w:tc>
          <w:tcPr>
            <w:tcW w:type="dxa" w:w="1511"/>
            <w:shd w:fill="FFFFFF"/>
          </w:tcPr>
          <w:p>
            <w:r>
              <w:rPr>
                <w:rFonts w:ascii="Arial" w:hAnsi="Arial"/>
                <w:color w:val="000000"/>
                <w:sz w:val="18"/>
              </w:rPr>
              <w:t>Relapse rate reduction, prevention of disability progression, reduction of MRI-detectable activity, risk of PML, quality of life improvement</w:t>
            </w:r>
          </w:p>
        </w:tc>
        <w:tc>
          <w:tcPr>
            <w:tcW w:type="dxa" w:w="1511"/>
            <w:shd w:fill="FFFFFF"/>
          </w:tcPr>
          <w:p>
            <w:r>
              <w:rPr>
                <w:rFonts w:ascii="Arial" w:hAnsi="Arial"/>
                <w:color w:val="000000"/>
                <w:sz w:val="18"/>
              </w:rPr>
              <w:t>Short-term and long-term efficacy data show natalizumab reduces relapse rate, disability progression, and MRI activity; however, it is limited by PML risk (3.78 cases per 1,000 patients). Long-term studies (STRATA, TOP) show sustained efficacy with low relapse rates. Safety concerns include infections, hypersensitivity; adherence to natalizumab is higher than injectables but lower than fingolimod. Discontinuation leads to disease reactivation; switching to fingolimod with short washout may reduce recurrence.</w:t>
            </w:r>
          </w:p>
        </w:tc>
      </w:tr>
      <w:tr>
        <w:tc>
          <w:tcPr>
            <w:tcW w:type="dxa" w:w="1511"/>
            <w:shd w:fill="FFFFFF"/>
          </w:tcPr>
          <w:p>
            <w:r>
              <w:rPr>
                <w:rFonts w:ascii="Arial" w:hAnsi="Arial"/>
                <w:color w:val="000000"/>
                <w:sz w:val="18"/>
              </w:rPr>
              <w:t>Practical_Clinical_Guidelines_for_Natalizumab_Trea.pdf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Practical Clinical Guidelines for Natalizumab Treatment in Patients With Relapsing Multiple Sclerosis</w:t>
            </w:r>
          </w:p>
        </w:tc>
        <w:tc>
          <w:tcPr>
            <w:tcW w:type="dxa" w:w="1511"/>
            <w:shd w:fill="FFFFFF"/>
          </w:tcPr>
          <w:p>
            <w:r>
              <w:rPr>
                <w:rFonts w:ascii="Arial" w:hAnsi="Arial"/>
                <w:color w:val="000000"/>
                <w:sz w:val="18"/>
              </w:rPr>
              <w:t>Infusion nurses are at the front line of care for patients with MS receiving infusible DMTs like natalizumab. Key responsibilities include the administration of natalizumab, as well as patient monitoring, education, and support. A thorough understanding of the safety profile of natalizumab, including PML risk mitigation strategies, as well as the recognition of clinical signs/symptoms suggestive of PML and hypersensitivity reactions, will enable infusion nurses to ensure that natalizumab-treated patients receive optimal care.</w:t>
            </w:r>
          </w:p>
        </w:tc>
        <w:tc>
          <w:tcPr>
            <w:tcW w:type="dxa" w:w="1511"/>
            <w:shd w:fill="FFFFFF"/>
          </w:tcPr>
          <w:p>
            <w:r>
              <w:rPr>
                <w:rFonts w:ascii="Arial" w:hAnsi="Arial"/>
                <w:color w:val="000000"/>
                <w:sz w:val="18"/>
              </w:rPr>
              <w:t>Narrative Review</w:t>
            </w:r>
          </w:p>
        </w:tc>
        <w:tc>
          <w:tcPr>
            <w:tcW w:type="dxa" w:w="1511"/>
            <w:shd w:fill="FFFFFF"/>
          </w:tcPr>
          <w:p>
            <w:r>
              <w:rPr>
                <w:rFonts w:ascii="Arial" w:hAnsi="Arial"/>
                <w:color w:val="000000"/>
                <w:sz w:val="18"/>
              </w:rPr>
              <w:t>Adults with relapsing forms of multiple sclerosis (MS), including clinically isolated syndrome, relapsing-remitting MS, and active secondary progressive MS</w:t>
            </w:r>
          </w:p>
        </w:tc>
        <w:tc>
          <w:tcPr>
            <w:tcW w:type="dxa" w:w="1511"/>
            <w:shd w:fill="FFFFFF"/>
          </w:tcPr>
          <w:p>
            <w:r>
              <w:rPr>
                <w:rFonts w:ascii="Arial" w:hAnsi="Arial"/>
                <w:color w:val="000000"/>
                <w:sz w:val="18"/>
              </w:rPr>
              <w:t>Natalizumab (TYSABRI®)</w:t>
            </w:r>
          </w:p>
        </w:tc>
        <w:tc>
          <w:tcPr>
            <w:tcW w:type="dxa" w:w="1511"/>
            <w:shd w:fill="FFFFFF"/>
          </w:tcPr>
          <w:p>
            <w:r>
              <w:rPr>
                <w:rFonts w:ascii="Arial" w:hAnsi="Arial"/>
                <w:color w:val="000000"/>
                <w:sz w:val="18"/>
              </w:rPr>
              <w:t>Placebo</w:t>
            </w:r>
          </w:p>
        </w:tc>
        <w:tc>
          <w:tcPr>
            <w:tcW w:type="dxa" w:w="1511"/>
            <w:shd w:fill="FFFFFF"/>
          </w:tcPr>
          <w:p>
            <w:r>
              <w:rPr>
                <w:rFonts w:ascii="Arial" w:hAnsi="Arial"/>
                <w:color w:val="000000"/>
                <w:sz w:val="18"/>
              </w:rPr>
              <w:t>Efficacy and safety outcomes including annualized relapse rate, disability worsening, MRI lesions, and serious adverse events such as PML</w:t>
            </w:r>
          </w:p>
        </w:tc>
        <w:tc>
          <w:tcPr>
            <w:tcW w:type="dxa" w:w="1511"/>
            <w:shd w:fill="FFFFFF"/>
          </w:tcPr>
          <w:p>
            <w:r>
              <w:rPr>
                <w:rFonts w:ascii="Arial" w:hAnsi="Arial"/>
                <w:color w:val="000000"/>
                <w:sz w:val="18"/>
              </w:rPr>
              <w:t>Natalizumab significantly reduced clinical and MRI disease activity in AFFIRM trial; long-term effectiveness shown in TOP (10-year interim) with sustained decreases in annualized relapse rate; STRIVE study confirmed long-term effectiveness in early RRMS; safety profile includes common adverse events (headache, fatigue) and rare serious events like PML</w:t>
            </w:r>
          </w:p>
        </w:tc>
      </w:tr>
      <w:tr>
        <w:tc>
          <w:tcPr>
            <w:tcW w:type="dxa" w:w="1511"/>
            <w:shd w:fill="FFFFFF"/>
          </w:tcPr>
          <w:p>
            <w:r>
              <w:rPr>
                <w:rFonts w:ascii="Arial" w:hAnsi="Arial"/>
                <w:color w:val="000000"/>
                <w:sz w:val="18"/>
              </w:rPr>
              <w:t>Recrudescence_of_Natalizumab-Induced_Pneumonitis_a.pdf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Recrudescence of Natalizumab-Induced Pneumonitis and Peripheral Hypereosinophilia: Case Report and Literature Review</w:t>
            </w:r>
          </w:p>
        </w:tc>
        <w:tc>
          <w:tcPr>
            <w:tcW w:type="dxa" w:w="1511"/>
            <w:shd w:fill="FFFFFF"/>
          </w:tcPr>
          <w:p>
            <w:r>
              <w:rPr>
                <w:rFonts w:ascii="Arial" w:hAnsi="Arial"/>
                <w:color w:val="000000"/>
                <w:sz w:val="18"/>
              </w:rPr>
              <w:t>pneumonitis and peripheral hypereosinophilia are rare but documented complications of natalizumab. This report highlights the importance of monitoring for respiratory symptoms and peripheral eosinophilia in patients receiving natalizumab, particularly those with an underlying atopic predisposition or history of drug-induced pneumonitis and eosinophilia.</w:t>
            </w:r>
          </w:p>
        </w:tc>
        <w:tc>
          <w:tcPr>
            <w:tcW w:type="dxa" w:w="1511"/>
            <w:shd w:fill="FFFFFF"/>
          </w:tcPr>
          <w:p>
            <w:r>
              <w:rPr>
                <w:rFonts w:ascii="Arial" w:hAnsi="Arial"/>
                <w:color w:val="000000"/>
                <w:sz w:val="18"/>
              </w:rPr>
              <w:t>Case Report</w:t>
            </w:r>
          </w:p>
        </w:tc>
        <w:tc>
          <w:tcPr>
            <w:tcW w:type="dxa" w:w="1511"/>
            <w:shd w:fill="FFFFFF"/>
          </w:tcPr>
          <w:p>
            <w:r>
              <w:rPr>
                <w:rFonts w:ascii="Arial" w:hAnsi="Arial"/>
                <w:color w:val="000000"/>
                <w:sz w:val="18"/>
              </w:rPr>
              <w:t>A 57-year-old female with relapsing–remitting multiple sclerosis (RRMS)</w:t>
            </w:r>
          </w:p>
        </w:tc>
        <w:tc>
          <w:tcPr>
            <w:tcW w:type="dxa" w:w="1511"/>
            <w:shd w:fill="FFFFFF"/>
          </w:tcPr>
          <w:p>
            <w:r>
              <w:rPr>
                <w:rFonts w:ascii="Arial" w:hAnsi="Arial"/>
                <w:color w:val="000000"/>
                <w:sz w:val="18"/>
              </w:rPr>
              <w:t>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Resolution of pneumonitis and peripheral hypereosinophilia with prednisolone and discontinuation of natalizumab</w:t>
            </w:r>
          </w:p>
        </w:tc>
        <w:tc>
          <w:tcPr>
            <w:tcW w:type="dxa" w:w="1511"/>
            <w:shd w:fill="FFFFFF"/>
          </w:tcPr>
          <w:p>
            <w:r>
              <w:rPr>
                <w:rFonts w:ascii="Arial" w:hAnsi="Arial"/>
                <w:color w:val="000000"/>
                <w:sz w:val="18"/>
              </w:rPr>
              <w:t>A 57-year-old female with RRMS developed natalizumab-induced pneumonitis and peripheral hypereosinophilia, which resolved with prednisolone and natalizumab discontinuation. Recurrences occurred during prednisolone tapering, and re-exposure to natalizumab after 2 years caused recurrence again, which resolved with prednisolone and permanent natalizumab discontinuation.</w:t>
            </w:r>
          </w:p>
        </w:tc>
      </w:tr>
      <w:tr>
        <w:tc>
          <w:tcPr>
            <w:tcW w:type="dxa" w:w="1511"/>
            <w:shd w:fill="FFFFFF"/>
          </w:tcPr>
          <w:p>
            <w:r>
              <w:rPr>
                <w:rFonts w:ascii="Arial" w:hAnsi="Arial"/>
                <w:color w:val="000000"/>
                <w:sz w:val="18"/>
              </w:rPr>
              <w:t>Riancho et al. - 2021 - Does Extended Interval Dosing Natalizumab Preserve Effectiveness in Multiple Sclerosis A 7 Year-Ret.pdf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Does Extended Interval Dosing Natalizumab Preserve Effectiveness in Multiple Sclerosis? A 7 Year- Retrospective Observational Study</w:t>
            </w:r>
          </w:p>
        </w:tc>
        <w:tc>
          <w:tcPr>
            <w:tcW w:type="dxa" w:w="1511"/>
            <w:shd w:fill="FFFFFF"/>
          </w:tcPr>
          <w:p>
            <w:r>
              <w:rPr>
                <w:rFonts w:ascii="Arial" w:hAnsi="Arial"/>
                <w:color w:val="000000"/>
                <w:sz w:val="18"/>
              </w:rPr>
              <w:t>Long-term therapy with natalizumab in an EID setting following an SID regimen maintained its disease-modifying activity, and was safe and well tolerated for over 7 years. These encouraging observational results need to be confirmed in controlled clinical trials.</w:t>
            </w:r>
          </w:p>
        </w:tc>
        <w:tc>
          <w:tcPr>
            <w:tcW w:type="dxa" w:w="1511"/>
            <w:shd w:fill="FFFFFF"/>
          </w:tcPr>
          <w:p>
            <w:r>
              <w:rPr>
                <w:rFonts w:ascii="Arial" w:hAnsi="Arial"/>
                <w:color w:val="000000"/>
                <w:sz w:val="18"/>
              </w:rPr>
              <w:t>Observational retrospective cohort study</w:t>
            </w:r>
          </w:p>
        </w:tc>
        <w:tc>
          <w:tcPr>
            <w:tcW w:type="dxa" w:w="1511"/>
            <w:shd w:fill="FFFFFF"/>
          </w:tcPr>
          <w:p>
            <w:r>
              <w:rPr>
                <w:rFonts w:ascii="Arial" w:hAnsi="Arial"/>
                <w:color w:val="000000"/>
                <w:sz w:val="18"/>
              </w:rPr>
              <w:t>39 patients with clinically definite relapsing-MS</w:t>
            </w:r>
          </w:p>
        </w:tc>
        <w:tc>
          <w:tcPr>
            <w:tcW w:type="dxa" w:w="1511"/>
            <w:shd w:fill="FFFFFF"/>
          </w:tcPr>
          <w:p>
            <w:r>
              <w:rPr>
                <w:rFonts w:ascii="Arial" w:hAnsi="Arial"/>
                <w:color w:val="000000"/>
                <w:sz w:val="18"/>
              </w:rPr>
              <w:t>Extended interval dosing (EID) of natalizumab</w:t>
            </w:r>
          </w:p>
        </w:tc>
        <w:tc>
          <w:tcPr>
            <w:tcW w:type="dxa" w:w="1511"/>
            <w:shd w:fill="FFFFFF"/>
          </w:tcPr>
          <w:p>
            <w:r>
              <w:rPr>
                <w:rFonts w:ascii="Arial" w:hAnsi="Arial"/>
                <w:color w:val="000000"/>
                <w:sz w:val="18"/>
              </w:rPr>
              <w:t>Standard interval dosing (SID) of natalizumab vs. Extended interval dosing (EID) of natalizumab</w:t>
            </w:r>
          </w:p>
        </w:tc>
        <w:tc>
          <w:tcPr>
            <w:tcW w:type="dxa" w:w="1511"/>
            <w:shd w:fill="FFFFFF"/>
          </w:tcPr>
          <w:p>
            <w:r>
              <w:rPr>
                <w:rFonts w:ascii="Arial" w:hAnsi="Arial"/>
                <w:color w:val="000000"/>
                <w:sz w:val="18"/>
              </w:rPr>
              <w:t>Annualized relapse rate (ARR), radiological activity, disability progression, and NEDA-3 status</w:t>
            </w:r>
          </w:p>
        </w:tc>
        <w:tc>
          <w:tcPr>
            <w:tcW w:type="dxa" w:w="1511"/>
            <w:shd w:fill="FFFFFF"/>
          </w:tcPr>
          <w:p>
            <w:r>
              <w:rPr>
                <w:rFonts w:ascii="Arial" w:hAnsi="Arial"/>
                <w:color w:val="000000"/>
                <w:sz w:val="18"/>
              </w:rPr>
              <w:t>EID preserved ARR, radiological activity, and prevented disability worsening during follow-up. The proportion of patients maintaining their NEDA-3 status after 24, 48, and 72 months of natalizumab administration in EID was 94%, 73%, and 70%, respectively. No cases of PML or other severe adverse reactions were reported.</w:t>
            </w:r>
          </w:p>
        </w:tc>
      </w:tr>
      <w:tr>
        <w:tc>
          <w:tcPr>
            <w:tcW w:type="dxa" w:w="1511"/>
            <w:shd w:fill="FFFFFF"/>
          </w:tcPr>
          <w:p>
            <w:r>
              <w:rPr>
                <w:rFonts w:ascii="Arial" w:hAnsi="Arial"/>
                <w:color w:val="000000"/>
                <w:sz w:val="18"/>
              </w:rPr>
              <w:t>Ryerson et al. - 2023 - Exploratory clinical efficacy and patient-reported outcomes from NOVA A randomized controlled study.pdf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Exploratory clinical efficacy and patient-reported outcomes from NOVA: A randomized controlled study of intravenous natalizumab 6-week dosing versus continued 4-week dosing for relapsing-remitting multiple sclerosis</w:t>
            </w:r>
          </w:p>
        </w:tc>
        <w:tc>
          <w:tcPr>
            <w:tcW w:type="dxa" w:w="1511"/>
            <w:shd w:fill="FFFFFF"/>
          </w:tcPr>
          <w:p>
            <w:r>
              <w:rPr>
                <w:rFonts w:ascii="Arial" w:hAnsi="Arial"/>
                <w:color w:val="000000"/>
                <w:sz w:val="18"/>
              </w:rPr>
              <w:t>No significant differences were observed in change from baseline to week 72 between natalizumab Q6W and Q4W groups for all exploratory clinical or PRO-related endpoints assessed. For the EQ-5D-5 L, a higher proportion of Q6W than Q4W patients demonstrated worsening. Our results support the findings of the primary and secondary magnetic resonance imaging and clinical outcomes of NOVA (Foley et al., 2022), and they support the conclusion that the majority of patients who are stable on natalizumab Q4W dosing can switch to Q6W without a clinically meaningful loss of efficacy.</w:t>
            </w:r>
          </w:p>
        </w:tc>
        <w:tc>
          <w:tcPr>
            <w:tcW w:type="dxa" w:w="1511"/>
            <w:shd w:fill="FFFFFF"/>
          </w:tcPr>
          <w:p>
            <w:r>
              <w:rPr>
                <w:rFonts w:ascii="Arial" w:hAnsi="Arial"/>
                <w:color w:val="000000"/>
                <w:sz w:val="18"/>
              </w:rPr>
              <w:t>randomized controlled study</w:t>
            </w:r>
          </w:p>
        </w:tc>
        <w:tc>
          <w:tcPr>
            <w:tcW w:type="dxa" w:w="1511"/>
            <w:shd w:fill="FFFFFF"/>
          </w:tcPr>
          <w:p>
            <w:r>
              <w:rPr>
                <w:rFonts w:ascii="Arial" w:hAnsi="Arial"/>
                <w:color w:val="000000"/>
                <w:sz w:val="18"/>
              </w:rPr>
              <w:t>Patients aged 18–60 years with a diagnosis of relapsing-remitting multiple sclerosis (RRMS) who had been treated with natalizumab Q4W without relapse for ≥12 months and with EDSS scores &lt;5.5</w:t>
            </w:r>
          </w:p>
        </w:tc>
        <w:tc>
          <w:tcPr>
            <w:tcW w:type="dxa" w:w="1511"/>
            <w:shd w:fill="FFFFFF"/>
          </w:tcPr>
          <w:p>
            <w:r>
              <w:rPr>
                <w:rFonts w:ascii="Arial" w:hAnsi="Arial"/>
                <w:color w:val="000000"/>
                <w:sz w:val="18"/>
              </w:rPr>
              <w:t>intravenous natalizumab 6-week dosing</w:t>
            </w:r>
          </w:p>
        </w:tc>
        <w:tc>
          <w:tcPr>
            <w:tcW w:type="dxa" w:w="1511"/>
            <w:shd w:fill="FFFFFF"/>
          </w:tcPr>
          <w:p>
            <w:r>
              <w:rPr>
                <w:rFonts w:ascii="Arial" w:hAnsi="Arial"/>
                <w:color w:val="000000"/>
                <w:sz w:val="18"/>
              </w:rPr>
              <w:t>continued 4-week dosing of natalizumab</w:t>
            </w:r>
          </w:p>
        </w:tc>
        <w:tc>
          <w:tcPr>
            <w:tcW w:type="dxa" w:w="1511"/>
            <w:shd w:fill="FFFFFF"/>
          </w:tcPr>
          <w:p>
            <w:r>
              <w:rPr>
                <w:rFonts w:ascii="Arial" w:hAnsi="Arial"/>
                <w:color w:val="000000"/>
                <w:sz w:val="18"/>
              </w:rPr>
              <w:t>Not Found</w:t>
            </w:r>
          </w:p>
        </w:tc>
        <w:tc>
          <w:tcPr>
            <w:tcW w:type="dxa" w:w="1511"/>
            <w:shd w:fill="FFFFFF"/>
          </w:tcPr>
          <w:p>
            <w:r>
              <w:rPr>
                <w:rFonts w:ascii="Arial" w:hAnsi="Arial"/>
                <w:color w:val="000000"/>
                <w:sz w:val="18"/>
              </w:rPr>
              <w:t>Exploratory clinical and patient-reported outcomes were assessed in patients who received ≥1 dose of randomly assigned study treatment and had ≥1 postbaseline efficacy assessment (Q6W group, n = 247, and Q4W group, n = 242). Estimated proportions of patients with EDSS improvement at week 72 were similar for Q6W and Q4W groups (11.7% [19/163] vs 10.8% [17/158]; HR 1.02 [95% confidence interval [CI], 0.53–1.98]; P = 0.95). At week 72, there were no significant differences between Q6W and Q4W groups in LSM change from baseline for T25FW (0.00, P = 0.975), 9HPT (dominant [0.22, P = 0.533] or nondominant [0.09, P = 0.862] hand), or SDMT (−1.03, P = 0.194). Similarly, there were no significant differences between Q6W and Q4W groups in LSM change from baseline for any PRO (TSQM, −1.00, P = 0.410; Neuro-QoL fatigue, 0.52, P = 0.292; MSIS-29 Psychological, 0.67, P = 0.572; MSIS-29 Physical, 0.74, P = 0.429; EQ-5D-5 L, 0.00, P = 0.978). For the EQ-5D-5 L, a higher proportion of Q6W patients than...</w:t>
            </w:r>
          </w:p>
        </w:tc>
      </w:tr>
      <w:tr>
        <w:tc>
          <w:tcPr>
            <w:tcW w:type="dxa" w:w="1511"/>
            <w:shd w:fill="FFFFFF"/>
          </w:tcPr>
          <w:p>
            <w:r>
              <w:rPr>
                <w:rFonts w:ascii="Arial" w:hAnsi="Arial"/>
                <w:color w:val="000000"/>
                <w:sz w:val="18"/>
              </w:rPr>
              <w:t>Salhofer-Polanyi et al. - 2014 - What to expect after natalizumab cessation in a real-life setting.pdf</w:t>
            </w:r>
          </w:p>
        </w:tc>
        <w:tc>
          <w:tcPr>
            <w:tcW w:type="dxa" w:w="1511"/>
            <w:shd w:fill="FFFFFF"/>
          </w:tcPr>
          <w:p>
            <w:r>
              <w:rPr>
                <w:rFonts w:ascii="Arial" w:hAnsi="Arial"/>
                <w:color w:val="000000"/>
                <w:sz w:val="18"/>
              </w:rPr>
              <w:t>0.9</w:t>
            </w:r>
          </w:p>
        </w:tc>
        <w:tc>
          <w:tcPr>
            <w:tcW w:type="dxa" w:w="1511"/>
            <w:shd w:fill="FFFFFF"/>
          </w:tcPr>
          <w:p>
            <w:r>
              <w:rPr>
                <w:rFonts w:ascii="Arial" w:hAnsi="Arial"/>
                <w:color w:val="000000"/>
                <w:sz w:val="18"/>
              </w:rPr>
              <w:t>What to expect after natalizumab cessation in a real-life setting</w:t>
            </w:r>
          </w:p>
        </w:tc>
        <w:tc>
          <w:tcPr>
            <w:tcW w:type="dxa" w:w="1511"/>
            <w:shd w:fill="FFFFFF"/>
          </w:tcPr>
          <w:p>
            <w:r>
              <w:rPr>
                <w:rFonts w:ascii="Arial" w:hAnsi="Arial"/>
                <w:color w:val="000000"/>
                <w:sz w:val="18"/>
              </w:rPr>
              <w:t>Our data suggest that rebound of MS disease activity affects a subgroup of patients (11.9%), especially those with low disease activity before natalizumab therapy and a longer treatment gap after its withdrawal. Early reinstatement of alternative treatment within 3 months after natalizumab discontinuation might help to prevent this rebound effect. Further research is necessary to better identify characteristics of patients, who are at risk of developing a rebound of disease activity.</w:t>
            </w:r>
          </w:p>
        </w:tc>
        <w:tc>
          <w:tcPr>
            <w:tcW w:type="dxa" w:w="1511"/>
            <w:shd w:fill="FFFFFF"/>
          </w:tcPr>
          <w:p>
            <w:r>
              <w:rPr>
                <w:rFonts w:ascii="Arial" w:hAnsi="Arial"/>
                <w:color w:val="000000"/>
                <w:sz w:val="18"/>
              </w:rPr>
              <w:t>Retrospective study</w:t>
            </w:r>
          </w:p>
        </w:tc>
        <w:tc>
          <w:tcPr>
            <w:tcW w:type="dxa" w:w="1511"/>
            <w:shd w:fill="FFFFFF"/>
          </w:tcPr>
          <w:p>
            <w:r>
              <w:rPr>
                <w:rFonts w:ascii="Arial" w:hAnsi="Arial"/>
                <w:color w:val="000000"/>
                <w:sz w:val="18"/>
              </w:rPr>
              <w:t>201 patients with multiple sclerosis (MS) who discontinued natalizumab treatment between 2007 and 2012</w:t>
            </w:r>
          </w:p>
        </w:tc>
        <w:tc>
          <w:tcPr>
            <w:tcW w:type="dxa" w:w="1511"/>
            <w:shd w:fill="FFFFFF"/>
          </w:tcPr>
          <w:p>
            <w:r>
              <w:rPr>
                <w:rFonts w:ascii="Arial" w:hAnsi="Arial"/>
                <w:color w:val="000000"/>
                <w:sz w:val="18"/>
              </w:rPr>
              <w:t>Discontinuation of natalizumab</w:t>
            </w:r>
          </w:p>
        </w:tc>
        <w:tc>
          <w:tcPr>
            <w:tcW w:type="dxa" w:w="1511"/>
            <w:shd w:fill="FFFFFF"/>
          </w:tcPr>
          <w:p>
            <w:r>
              <w:rPr>
                <w:rFonts w:ascii="Arial" w:hAnsi="Arial"/>
                <w:color w:val="000000"/>
                <w:sz w:val="18"/>
              </w:rPr>
              <w:t>Comparison between patients with and without rebound of MS disease activity after natalizumab cessation</w:t>
            </w:r>
          </w:p>
        </w:tc>
        <w:tc>
          <w:tcPr>
            <w:tcW w:type="dxa" w:w="1511"/>
            <w:shd w:fill="FFFFFF"/>
          </w:tcPr>
          <w:p>
            <w:r>
              <w:rPr>
                <w:rFonts w:ascii="Arial" w:hAnsi="Arial"/>
                <w:color w:val="000000"/>
                <w:sz w:val="18"/>
              </w:rPr>
              <w:t>Clinical disease activity (annualized relapse rate, Expanded Disability Status Scale) and MRI disease activity (gadolinium-enhancing lesions, T2 lesion load) after natalizumab cessation</w:t>
            </w:r>
          </w:p>
        </w:tc>
        <w:tc>
          <w:tcPr>
            <w:tcW w:type="dxa" w:w="1511"/>
            <w:shd w:fill="FFFFFF"/>
          </w:tcPr>
          <w:p>
            <w:r>
              <w:rPr>
                <w:rFonts w:ascii="Arial" w:hAnsi="Arial"/>
                <w:color w:val="000000"/>
                <w:sz w:val="18"/>
              </w:rPr>
              <w:t>A total of 11.9% experienced a rebound phenomenon within twelve months. Mean ARR prenatalizumab was lower and treatment response to natalizumab poorer in patients with rebound compared to those without, but rebound was not associated with brief exposure to natalizumab. 86.1% of patients switched to another therapy. Patients without rebound were more often in the group starting an alternative treatment early.</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