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Results</w:t>
      </w:r>
    </w:p>
    <w:tbl>
      <w:tblPr>
        <w:tblStyle w:val="TableGrid"/>
        <w:tblW w:type="auto" w:w="0"/>
        <w:tblLook w:firstColumn="1" w:firstRow="1" w:lastColumn="0" w:lastRow="0" w:noHBand="0" w:noVBand="1" w:val="04A0"/>
      </w:tblPr>
      <w:tblGrid>
        <w:gridCol w:w="1539"/>
        <w:gridCol w:w="1539"/>
        <w:gridCol w:w="1539"/>
        <w:gridCol w:w="1539"/>
        <w:gridCol w:w="1539"/>
        <w:gridCol w:w="1539"/>
        <w:gridCol w:w="1539"/>
        <w:gridCol w:w="1539"/>
        <w:gridCol w:w="1539"/>
        <w:gridCol w:w="1539"/>
      </w:tblGrid>
      <w:tr>
        <w:tc>
          <w:tcPr>
            <w:tcW w:type="dxa" w:w="1511"/>
            <w:shd w:fill="FFFFFF"/>
            <w:tcBorders>
              <w:bottom w:val="single" w:sz="4" w:space="0" w:color="000000"/>
            </w:tcBorders>
          </w:tcPr>
          <w:p>
            <w:pPr>
              <w:jc w:val="center"/>
            </w:pPr>
            <w:r>
              <w:rPr>
                <w:rFonts w:ascii="Arial" w:hAnsi="Arial"/>
                <w:b/>
                <w:color w:val="000000"/>
                <w:sz w:val="20"/>
              </w:rPr>
              <w:t>Filename</w:t>
            </w:r>
          </w:p>
        </w:tc>
        <w:tc>
          <w:tcPr>
            <w:tcW w:type="dxa" w:w="1511"/>
            <w:shd w:fill="FFFFFF"/>
            <w:tcBorders>
              <w:bottom w:val="single" w:sz="4" w:space="0" w:color="000000"/>
            </w:tcBorders>
          </w:tcPr>
          <w:p>
            <w:pPr>
              <w:jc w:val="center"/>
            </w:pPr>
            <w:r>
              <w:rPr>
                <w:rFonts w:ascii="Arial" w:hAnsi="Arial"/>
                <w:b/>
                <w:color w:val="000000"/>
                <w:sz w:val="20"/>
              </w:rPr>
              <w:t>Confidence</w:t>
            </w:r>
          </w:p>
        </w:tc>
        <w:tc>
          <w:tcPr>
            <w:tcW w:type="dxa" w:w="1511"/>
            <w:shd w:fill="FFFFFF"/>
            <w:tcBorders>
              <w:bottom w:val="single" w:sz="4" w:space="0" w:color="000000"/>
            </w:tcBorders>
          </w:tcPr>
          <w:p>
            <w:pPr>
              <w:jc w:val="center"/>
            </w:pPr>
            <w:r>
              <w:rPr>
                <w:rFonts w:ascii="Arial" w:hAnsi="Arial"/>
                <w:b/>
                <w:color w:val="000000"/>
                <w:sz w:val="20"/>
              </w:rPr>
              <w:t>Paper Title</w:t>
            </w:r>
          </w:p>
        </w:tc>
        <w:tc>
          <w:tcPr>
            <w:tcW w:type="dxa" w:w="1511"/>
            <w:shd w:fill="FFFFFF"/>
            <w:tcBorders>
              <w:bottom w:val="single" w:sz="4" w:space="0" w:color="000000"/>
            </w:tcBorders>
          </w:tcPr>
          <w:p>
            <w:pPr>
              <w:jc w:val="center"/>
            </w:pPr>
            <w:r>
              <w:rPr>
                <w:rFonts w:ascii="Arial" w:hAnsi="Arial"/>
                <w:b/>
                <w:color w:val="000000"/>
                <w:sz w:val="20"/>
              </w:rPr>
              <w:t>Conclusion</w:t>
            </w:r>
          </w:p>
        </w:tc>
        <w:tc>
          <w:tcPr>
            <w:tcW w:type="dxa" w:w="1511"/>
            <w:shd w:fill="FFFFFF"/>
            <w:tcBorders>
              <w:bottom w:val="single" w:sz="4" w:space="0" w:color="000000"/>
            </w:tcBorders>
          </w:tcPr>
          <w:p>
            <w:pPr>
              <w:jc w:val="center"/>
            </w:pPr>
            <w:r>
              <w:rPr>
                <w:rFonts w:ascii="Arial" w:hAnsi="Arial"/>
                <w:b/>
                <w:color w:val="000000"/>
                <w:sz w:val="20"/>
              </w:rPr>
              <w:t>Type of Study</w:t>
            </w:r>
          </w:p>
        </w:tc>
        <w:tc>
          <w:tcPr>
            <w:tcW w:type="dxa" w:w="1511"/>
            <w:shd w:fill="FFFFFF"/>
            <w:tcBorders>
              <w:bottom w:val="single" w:sz="4" w:space="0" w:color="000000"/>
            </w:tcBorders>
          </w:tcPr>
          <w:p>
            <w:pPr>
              <w:jc w:val="center"/>
            </w:pPr>
            <w:r>
              <w:rPr>
                <w:rFonts w:ascii="Arial" w:hAnsi="Arial"/>
                <w:b/>
                <w:color w:val="000000"/>
                <w:sz w:val="20"/>
              </w:rPr>
              <w:t>Population</w:t>
            </w:r>
          </w:p>
        </w:tc>
        <w:tc>
          <w:tcPr>
            <w:tcW w:type="dxa" w:w="1511"/>
            <w:shd w:fill="FFFFFF"/>
            <w:tcBorders>
              <w:bottom w:val="single" w:sz="4" w:space="0" w:color="000000"/>
            </w:tcBorders>
          </w:tcPr>
          <w:p>
            <w:pPr>
              <w:jc w:val="center"/>
            </w:pPr>
            <w:r>
              <w:rPr>
                <w:rFonts w:ascii="Arial" w:hAnsi="Arial"/>
                <w:b/>
                <w:color w:val="000000"/>
                <w:sz w:val="20"/>
              </w:rPr>
              <w:t>Intervention</w:t>
            </w:r>
          </w:p>
        </w:tc>
        <w:tc>
          <w:tcPr>
            <w:tcW w:type="dxa" w:w="1511"/>
            <w:shd w:fill="FFFFFF"/>
            <w:tcBorders>
              <w:bottom w:val="single" w:sz="4" w:space="0" w:color="000000"/>
            </w:tcBorders>
          </w:tcPr>
          <w:p>
            <w:pPr>
              <w:jc w:val="center"/>
            </w:pPr>
            <w:r>
              <w:rPr>
                <w:rFonts w:ascii="Arial" w:hAnsi="Arial"/>
                <w:b/>
                <w:color w:val="000000"/>
                <w:sz w:val="20"/>
              </w:rPr>
              <w:t>comparison</w:t>
            </w:r>
          </w:p>
        </w:tc>
        <w:tc>
          <w:tcPr>
            <w:tcW w:type="dxa" w:w="1511"/>
            <w:shd w:fill="FFFFFF"/>
            <w:tcBorders>
              <w:bottom w:val="single" w:sz="4" w:space="0" w:color="000000"/>
            </w:tcBorders>
          </w:tcPr>
          <w:p>
            <w:pPr>
              <w:jc w:val="center"/>
            </w:pPr>
            <w:r>
              <w:rPr>
                <w:rFonts w:ascii="Arial" w:hAnsi="Arial"/>
                <w:b/>
                <w:color w:val="000000"/>
                <w:sz w:val="20"/>
              </w:rPr>
              <w:t>outcome</w:t>
            </w:r>
          </w:p>
        </w:tc>
        <w:tc>
          <w:tcPr>
            <w:tcW w:type="dxa" w:w="1511"/>
            <w:shd w:fill="FFFFFF"/>
            <w:tcBorders>
              <w:bottom w:val="single" w:sz="4" w:space="0" w:color="000000"/>
            </w:tcBorders>
          </w:tcPr>
          <w:p>
            <w:pPr>
              <w:jc w:val="center"/>
            </w:pPr>
            <w:r>
              <w:rPr>
                <w:rFonts w:ascii="Arial" w:hAnsi="Arial"/>
                <w:b/>
                <w:color w:val="000000"/>
                <w:sz w:val="20"/>
              </w:rPr>
              <w:t>Results</w:t>
            </w:r>
          </w:p>
        </w:tc>
      </w:tr>
      <w:tr>
        <w:tc>
          <w:tcPr>
            <w:tcW w:type="dxa" w:w="1511"/>
            <w:shd w:fill="FFFFFF"/>
          </w:tcPr>
          <w:p>
            <w:r>
              <w:rPr>
                <w:rFonts w:ascii="Arial" w:hAnsi="Arial"/>
                <w:color w:val="000000"/>
                <w:sz w:val="18"/>
              </w:rPr>
              <w:t>1-s2.0-S0022510X21003166-main.pdf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Wearing-off symptoms during standard and extended natalizumab dosing intervals: Experiences from the COVID-19 pandemic</w:t>
            </w:r>
          </w:p>
        </w:tc>
        <w:tc>
          <w:tcPr>
            <w:tcW w:type="dxa" w:w="1511"/>
            <w:shd w:fill="FFFFFF"/>
          </w:tcPr>
          <w:p>
            <w:r>
              <w:rPr>
                <w:rFonts w:ascii="Arial" w:hAnsi="Arial"/>
                <w:color w:val="000000"/>
                <w:sz w:val="18"/>
              </w:rPr>
              <w:t>EID increased wearing-off symptoms, especially in patients with pre-existing wearing-off; further RCTs are needed to study the effect of EID on wearing-off symptoms.</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RRMS patients over 18 years of age receiving natalizumab</w:t>
            </w:r>
          </w:p>
        </w:tc>
        <w:tc>
          <w:tcPr>
            <w:tcW w:type="dxa" w:w="1511"/>
            <w:shd w:fill="FFFFFF"/>
          </w:tcPr>
          <w:p>
            <w:r>
              <w:rPr>
                <w:rFonts w:ascii="Arial" w:hAnsi="Arial"/>
                <w:color w:val="000000"/>
                <w:sz w:val="18"/>
              </w:rPr>
              <w:t>Extended interval dosing (EID) from 4 to 6 weeks</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Wearing-off symptoms</w:t>
            </w:r>
          </w:p>
        </w:tc>
        <w:tc>
          <w:tcPr>
            <w:tcW w:type="dxa" w:w="1511"/>
            <w:shd w:fill="FFFFFF"/>
          </w:tcPr>
          <w:p>
            <w:r>
              <w:rPr>
                <w:rFonts w:ascii="Arial" w:hAnsi="Arial"/>
                <w:color w:val="000000"/>
                <w:sz w:val="18"/>
              </w:rPr>
              <w:t>New or increased wearing-off symptoms during EID were reported by 50%; symptom increase was more frequent among patients with pre-existing wearing-off symptoms during SID compared to patients without such pre-existing symptoms [p = 0.0005]. Median natalizumab RO at SID was lower in 9 of 11 leukocyte subtypes in patients who later reported symptom increase during EID compared to patients with unchanged symptoms during EID, but the difference was not statistically significant.</w:t>
            </w:r>
          </w:p>
        </w:tc>
      </w:tr>
      <w:tr>
        <w:tc>
          <w:tcPr>
            <w:tcW w:type="dxa" w:w="1511"/>
            <w:shd w:fill="FFFFFF"/>
          </w:tcPr>
          <w:p>
            <w:r>
              <w:rPr>
                <w:rFonts w:ascii="Arial" w:hAnsi="Arial"/>
                <w:color w:val="000000"/>
                <w:sz w:val="18"/>
              </w:rPr>
              <w:t>1-s2.0-S221103482100612X-main.pdf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Safety of Natalizumab infusion in multiple sclerosis patients during active SARS-CoV-2 infection</w:t>
            </w:r>
          </w:p>
        </w:tc>
        <w:tc>
          <w:tcPr>
            <w:tcW w:type="dxa" w:w="1511"/>
            <w:shd w:fill="FFFFFF"/>
          </w:tcPr>
          <w:p>
            <w:r>
              <w:rPr>
                <w:rFonts w:ascii="Arial" w:hAnsi="Arial"/>
                <w:color w:val="000000"/>
                <w:sz w:val="18"/>
              </w:rPr>
              <w:t>Our data supports the safety of NTZ redosing in pwMS during active SARS-CoV-2 infection; NTZ redosing is not associated with worsening of COVID-19 symptoms or recovery delay.</w:t>
            </w:r>
          </w:p>
        </w:tc>
        <w:tc>
          <w:tcPr>
            <w:tcW w:type="dxa" w:w="1511"/>
            <w:shd w:fill="FFFFFF"/>
          </w:tcPr>
          <w:p>
            <w:r>
              <w:rPr>
                <w:rFonts w:ascii="Arial" w:hAnsi="Arial"/>
                <w:color w:val="000000"/>
                <w:sz w:val="18"/>
              </w:rPr>
              <w:t>Retrospective study</w:t>
            </w:r>
          </w:p>
        </w:tc>
        <w:tc>
          <w:tcPr>
            <w:tcW w:type="dxa" w:w="1511"/>
            <w:shd w:fill="FFFFFF"/>
          </w:tcPr>
          <w:p>
            <w:r>
              <w:rPr>
                <w:rFonts w:ascii="Arial" w:hAnsi="Arial"/>
                <w:color w:val="000000"/>
                <w:sz w:val="18"/>
              </w:rPr>
              <w:t>18 relapsing-remitting multiple sclerosis patients (pwMS) receiving natalizumab treatment, infected with SARS-CoV-2</w:t>
            </w:r>
          </w:p>
        </w:tc>
        <w:tc>
          <w:tcPr>
            <w:tcW w:type="dxa" w:w="1511"/>
            <w:shd w:fill="FFFFFF"/>
          </w:tcPr>
          <w:p>
            <w:r>
              <w:rPr>
                <w:rFonts w:ascii="Arial" w:hAnsi="Arial"/>
                <w:color w:val="000000"/>
                <w:sz w:val="18"/>
              </w:rPr>
              <w:t>Natalizumab (NTZ) infusion retreatment</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Clinical outcomes of SARS-CoV-2 infection (including worsening of infection, recovery delay, new neurological symptoms, and gastrointestinal symptoms)</w:t>
            </w:r>
          </w:p>
        </w:tc>
        <w:tc>
          <w:tcPr>
            <w:tcW w:type="dxa" w:w="1511"/>
            <w:shd w:fill="FFFFFF"/>
          </w:tcPr>
          <w:p>
            <w:r>
              <w:rPr>
                <w:rFonts w:ascii="Arial" w:hAnsi="Arial"/>
                <w:color w:val="000000"/>
                <w:sz w:val="18"/>
              </w:rPr>
              <w:t>All 18 patients experienced at least one COVID-19 symptom at onset; no patient reported worsening of SARS-CoV-2 symptoms or new neurological symptoms after NTZ reinfusion. Patients still symptomatic at reinfusion had a mean recovery time of 10±12 days. Overall cohort had mean intervals from symptom onset to NTZ reinfusion (19±9 days), symptom onset to full recovery (13±9 days), and positive swab to negative swab (32±15 days).</w:t>
            </w:r>
          </w:p>
        </w:tc>
      </w:tr>
      <w:tr>
        <w:tc>
          <w:tcPr>
            <w:tcW w:type="dxa" w:w="1511"/>
            <w:shd w:fill="FFFFFF"/>
          </w:tcPr>
          <w:p>
            <w:r>
              <w:rPr>
                <w:rFonts w:ascii="Arial" w:hAnsi="Arial"/>
                <w:color w:val="000000"/>
                <w:sz w:val="18"/>
              </w:rPr>
              <w:t>1-s2.0-S1878747924000370-main.pdf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Commentary Extended interval dosing of natalizumab: More evidence in support</w:t>
            </w:r>
          </w:p>
        </w:tc>
        <w:tc>
          <w:tcPr>
            <w:tcW w:type="dxa" w:w="1511"/>
            <w:shd w:fill="FFFFFF"/>
          </w:tcPr>
          <w:p>
            <w:r>
              <w:rPr>
                <w:rFonts w:ascii="Arial" w:hAnsi="Arial"/>
                <w:color w:val="000000"/>
                <w:sz w:val="18"/>
              </w:rPr>
              <w:t>The main findings of the study by Ruggieri et al. are in line with previous observational studies demonstrating similar benefits with EID versus SID at a dosing interval of 6 weeks. This supports the notion of being able to extend the natalizumab dosing interval without compromising expected benefits, and potentially reducing harm of PML. Reductions in infusion frequency also have the benefits of decreasing cost and increasing patient convenience. Nevertheless, EID natalizumab has not been studied as a first line approach, and most participants in the current study were on previous treatments. Additional data are needed in patients with more recently diagnosed, and likely more active, disease. Although the exploratory BMI analysis is a valuable addition to the literature, further studies are needed, ideally including parallel information on natalizumab concentrations and target receptor saturation. An ongoing prospective Dutch study is poised to provide further high-quality evidence re...</w:t>
            </w:r>
          </w:p>
        </w:tc>
        <w:tc>
          <w:tcPr>
            <w:tcW w:type="dxa" w:w="1511"/>
            <w:shd w:fill="FFFFFF"/>
          </w:tcPr>
          <w:p>
            <w:r>
              <w:rPr>
                <w:rFonts w:ascii="Arial" w:hAnsi="Arial"/>
                <w:color w:val="000000"/>
                <w:sz w:val="18"/>
              </w:rPr>
              <w:t>Commentary</w:t>
            </w:r>
          </w:p>
        </w:tc>
        <w:tc>
          <w:tcPr>
            <w:tcW w:type="dxa" w:w="1511"/>
            <w:shd w:fill="FFFFFF"/>
          </w:tcPr>
          <w:p>
            <w:r>
              <w:rPr>
                <w:rFonts w:ascii="Arial" w:hAnsi="Arial"/>
                <w:color w:val="000000"/>
                <w:sz w:val="18"/>
              </w:rPr>
              <w:t>Adults with multiple sclerosis (mostly female, mean disease duration ~8.5 years, many with prior disease-modifying therapy)</w:t>
            </w:r>
          </w:p>
        </w:tc>
        <w:tc>
          <w:tcPr>
            <w:tcW w:type="dxa" w:w="1511"/>
            <w:shd w:fill="FFFFFF"/>
          </w:tcPr>
          <w:p>
            <w:r>
              <w:rPr>
                <w:rFonts w:ascii="Arial" w:hAnsi="Arial"/>
                <w:color w:val="000000"/>
                <w:sz w:val="18"/>
              </w:rPr>
              <w:t>Extended interval dosing of natalizumab</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Evidence of disease activity (EDA), defined as clinical relapses, MRI activity, or disability worsening per the Expanded Disability Status Scale (EDSS)</w:t>
            </w:r>
          </w:p>
        </w:tc>
        <w:tc>
          <w:tcPr>
            <w:tcW w:type="dxa" w:w="1511"/>
            <w:shd w:fill="FFFFFF"/>
          </w:tcPr>
          <w:p>
            <w:r>
              <w:rPr>
                <w:rFonts w:ascii="Arial" w:hAnsi="Arial"/>
                <w:color w:val="000000"/>
                <w:sz w:val="18"/>
              </w:rPr>
              <w:t>Primary analysis showed no differences between SID and EID (5–7 weeks) for specified outcomes. Similar results for SID vs. EID (7–8 weeks), trend toward greater hazard for clinical relapses with EID (HR 1.74, 95% CI 0.99–3.02, p=0.054). Exploratory BMI analysis showed significant interaction between BMI and treatment regimen regarding EDA, suggesting BMI is relevant for dosing regimen selection. No differences in EDA between binarized BMI groups when inverse probability treatment weighted models were applied.</w:t>
            </w:r>
          </w:p>
        </w:tc>
      </w:tr>
      <w:tr>
        <w:tc>
          <w:tcPr>
            <w:tcW w:type="dxa" w:w="1511"/>
            <w:shd w:fill="FFFFFF"/>
          </w:tcPr>
          <w:p>
            <w:r>
              <w:rPr>
                <w:rFonts w:ascii="Arial" w:hAnsi="Arial"/>
                <w:color w:val="000000"/>
                <w:sz w:val="18"/>
              </w:rPr>
              <w:t>3_Managing_disease_activity_during_treatment_with_.pdf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MANAGING DISEASE ACTIVITY DURING TREATMENT WITH NATALIZUMAB IN RELAPSING-REMITTING MULTIPLE SCLEROSIS</w:t>
            </w:r>
          </w:p>
        </w:tc>
        <w:tc>
          <w:tcPr>
            <w:tcW w:type="dxa" w:w="1511"/>
            <w:shd w:fill="FFFFFF"/>
          </w:tcPr>
          <w:p>
            <w:r>
              <w:rPr>
                <w:rFonts w:ascii="Arial" w:hAnsi="Arial"/>
                <w:color w:val="000000"/>
                <w:sz w:val="18"/>
              </w:rPr>
              <w:t>We have shown that following natalizumab failure, switching to B-cell depleting agents (ocrelizumab and rituximab), but not alemtuzumab, is associated with a clinically meaningful reduction in the risk of relapses in comparison to continuing natalizumab therapy. Clinicians should consider B-cell depletion following natalizumab failure where appropriate.</w:t>
            </w:r>
          </w:p>
        </w:tc>
        <w:tc>
          <w:tcPr>
            <w:tcW w:type="dxa" w:w="1511"/>
            <w:shd w:fill="FFFFFF"/>
          </w:tcPr>
          <w:p>
            <w:r>
              <w:rPr>
                <w:rFonts w:ascii="Arial" w:hAnsi="Arial"/>
                <w:color w:val="000000"/>
                <w:sz w:val="18"/>
              </w:rPr>
              <w:t>Prospective cohort study</w:t>
            </w:r>
          </w:p>
        </w:tc>
        <w:tc>
          <w:tcPr>
            <w:tcW w:type="dxa" w:w="1511"/>
            <w:shd w:fill="FFFFFF"/>
          </w:tcPr>
          <w:p>
            <w:r>
              <w:rPr>
                <w:rFonts w:ascii="Arial" w:hAnsi="Arial"/>
                <w:color w:val="000000"/>
                <w:sz w:val="18"/>
              </w:rPr>
              <w:t>Patients with relapsing-remitting multiple sclerosis (RRMS) who experienced failure of natalizumab therapy (defined as breakthrough relapses or ≥3 new or gadolinium-enhancing lesions on MRI).</w:t>
            </w:r>
          </w:p>
        </w:tc>
        <w:tc>
          <w:tcPr>
            <w:tcW w:type="dxa" w:w="1511"/>
            <w:shd w:fill="FFFFFF"/>
          </w:tcPr>
          <w:p>
            <w:r>
              <w:rPr>
                <w:rFonts w:ascii="Arial" w:hAnsi="Arial"/>
                <w:color w:val="000000"/>
                <w:sz w:val="18"/>
              </w:rPr>
              <w:t>Natalizumab therapy (and subsequent treatment decisions after failure, including continuing natalizumab, treatment de-escalation, switching to anti-CD20 therapy, or switching to alemtuzumab).</w:t>
            </w:r>
          </w:p>
        </w:tc>
        <w:tc>
          <w:tcPr>
            <w:tcW w:type="dxa" w:w="1511"/>
            <w:shd w:fill="FFFFFF"/>
          </w:tcPr>
          <w:p>
            <w:r>
              <w:rPr>
                <w:rFonts w:ascii="Arial" w:hAnsi="Arial"/>
                <w:color w:val="000000"/>
                <w:sz w:val="18"/>
              </w:rPr>
              <w:t>Continuing natalizumab therapy versus switching to anti-CD20 therapy (ocrelizumab/rituximab), treatment de-escalation, or switching to alemtuzumab.</w:t>
            </w:r>
          </w:p>
        </w:tc>
        <w:tc>
          <w:tcPr>
            <w:tcW w:type="dxa" w:w="1511"/>
            <w:shd w:fill="FFFFFF"/>
          </w:tcPr>
          <w:p>
            <w:r>
              <w:rPr>
                <w:rFonts w:ascii="Arial" w:hAnsi="Arial"/>
                <w:color w:val="000000"/>
                <w:sz w:val="18"/>
              </w:rPr>
              <w:t>Risk of further relapses, new MRI activity, expanded disability status scale (EDSS) worsening, and disease-activity free survival.</w:t>
            </w:r>
          </w:p>
        </w:tc>
        <w:tc>
          <w:tcPr>
            <w:tcW w:type="dxa" w:w="1511"/>
            <w:shd w:fill="FFFFFF"/>
          </w:tcPr>
          <w:p>
            <w:r>
              <w:rPr>
                <w:rFonts w:ascii="Arial" w:hAnsi="Arial"/>
                <w:color w:val="000000"/>
                <w:sz w:val="18"/>
              </w:rPr>
              <w:t>Of the 1,131 natalizumab-treated patients, 85 de-escalated treatment, 39 switched to anti-CD20 therapy, and 28 switched to alemtuzumab. Switching to anti-CD20 therapy was associated with a significantly lower risk of relapse (HR=0.51, 95%CI=0.29–0.88) compared to continuing natalizumab. Treatment de-escalation or cessation increased the risk of subsequent relapses (HR=1.40, 95% CI=1.10–1.79; HR=1.89, 95%CI=1.09–3.28, respectively). No significant difference was found for switching to alemtuzumab in the primary analysis; secondary analyses also did not show differences for alemtuzumab or other outcomes.</w:t>
            </w:r>
          </w:p>
        </w:tc>
      </w:tr>
      <w:tr>
        <w:tc>
          <w:tcPr>
            <w:tcW w:type="dxa" w:w="1511"/>
            <w:shd w:fill="FFFFFF"/>
          </w:tcPr>
          <w:p>
            <w:r>
              <w:rPr>
                <w:rFonts w:ascii="Arial" w:hAnsi="Arial"/>
                <w:color w:val="000000"/>
                <w:sz w:val="18"/>
              </w:rPr>
              <w:t>10.1007@s00415-014-7574-6.pdf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Intense immunosuppression for the treatment of an immune reconstitution inflammatory syndrome-like exacerbation after natalizumab withdrawal: a case report</w:t>
            </w:r>
          </w:p>
        </w:tc>
        <w:tc>
          <w:tcPr>
            <w:tcW w:type="dxa" w:w="1511"/>
            <w:shd w:fill="FFFFFF"/>
          </w:tcPr>
          <w:p>
            <w:r>
              <w:rPr>
                <w:rFonts w:ascii="Arial" w:hAnsi="Arial"/>
                <w:color w:val="000000"/>
                <w:sz w:val="18"/>
              </w:rPr>
              <w:t>In the meantime, IRIS can be a serious manifestation related to NTZ treatment interruption and the administration of intense immunosuppression, once PML is ruled out, a therapeutic option for such rapidly worsening condition.</w:t>
            </w:r>
          </w:p>
        </w:tc>
        <w:tc>
          <w:tcPr>
            <w:tcW w:type="dxa" w:w="1511"/>
            <w:shd w:fill="FFFFFF"/>
          </w:tcPr>
          <w:p>
            <w:r>
              <w:rPr>
                <w:rFonts w:ascii="Arial" w:hAnsi="Arial"/>
                <w:color w:val="000000"/>
                <w:sz w:val="18"/>
              </w:rPr>
              <w:t>Case report</w:t>
            </w:r>
          </w:p>
        </w:tc>
        <w:tc>
          <w:tcPr>
            <w:tcW w:type="dxa" w:w="1511"/>
            <w:shd w:fill="FFFFFF"/>
          </w:tcPr>
          <w:p>
            <w:r>
              <w:rPr>
                <w:rFonts w:ascii="Arial" w:hAnsi="Arial"/>
                <w:color w:val="000000"/>
                <w:sz w:val="18"/>
              </w:rPr>
              <w:t>43-year-old woman with relapsing–remitting multiple sclerosis (MS)</w:t>
            </w:r>
          </w:p>
        </w:tc>
        <w:tc>
          <w:tcPr>
            <w:tcW w:type="dxa" w:w="1511"/>
            <w:shd w:fill="FFFFFF"/>
          </w:tcPr>
          <w:p>
            <w:r>
              <w:rPr>
                <w:rFonts w:ascii="Arial" w:hAnsi="Arial"/>
                <w:color w:val="000000"/>
                <w:sz w:val="18"/>
              </w:rPr>
              <w:t>Intense immunosuppression (including 1 g IV cyclophosphamide followed by a cycle of rituximab)</w:t>
            </w:r>
          </w:p>
        </w:tc>
        <w:tc>
          <w:tcPr>
            <w:tcW w:type="dxa" w:w="1511"/>
            <w:shd w:fill="FFFFFF"/>
          </w:tcPr>
          <w:p>
            <w:r>
              <w:rPr>
                <w:rFonts w:ascii="Arial" w:hAnsi="Arial"/>
                <w:color w:val="000000"/>
                <w:sz w:val="18"/>
              </w:rPr>
              <w:t>Standard therapy (IVMP, plasma exchange) vs intense immunosuppression</w:t>
            </w:r>
          </w:p>
        </w:tc>
        <w:tc>
          <w:tcPr>
            <w:tcW w:type="dxa" w:w="1511"/>
            <w:shd w:fill="FFFFFF"/>
          </w:tcPr>
          <w:p>
            <w:r>
              <w:rPr>
                <w:rFonts w:ascii="Arial" w:hAnsi="Arial"/>
                <w:color w:val="000000"/>
                <w:sz w:val="18"/>
              </w:rPr>
              <w:t>Clinical and radiological improvement (EDSS improved from 9.0 to 3.0, lesions reduced)</w:t>
            </w:r>
          </w:p>
        </w:tc>
        <w:tc>
          <w:tcPr>
            <w:tcW w:type="dxa" w:w="1511"/>
            <w:shd w:fill="FFFFFF"/>
          </w:tcPr>
          <w:p>
            <w:r>
              <w:rPr>
                <w:rFonts w:ascii="Arial" w:hAnsi="Arial"/>
                <w:color w:val="000000"/>
                <w:sz w:val="18"/>
              </w:rPr>
              <w:t>Patient’s condition improved clinically (EDSS 5.0) and radiologically (lesions decreased), with EDSS 3.0 at 16 months, resuming glatiramer acetate after 16 months of being free of activity.</w:t>
            </w:r>
          </w:p>
        </w:tc>
      </w:tr>
      <w:tr>
        <w:tc>
          <w:tcPr>
            <w:tcW w:type="dxa" w:w="1511"/>
            <w:shd w:fill="FFFFFF"/>
          </w:tcPr>
          <w:p>
            <w:r>
              <w:rPr>
                <w:rFonts w:ascii="Arial" w:hAnsi="Arial"/>
                <w:color w:val="000000"/>
                <w:sz w:val="18"/>
              </w:rPr>
              <w:t>A real world multi center study on efficacy and safety of natalizumab in Indian patients with multiple sclerosis_Author links open overlay panel_Thomas Mathew a_, _Vikram Kamath b_, _Saji K John a_, _M Netravat.pdf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 real world multi center study on efficacy and safety of natalizumab in Indian patients with multiple sclerosis</w:t>
            </w:r>
          </w:p>
        </w:tc>
        <w:tc>
          <w:tcPr>
            <w:tcW w:type="dxa" w:w="1511"/>
            <w:shd w:fill="FFFFFF"/>
          </w:tcPr>
          <w:p>
            <w:r>
              <w:rPr>
                <w:rFonts w:ascii="Arial" w:hAnsi="Arial"/>
                <w:color w:val="000000"/>
                <w:sz w:val="18"/>
              </w:rPr>
              <w:t>Natalizumab is a highly effective treatment strategy in Indian patients with MS. The risk benefit ratio appears highly favorable with no reports of PML as of now. A short course of natalizumab and lack of prior exposure to immunosuppressant therapy may be the reason for the lack of PML in the present study. Patients with RRMS and SPMS benefit with respect to relapse rate while EDSS improvement was observed only in the RRMS cohort. Initiating natalizumab early in the disease course, before other immunosuppressive medications and keeping the duration of treatment shorter is important for optimum safety and efficacy.</w:t>
            </w:r>
          </w:p>
        </w:tc>
        <w:tc>
          <w:tcPr>
            <w:tcW w:type="dxa" w:w="1511"/>
            <w:shd w:fill="FFFFFF"/>
          </w:tcPr>
          <w:p>
            <w:r>
              <w:rPr>
                <w:rFonts w:ascii="Arial" w:hAnsi="Arial"/>
                <w:color w:val="000000"/>
                <w:sz w:val="18"/>
              </w:rPr>
              <w:t>Multicentre ambispective study</w:t>
            </w:r>
          </w:p>
        </w:tc>
        <w:tc>
          <w:tcPr>
            <w:tcW w:type="dxa" w:w="1511"/>
            <w:shd w:fill="FFFFFF"/>
          </w:tcPr>
          <w:p>
            <w:r>
              <w:rPr>
                <w:rFonts w:ascii="Arial" w:hAnsi="Arial"/>
                <w:color w:val="000000"/>
                <w:sz w:val="18"/>
              </w:rPr>
              <w:t>Indian patients with multiple sclerosis (age ≥18 years)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Pre-treatment vs post-treatment (before vs after natalizumab)</w:t>
            </w:r>
          </w:p>
        </w:tc>
        <w:tc>
          <w:tcPr>
            <w:tcW w:type="dxa" w:w="1511"/>
            <w:shd w:fill="FFFFFF"/>
          </w:tcPr>
          <w:p>
            <w:r>
              <w:rPr>
                <w:rFonts w:ascii="Arial" w:hAnsi="Arial"/>
                <w:color w:val="000000"/>
                <w:sz w:val="18"/>
              </w:rPr>
              <w:t>Relapse rate and Expanded Disability Status Scale (EDSS) score</w:t>
            </w:r>
          </w:p>
        </w:tc>
        <w:tc>
          <w:tcPr>
            <w:tcW w:type="dxa" w:w="1511"/>
            <w:shd w:fill="FFFFFF"/>
          </w:tcPr>
          <w:p>
            <w:r>
              <w:rPr>
                <w:rFonts w:ascii="Arial" w:hAnsi="Arial"/>
                <w:color w:val="000000"/>
                <w:sz w:val="18"/>
              </w:rPr>
              <w:t>During the study period of nine years, 116 MS patients were treated with NTZ. Mean age of the cohort was 35.6 ± 9.7 years; 83/116 (71.6%) were females. Relapse rate for the entire cohort in the year before NTZ was 3.1 ± 1.51 while one year after was 0.20±0.57 (p = 0.001; CI 2.45 -3.35). EDSS of the entire cohort in the year before NTZ was 4.5 ± 1.94 and one year after was 3.8 ± 2.7 (p = 0.013; CI 0.16–1.36). At last follow up (38.3 ± 22.78 months) there were no cases of PML identified.</w:t>
            </w:r>
          </w:p>
        </w:tc>
      </w:tr>
      <w:tr>
        <w:tc>
          <w:tcPr>
            <w:tcW w:type="dxa" w:w="1511"/>
            <w:shd w:fill="FFFFFF"/>
          </w:tcPr>
          <w:p>
            <w:r>
              <w:rPr>
                <w:rFonts w:ascii="Arial" w:hAnsi="Arial"/>
                <w:color w:val="000000"/>
                <w:sz w:val="18"/>
              </w:rPr>
              <w:t>Balduzzi et al. - 2019 - How to perform a meta-analysis with R a practical tutorial.pdf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How to perform a meta-analysis with R: a practical tutorial</w:t>
            </w:r>
          </w:p>
        </w:tc>
        <w:tc>
          <w:tcPr>
            <w:tcW w:type="dxa" w:w="1511"/>
            <w:shd w:fill="FFFFFF"/>
          </w:tcPr>
          <w:p>
            <w:r>
              <w:rPr>
                <w:rFonts w:ascii="Arial" w:hAnsi="Arial"/>
                <w:color w:val="000000"/>
                <w:sz w:val="18"/>
              </w:rPr>
              <w:t>R represents a powerful and flexible tool to conduct meta-analyses. This publication gives a brief glimpse into the topic and provides directions to more advanced meta-analysis methods available in R.</w:t>
            </w:r>
          </w:p>
        </w:tc>
        <w:tc>
          <w:tcPr>
            <w:tcW w:type="dxa" w:w="1511"/>
            <w:shd w:fill="FFFFFF"/>
          </w:tcPr>
          <w:p>
            <w:r>
              <w:rPr>
                <w:rFonts w:ascii="Arial" w:hAnsi="Arial"/>
                <w:color w:val="000000"/>
                <w:sz w:val="18"/>
              </w:rPr>
              <w:t>Meta-analysis tutorial (practical guide)</w:t>
            </w:r>
          </w:p>
        </w:tc>
        <w:tc>
          <w:tcPr>
            <w:tcW w:type="dxa" w:w="1511"/>
            <w:shd w:fill="FFFFFF"/>
          </w:tcPr>
          <w:p>
            <w:r>
              <w:rPr>
                <w:rFonts w:ascii="Arial" w:hAnsi="Arial"/>
                <w:color w:val="000000"/>
                <w:sz w:val="18"/>
              </w:rPr>
              <w:t>17 trials comparing haloperidol and placebo for symptoms of schizophrenia</w:t>
            </w:r>
          </w:p>
        </w:tc>
        <w:tc>
          <w:tcPr>
            <w:tcW w:type="dxa" w:w="1511"/>
            <w:shd w:fill="FFFFFF"/>
          </w:tcPr>
          <w:p>
            <w:r>
              <w:rPr>
                <w:rFonts w:ascii="Arial" w:hAnsi="Arial"/>
                <w:color w:val="000000"/>
                <w:sz w:val="18"/>
              </w:rPr>
              <w:t>haloperidol</w:t>
            </w:r>
          </w:p>
        </w:tc>
        <w:tc>
          <w:tcPr>
            <w:tcW w:type="dxa" w:w="1511"/>
            <w:shd w:fill="FFFFFF"/>
          </w:tcPr>
          <w:p>
            <w:r>
              <w:rPr>
                <w:rFonts w:ascii="Arial" w:hAnsi="Arial"/>
                <w:color w:val="000000"/>
                <w:sz w:val="18"/>
              </w:rPr>
              <w:t>placebo</w:t>
            </w:r>
          </w:p>
        </w:tc>
        <w:tc>
          <w:tcPr>
            <w:tcW w:type="dxa" w:w="1511"/>
            <w:shd w:fill="FFFFFF"/>
          </w:tcPr>
          <w:p>
            <w:r>
              <w:rPr>
                <w:rFonts w:ascii="Arial" w:hAnsi="Arial"/>
                <w:color w:val="000000"/>
                <w:sz w:val="18"/>
              </w:rPr>
              <w:t>clinical improvement (binary outcome)</w:t>
            </w:r>
          </w:p>
        </w:tc>
        <w:tc>
          <w:tcPr>
            <w:tcW w:type="dxa" w:w="1511"/>
            <w:shd w:fill="FFFFFF"/>
          </w:tcPr>
          <w:p>
            <w:r>
              <w:rPr>
                <w:rFonts w:ascii="Arial" w:hAnsi="Arial"/>
                <w:color w:val="000000"/>
                <w:sz w:val="18"/>
              </w:rPr>
              <w:t>Fixed effect and random effects meta-analysis showed haloperidol significantly more effective than placebo (RR &gt; 1), but prediction interval suggested future studies might favor placebo. Subgroup analysis indicated studies without missing data reported larger effects. Sensitivity analyses for missing data yielded similar results supporting haloperidol benefit. Funnel plot asymmetry indicated small-study effects; trim-and-fill and limit meta-analysis adjusted estimates to non-significant benefit, while contour-enhanced funnel plot suggested asymmetry not due to publication bias.</w:t>
            </w:r>
          </w:p>
        </w:tc>
      </w:tr>
      <w:tr>
        <w:tc>
          <w:tcPr>
            <w:tcW w:type="dxa" w:w="1511"/>
            <w:shd w:fill="FFFFFF"/>
          </w:tcPr>
          <w:p>
            <w:r>
              <w:rPr>
                <w:rFonts w:ascii="Arial" w:hAnsi="Arial"/>
                <w:color w:val="000000"/>
                <w:sz w:val="18"/>
              </w:rPr>
              <w:t>Bernardes et al. - 2024 - Natalizumab extended interval dosing what about wearing-off effect.pdf</w:t>
            </w:r>
          </w:p>
        </w:tc>
        <w:tc>
          <w:tcPr>
            <w:tcW w:type="dxa" w:w="1511"/>
            <w:shd w:fill="FFFFFF"/>
          </w:tcPr>
          <w:p>
            <w:r>
              <w:rPr>
                <w:rFonts w:ascii="Arial" w:hAnsi="Arial"/>
                <w:color w:val="000000"/>
                <w:sz w:val="18"/>
              </w:rPr>
              <w:t>1.0</w:t>
            </w:r>
          </w:p>
        </w:tc>
        <w:tc>
          <w:tcPr>
            <w:tcW w:type="dxa" w:w="1511"/>
            <w:shd w:fill="FFFFFF"/>
          </w:tcPr>
          <w:p>
            <w:r>
              <w:rPr>
                <w:rFonts w:ascii="Arial" w:hAnsi="Arial"/>
                <w:color w:val="000000"/>
                <w:sz w:val="18"/>
              </w:rPr>
              <w:t>Natalizumab extended interval dosing: what about wearing-off effect?</w:t>
            </w:r>
          </w:p>
        </w:tc>
        <w:tc>
          <w:tcPr>
            <w:tcW w:type="dxa" w:w="1511"/>
            <w:shd w:fill="FFFFFF"/>
          </w:tcPr>
          <w:p>
            <w:r>
              <w:rPr>
                <w:rFonts w:ascii="Arial" w:hAnsi="Arial"/>
                <w:color w:val="000000"/>
                <w:sz w:val="18"/>
              </w:rPr>
              <w:t>WO affects a significant proportion of MS patients under natalizumab. Its prevalence, severity, and duration increase on EID, therefore despite clinical effectiveness maintenance of this posology should be individualized.</w:t>
            </w:r>
          </w:p>
        </w:tc>
        <w:tc>
          <w:tcPr>
            <w:tcW w:type="dxa" w:w="1511"/>
            <w:shd w:fill="FFFFFF"/>
          </w:tcPr>
          <w:p>
            <w:r>
              <w:rPr>
                <w:rFonts w:ascii="Arial" w:hAnsi="Arial"/>
                <w:color w:val="000000"/>
                <w:sz w:val="18"/>
              </w:rPr>
              <w:t>Observational retrospective study</w:t>
            </w:r>
          </w:p>
        </w:tc>
        <w:tc>
          <w:tcPr>
            <w:tcW w:type="dxa" w:w="1511"/>
            <w:shd w:fill="FFFFFF"/>
          </w:tcPr>
          <w:p>
            <w:r>
              <w:rPr>
                <w:rFonts w:ascii="Arial" w:hAnsi="Arial"/>
                <w:color w:val="000000"/>
                <w:sz w:val="18"/>
              </w:rPr>
              <w:t>Patients with multiple sclerosis (MS) receiving natalizumab on extended interval dosing (EID)</w:t>
            </w:r>
          </w:p>
        </w:tc>
        <w:tc>
          <w:tcPr>
            <w:tcW w:type="dxa" w:w="1511"/>
            <w:shd w:fill="FFFFFF"/>
          </w:tcPr>
          <w:p>
            <w:r>
              <w:rPr>
                <w:rFonts w:ascii="Arial" w:hAnsi="Arial"/>
                <w:color w:val="000000"/>
                <w:sz w:val="18"/>
              </w:rPr>
              <w:t>Extended interval dosing (EID) with every six weeks infusions</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Wearing-off (WO) effect prevalence, severity, duration, and annual relapse rate</w:t>
            </w:r>
          </w:p>
        </w:tc>
        <w:tc>
          <w:tcPr>
            <w:tcW w:type="dxa" w:w="1511"/>
            <w:shd w:fill="FFFFFF"/>
          </w:tcPr>
          <w:p>
            <w:r>
              <w:rPr>
                <w:rFonts w:ascii="Arial" w:hAnsi="Arial"/>
                <w:color w:val="000000"/>
                <w:sz w:val="18"/>
              </w:rPr>
              <w:t>Seventy-six patients were included. No significant differences were found in the annual relapse rate after the switch to EID (p = 0.083). However, there was a significant increase in the proportion of patients complaining of WO from 38.2% to 56.6% (p = 0.001). Moreover, patients with WO on SID experienced a significant increase in severity and duration of WO symptoms when switching to EID.</w:t>
            </w:r>
          </w:p>
        </w:tc>
      </w:tr>
      <w:tr>
        <w:tc>
          <w:tcPr>
            <w:tcW w:type="dxa" w:w="1511"/>
            <w:shd w:fill="FFFFFF"/>
          </w:tcPr>
          <w:p>
            <w:r>
              <w:rPr>
                <w:rFonts w:ascii="Arial" w:hAnsi="Arial"/>
                <w:color w:val="000000"/>
                <w:sz w:val="18"/>
              </w:rPr>
              <w:t>Bigaut et al. - 2021 - Long-term effect of natalizumab in patients with RRMS TYSTEN cohort.pdf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Long-term effect of natalizumab in patients with RRMS: TYSTEN cohort</w:t>
            </w:r>
          </w:p>
        </w:tc>
        <w:tc>
          <w:tcPr>
            <w:tcW w:type="dxa" w:w="1511"/>
            <w:shd w:fill="FFFFFF"/>
          </w:tcPr>
          <w:p>
            <w:r>
              <w:rPr>
                <w:rFonts w:ascii="Arial" w:hAnsi="Arial"/>
                <w:color w:val="000000"/>
                <w:sz w:val="18"/>
              </w:rPr>
              <w:t>In our cohort of patients treated with NTZ, poor outcomes were infrequent and are driven by disease activity. Not reaching NEDA-3, MRI worsening, increased EDSS score, and to a lesser extent the occurrence of relapse were identified as predictive of disability at the long-term.</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relapsing-remitting multiple sclerosis (RRMS) patients treated with natalizumab (NTZ)</w:t>
            </w:r>
          </w:p>
        </w:tc>
        <w:tc>
          <w:tcPr>
            <w:tcW w:type="dxa" w:w="1511"/>
            <w:shd w:fill="FFFFFF"/>
          </w:tcPr>
          <w:p>
            <w:r>
              <w:rPr>
                <w:rFonts w:ascii="Arial" w:hAnsi="Arial"/>
                <w:color w:val="000000"/>
                <w:sz w:val="18"/>
              </w:rPr>
              <w:t>natalizumab (NTZ)</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time to onset of secondary progressive multiple sclerosis (SPMS), EDSS worsening, EDSS 4.0, EDSS 6.0, and treatment failure</w:t>
            </w:r>
          </w:p>
        </w:tc>
        <w:tc>
          <w:tcPr>
            <w:tcW w:type="dxa" w:w="1511"/>
            <w:shd w:fill="FFFFFF"/>
          </w:tcPr>
          <w:p>
            <w:r>
              <w:rPr>
                <w:rFonts w:ascii="Arial" w:hAnsi="Arial"/>
                <w:color w:val="000000"/>
                <w:sz w:val="18"/>
              </w:rPr>
              <w:t>770 patients were included. The mean follow-up duration was 97 months and the mean time exposure to NTZ was 66 months. At 10 years, the cumulative probability of SPMS was 27.7%. Predictive factors for poor outcomes were a ≥1-point increase in EDSS score from baseline, new T2 lesion or T1 gadolinium-enhancing lesion, the occurrence of relapse at 1 or 2 years and No Evidence of Disease Activity (NEDA-3; no relapse, no new T2 or T1 gadolinium-enhancing lesions, no progression) was a protective factor.</w:t>
            </w:r>
          </w:p>
        </w:tc>
      </w:tr>
      <w:tr>
        <w:tc>
          <w:tcPr>
            <w:tcW w:type="dxa" w:w="1511"/>
            <w:shd w:fill="FFFFFF"/>
          </w:tcPr>
          <w:p>
            <w:r>
              <w:rPr>
                <w:rFonts w:ascii="Arial" w:hAnsi="Arial"/>
                <w:color w:val="000000"/>
                <w:sz w:val="18"/>
              </w:rPr>
              <w:t>Bomprezzi and Pawate - 2014 - Extended interval dosing of natalizumab a two-center, 7-year experience.pdf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Extended interval dosing of natalizumab: a two-center, 7-year experience</w:t>
            </w:r>
          </w:p>
        </w:tc>
        <w:tc>
          <w:tcPr>
            <w:tcW w:type="dxa" w:w="1511"/>
            <w:shd w:fill="FFFFFF"/>
          </w:tcPr>
          <w:p>
            <w:r>
              <w:rPr>
                <w:rFonts w:ascii="Arial" w:hAnsi="Arial"/>
                <w:color w:val="000000"/>
                <w:sz w:val="18"/>
              </w:rPr>
              <w:t>Natalizumab is effective in controlling MS as very few clinical relapses were observed in our dataset. We found that EID did not compromise the treatment effect as measured by relapse rate and no significant breakthrough disease activity was observed. EID is an optional regimen for maintenance natalizumab therapy, but prospective studies are warranted to determine its efficacy.</w:t>
            </w:r>
          </w:p>
        </w:tc>
        <w:tc>
          <w:tcPr>
            <w:tcW w:type="dxa" w:w="1511"/>
            <w:shd w:fill="FFFFFF"/>
          </w:tcPr>
          <w:p>
            <w:r>
              <w:rPr>
                <w:rFonts w:ascii="Arial" w:hAnsi="Arial"/>
                <w:color w:val="000000"/>
                <w:sz w:val="18"/>
              </w:rPr>
              <w:t>Retrospective review</w:t>
            </w:r>
          </w:p>
        </w:tc>
        <w:tc>
          <w:tcPr>
            <w:tcW w:type="dxa" w:w="1511"/>
            <w:shd w:fill="FFFFFF"/>
          </w:tcPr>
          <w:p>
            <w:r>
              <w:rPr>
                <w:rFonts w:ascii="Arial" w:hAnsi="Arial"/>
                <w:color w:val="000000"/>
                <w:sz w:val="18"/>
              </w:rPr>
              <w:t>Patients with multiple sclerosis (MS) treated with natalizumab at two MS centers</w:t>
            </w:r>
          </w:p>
        </w:tc>
        <w:tc>
          <w:tcPr>
            <w:tcW w:type="dxa" w:w="1511"/>
            <w:shd w:fill="FFFFFF"/>
          </w:tcPr>
          <w:p>
            <w:r>
              <w:rPr>
                <w:rFonts w:ascii="Arial" w:hAnsi="Arial"/>
                <w:color w:val="000000"/>
                <w:sz w:val="18"/>
              </w:rPr>
              <w:t>Extended interval dosing (EID) of natalizumab (administered every 6 or 8 weeks)</w:t>
            </w:r>
          </w:p>
        </w:tc>
        <w:tc>
          <w:tcPr>
            <w:tcW w:type="dxa" w:w="1511"/>
            <w:shd w:fill="FFFFFF"/>
          </w:tcPr>
          <w:p>
            <w:r>
              <w:rPr>
                <w:rFonts w:ascii="Arial" w:hAnsi="Arial"/>
                <w:color w:val="000000"/>
                <w:sz w:val="18"/>
              </w:rPr>
              <w:t>Standard monthly dosing (every 4 weeks) vs. extended interval dosing (EID)</w:t>
            </w:r>
          </w:p>
        </w:tc>
        <w:tc>
          <w:tcPr>
            <w:tcW w:type="dxa" w:w="1511"/>
            <w:shd w:fill="FFFFFF"/>
          </w:tcPr>
          <w:p>
            <w:r>
              <w:rPr>
                <w:rFonts w:ascii="Arial" w:hAnsi="Arial"/>
                <w:color w:val="000000"/>
                <w:sz w:val="18"/>
              </w:rPr>
              <w:t>Clinical relapse rate and MRI activity (new T2, FLAIR or contrast enhancing lesions)</w:t>
            </w:r>
          </w:p>
        </w:tc>
        <w:tc>
          <w:tcPr>
            <w:tcW w:type="dxa" w:w="1511"/>
            <w:shd w:fill="FFFFFF"/>
          </w:tcPr>
          <w:p>
            <w:r>
              <w:rPr>
                <w:rFonts w:ascii="Arial" w:hAnsi="Arial"/>
                <w:color w:val="000000"/>
                <w:sz w:val="18"/>
              </w:rPr>
              <w:t>Over the study period, there was no significant difference in relapse rate between monthly dosing (13%) and EID (13%) groups. New MRI lesions were 11% in monthly dosing and 9% in EID groups. Prolonged interruption of natalizumab led to relapses within ~6 months.</w:t>
            </w:r>
          </w:p>
        </w:tc>
      </w:tr>
      <w:tr>
        <w:tc>
          <w:tcPr>
            <w:tcW w:type="dxa" w:w="1511"/>
            <w:shd w:fill="FFFFFF"/>
          </w:tcPr>
          <w:p>
            <w:r>
              <w:rPr>
                <w:rFonts w:ascii="Arial" w:hAnsi="Arial"/>
                <w:color w:val="000000"/>
                <w:sz w:val="18"/>
              </w:rPr>
              <w:t>Brandstadter et al. - 2017 - The use of natalizumab for multiple sclerosis.pdf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The use of natalizumab for multiple sclerosis</w:t>
            </w:r>
          </w:p>
        </w:tc>
        <w:tc>
          <w:tcPr>
            <w:tcW w:type="dxa" w:w="1511"/>
            <w:shd w:fill="FFFFFF"/>
          </w:tcPr>
          <w:p>
            <w:r>
              <w:rPr>
                <w:rFonts w:ascii="Arial" w:hAnsi="Arial"/>
                <w:color w:val="000000"/>
                <w:sz w:val="18"/>
              </w:rPr>
              <w:t>Natalizumab remains an important part of the treatment arsenal for patients with RRMS. It has proven to be highly efficacious in the reduction of clinical relapses and prevention of new MRI activity. Though generally well-tolerated, natalizumab does carry a risk for the life-threatening condition PML. Risk mitigation awareness and development of a formal monitoring program have encouraged careful prescribing of natalizumab, though the risk of PML has not been fully eliminated. Future work continues into the development of new biomarkers that may better predict an individual’s risk of PML and further improve upon natalizumab’s safety.</w:t>
            </w:r>
          </w:p>
        </w:tc>
        <w:tc>
          <w:tcPr>
            <w:tcW w:type="dxa" w:w="1511"/>
            <w:shd w:fill="FFFFFF"/>
          </w:tcPr>
          <w:p>
            <w:r>
              <w:rPr>
                <w:rFonts w:ascii="Arial" w:hAnsi="Arial"/>
                <w:color w:val="000000"/>
                <w:sz w:val="18"/>
              </w:rPr>
              <w:t>Review</w:t>
            </w:r>
          </w:p>
        </w:tc>
        <w:tc>
          <w:tcPr>
            <w:tcW w:type="dxa" w:w="1511"/>
            <w:shd w:fill="FFFFFF"/>
          </w:tcPr>
          <w:p>
            <w:r>
              <w:rPr>
                <w:rFonts w:ascii="Arial" w:hAnsi="Arial"/>
                <w:color w:val="000000"/>
                <w:sz w:val="18"/>
              </w:rPr>
              <w:t>Patients with multiple sclerosis (including relapsing-remitting and secondary progressive subtypes)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Placebo</w:t>
            </w:r>
          </w:p>
        </w:tc>
        <w:tc>
          <w:tcPr>
            <w:tcW w:type="dxa" w:w="1511"/>
            <w:shd w:fill="FFFFFF"/>
          </w:tcPr>
          <w:p>
            <w:r>
              <w:rPr>
                <w:rFonts w:ascii="Arial" w:hAnsi="Arial"/>
                <w:color w:val="000000"/>
                <w:sz w:val="18"/>
              </w:rPr>
              <w:t>Annualized relapse rate, MRI lesion activity, disability progression</w:t>
            </w:r>
          </w:p>
        </w:tc>
        <w:tc>
          <w:tcPr>
            <w:tcW w:type="dxa" w:w="1511"/>
            <w:shd w:fill="FFFFFF"/>
          </w:tcPr>
          <w:p>
            <w:r>
              <w:rPr>
                <w:rFonts w:ascii="Arial" w:hAnsi="Arial"/>
                <w:color w:val="000000"/>
                <w:sz w:val="18"/>
              </w:rPr>
              <w:t>In Phase III trials for relapsing-remitting multiple sclerosis (RRMS), natalizumab reduced the annualized relapse rate by 68% at 1 year and 42% reduction in risk of sustained disability worsening at 2 years compared to placebo. It also decreased new/enlarging T2 MRI lesions by 83% and gadolinium-enhancing lesions by 92%. In secondary progressive multiple sclerosis (SPMS), natalizumab did not show significant difference in disability progression but reduced upper extremity disability. Safety concerns include progressive multifocal leukoencephalopathy (PML) risk, especially in patients with positive anti-JCV antibodies, prior immunosuppressant use, and long duration of therapy.</w:t>
            </w:r>
          </w:p>
        </w:tc>
      </w:tr>
      <w:tr>
        <w:tc>
          <w:tcPr>
            <w:tcW w:type="dxa" w:w="1511"/>
            <w:shd w:fill="FFFFFF"/>
          </w:tcPr>
          <w:p>
            <w:r>
              <w:rPr>
                <w:rFonts w:ascii="Arial" w:hAnsi="Arial"/>
                <w:color w:val="000000"/>
                <w:sz w:val="18"/>
              </w:rPr>
              <w:t>Buron et al. - 2023 - Natalizumab treatment of multiple sclerosis — a Danish nationwide study with 13 years of follow-up.pdf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treatment of multiple sclerosis — a Danish nationwide study with 13 years of follow-up</w:t>
            </w:r>
          </w:p>
        </w:tc>
        <w:tc>
          <w:tcPr>
            <w:tcW w:type="dxa" w:w="1511"/>
            <w:shd w:fill="FFFFFF"/>
          </w:tcPr>
          <w:p>
            <w:r>
              <w:rPr>
                <w:rFonts w:ascii="Arial" w:hAnsi="Arial"/>
                <w:color w:val="000000"/>
                <w:sz w:val="18"/>
              </w:rPr>
              <w:t>Natalizumab is increasingly used earlier in the disease course. Most patients treated with natalizumab are clinically stable with few adverse events. JCV antibodies constitute the main cause for discontinuation.</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Multiple sclerosis patients initiating natalizumab treatment in Denmark</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Clinical and radiological outcomes including annualized relapse rate, confirmed Expanded Disability Status Scale (EDSS) worsening, MRI activity, and reported adverse events</w:t>
            </w:r>
          </w:p>
        </w:tc>
        <w:tc>
          <w:tcPr>
            <w:tcW w:type="dxa" w:w="1511"/>
            <w:shd w:fill="FFFFFF"/>
          </w:tcPr>
          <w:p>
            <w:r>
              <w:rPr>
                <w:rFonts w:ascii="Arial" w:hAnsi="Arial"/>
                <w:color w:val="000000"/>
                <w:sz w:val="18"/>
              </w:rPr>
              <w:t>In total, 2424 patients were enrolled with median follow-up of 2.7 years. At 13 years follow-up, 36% had confirmed EDSS worsening. On-treatment annualized relapse rate (ARR) was 0.30, corresponding to a 72% reduction from pre-initiation. MRI activity was rare: 6.8% had activity within 2–14 months, 3.4% within 14–26 months, and 2.7% within 26–38 months. Approximately 14% reported adverse events, with cephalalgia being the majority. During the study, 62.3% discontinued treatment, mainly due to JCV antibodies (41%).</w:t>
            </w:r>
          </w:p>
        </w:tc>
      </w:tr>
      <w:tr>
        <w:tc>
          <w:tcPr>
            <w:tcW w:type="dxa" w:w="1511"/>
            <w:shd w:fill="FFFFFF"/>
          </w:tcPr>
          <w:p>
            <w:r>
              <w:rPr>
                <w:rFonts w:ascii="Arial" w:hAnsi="Arial"/>
                <w:color w:val="000000"/>
                <w:sz w:val="18"/>
              </w:rPr>
              <w:t>Butzkueven et al. - Similar clinical outcomes for natalizumab patients switching to every-6-week dosing versus remaining.pdf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Similar Clinical Outcomes for Natalizumab Patients Switching to Every-6-Week Dosing Versus Remaining on Every-4-Week Dosing in Real-World Practice</w:t>
            </w:r>
          </w:p>
        </w:tc>
        <w:tc>
          <w:tcPr>
            <w:tcW w:type="dxa" w:w="1511"/>
            <w:shd w:fill="FFFFFF"/>
          </w:tcPr>
          <w:p>
            <w:r>
              <w:rPr>
                <w:rFonts w:ascii="Arial" w:hAnsi="Arial"/>
                <w:color w:val="000000"/>
                <w:sz w:val="18"/>
              </w:rPr>
              <w:t>These analyses of real-world data from TOP demonstrate no significant difference in risk of relapse or 24-week CDW between propensity score–matched patients who switched to natalizumab Q6W dosing after ≥1 year on Q4W dosing and patients who remained on Q4W dosing. These results also confirm and extend a previous analysis of TOP data that suggested maintenance of effectiveness in patients who switched from standard interval dosing to extended interval dosing. While Q6W patients appeared to experience fewer serious adverse events (SAEs) than Q4W patients, conclusions regarding safety of Q6W and Q4W dosing are limited by small patient sample sizes. While propensity score matching and adjustment were used to account for several potentially important covariates, findings are limited by possible selection biases from unmeasured covariates. These results, combined with other real-world and clinical studies, including the ongoing, randomized, prospective NOVA trial (NCT03689972), will provide ...</w:t>
            </w:r>
          </w:p>
        </w:tc>
        <w:tc>
          <w:tcPr>
            <w:tcW w:type="dxa" w:w="1511"/>
            <w:shd w:fill="FFFFFF"/>
          </w:tcPr>
          <w:p>
            <w:r>
              <w:rPr>
                <w:rFonts w:ascii="Arial" w:hAnsi="Arial"/>
                <w:color w:val="000000"/>
                <w:sz w:val="18"/>
              </w:rPr>
              <w:t>Propensity score–matched observational study (TOP data)</w:t>
            </w:r>
          </w:p>
        </w:tc>
        <w:tc>
          <w:tcPr>
            <w:tcW w:type="dxa" w:w="1511"/>
            <w:shd w:fill="FFFFFF"/>
          </w:tcPr>
          <w:p>
            <w:r>
              <w:rPr>
                <w:rFonts w:ascii="Arial" w:hAnsi="Arial"/>
                <w:color w:val="000000"/>
                <w:sz w:val="18"/>
              </w:rPr>
              <w:t>Patients with relapsing-remitting multiple sclerosis (RRMS) who were on natalizumab every-4-week (Q4W) dosing for at least 1 year, comparing those who switched to every-6-week (Q6W) dosing to those who remained on Q4W dosing.</w:t>
            </w:r>
          </w:p>
        </w:tc>
        <w:tc>
          <w:tcPr>
            <w:tcW w:type="dxa" w:w="1511"/>
            <w:shd w:fill="FFFFFF"/>
          </w:tcPr>
          <w:p>
            <w:r>
              <w:rPr>
                <w:rFonts w:ascii="Arial" w:hAnsi="Arial"/>
                <w:color w:val="000000"/>
                <w:sz w:val="18"/>
              </w:rPr>
              <w:t>Switching to every-6-week (Q6W) dosing of natalizumab</w:t>
            </w:r>
          </w:p>
        </w:tc>
        <w:tc>
          <w:tcPr>
            <w:tcW w:type="dxa" w:w="1511"/>
            <w:shd w:fill="FFFFFF"/>
          </w:tcPr>
          <w:p>
            <w:r>
              <w:rPr>
                <w:rFonts w:ascii="Arial" w:hAnsi="Arial"/>
                <w:color w:val="000000"/>
                <w:sz w:val="18"/>
              </w:rPr>
              <w:t>Every-6-week (Q6W) dosing of natalizumab versus every-4-week (Q4W) dosing of natalizumab</w:t>
            </w:r>
          </w:p>
        </w:tc>
        <w:tc>
          <w:tcPr>
            <w:tcW w:type="dxa" w:w="1511"/>
            <w:shd w:fill="FFFFFF"/>
          </w:tcPr>
          <w:p>
            <w:r>
              <w:rPr>
                <w:rFonts w:ascii="Arial" w:hAnsi="Arial"/>
                <w:color w:val="000000"/>
                <w:sz w:val="18"/>
              </w:rPr>
              <w:t>Relapse outcomes (annualized relapse rate, time to first relapse) and disability outcomes (24-week confirmed disability worsening (CDW)), and safety outcomes (serious adverse events, PML incidence)</w:t>
            </w:r>
          </w:p>
        </w:tc>
        <w:tc>
          <w:tcPr>
            <w:tcW w:type="dxa" w:w="1511"/>
            <w:shd w:fill="FFFFFF"/>
          </w:tcPr>
          <w:p>
            <w:r>
              <w:rPr>
                <w:rFonts w:ascii="Arial" w:hAnsi="Arial"/>
                <w:color w:val="000000"/>
                <w:sz w:val="18"/>
              </w:rPr>
              <w:t>No significant difference in relapse or 24-week CDW risk between Q6W-switched and Q4W patients; Q6W patients experienced fewer serious adverse events (SAEs) than Q4W patients, though safety conclusions are limited by small sample sizes; propensity score matching adjusted for covariates but selection bias remains a limitation; combined with other studies will provide a more complete understanding of Q6W effectiveness.</w:t>
            </w:r>
          </w:p>
        </w:tc>
      </w:tr>
      <w:tr>
        <w:tc>
          <w:tcPr>
            <w:tcW w:type="dxa" w:w="1511"/>
            <w:shd w:fill="FFFFFF"/>
          </w:tcPr>
          <w:p>
            <w:r>
              <w:rPr>
                <w:rFonts w:ascii="Arial" w:hAnsi="Arial"/>
                <w:color w:val="000000"/>
                <w:sz w:val="18"/>
              </w:rPr>
              <w:t>Chisari et al. - 2020 - Clinical effectiveness of different natalizumab interval dosing schedules in a large Italian populat.pdf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Clinical effectiveness of different natalizumab interval dosing schedules in a large Italian population of patients with multiple sclerosis</w:t>
            </w:r>
          </w:p>
        </w:tc>
        <w:tc>
          <w:tcPr>
            <w:tcW w:type="dxa" w:w="1511"/>
            <w:shd w:fill="FFFFFF"/>
          </w:tcPr>
          <w:p>
            <w:r>
              <w:rPr>
                <w:rFonts w:ascii="Arial" w:hAnsi="Arial"/>
                <w:color w:val="000000"/>
                <w:sz w:val="18"/>
              </w:rPr>
              <w:t>In our retrospective multicentre study, EID does not appear to statistically diminish the effectiveness of NTZ, and comparable results were registered across all measured outcomes, including ARR, CEW risks and NEDA-2 outcome between the SID and EID groups.</w:t>
            </w:r>
          </w:p>
        </w:tc>
        <w:tc>
          <w:tcPr>
            <w:tcW w:type="dxa" w:w="1511"/>
            <w:shd w:fill="FFFFFF"/>
          </w:tcPr>
          <w:p>
            <w:r>
              <w:rPr>
                <w:rFonts w:ascii="Arial" w:hAnsi="Arial"/>
                <w:color w:val="000000"/>
                <w:sz w:val="18"/>
              </w:rPr>
              <w:t>retrospective multicentre study</w:t>
            </w:r>
          </w:p>
        </w:tc>
        <w:tc>
          <w:tcPr>
            <w:tcW w:type="dxa" w:w="1511"/>
            <w:shd w:fill="FFFFFF"/>
          </w:tcPr>
          <w:p>
            <w:r>
              <w:rPr>
                <w:rFonts w:ascii="Arial" w:hAnsi="Arial"/>
                <w:color w:val="000000"/>
                <w:sz w:val="18"/>
              </w:rPr>
              <w:t>patients with multiple sclerosis (relapsing-remitting MS) from 11 Italian MS centres contributing to the Italian MS Register</w:t>
            </w:r>
          </w:p>
        </w:tc>
        <w:tc>
          <w:tcPr>
            <w:tcW w:type="dxa" w:w="1511"/>
            <w:shd w:fill="FFFFFF"/>
          </w:tcPr>
          <w:p>
            <w:r>
              <w:rPr>
                <w:rFonts w:ascii="Arial" w:hAnsi="Arial"/>
                <w:color w:val="000000"/>
                <w:sz w:val="18"/>
              </w:rPr>
              <w:t>Natalizumab (NTZ) administered according to standard interval dosing (SID) vs extended interval dosing (EID)</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annualised relapse rate, disability status (EDSS), progression index, confirmed disability worsening, no evidence of disease activity (NEDA-2)</w:t>
            </w:r>
          </w:p>
        </w:tc>
        <w:tc>
          <w:tcPr>
            <w:tcW w:type="dxa" w:w="1511"/>
            <w:shd w:fill="FFFFFF"/>
          </w:tcPr>
          <w:p>
            <w:r>
              <w:rPr>
                <w:rFonts w:ascii="Arial" w:hAnsi="Arial"/>
                <w:color w:val="000000"/>
                <w:sz w:val="18"/>
              </w:rPr>
              <w:t>At 12 and 24 months, no differences in terms of annualised relapse rate and disability status were found between the two groups. Progression index and confirmed disability worsening were similar between the two groups.</w:t>
            </w:r>
          </w:p>
        </w:tc>
      </w:tr>
      <w:tr>
        <w:tc>
          <w:tcPr>
            <w:tcW w:type="dxa" w:w="1511"/>
            <w:shd w:fill="FFFFFF"/>
          </w:tcPr>
          <w:p>
            <w:r>
              <w:rPr>
                <w:rFonts w:ascii="Arial" w:hAnsi="Arial"/>
                <w:color w:val="000000"/>
                <w:sz w:val="18"/>
              </w:rPr>
              <w:t>Clerico et al. - Extending the Interval of Natalizumab Dosing Is Efficacy Preserved.pdf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Extending the Interval of Natalizumab Dosing: Is Efficacy Preserved?</w:t>
            </w:r>
          </w:p>
        </w:tc>
        <w:tc>
          <w:tcPr>
            <w:tcW w:type="dxa" w:w="1511"/>
            <w:shd w:fill="FFFFFF"/>
          </w:tcPr>
          <w:p>
            <w:r>
              <w:rPr>
                <w:rFonts w:ascii="Arial" w:hAnsi="Arial"/>
                <w:color w:val="000000"/>
                <w:sz w:val="18"/>
              </w:rPr>
              <w:t>In conclusion, there is no evidence of a reduced efficacy of natalizumab in an EID setting. This observation confirms previous results and together with the emerging evidence of a reduced risk of PML associated to an EID, supports the need of a randomized study to change the standard of the natalizumab dosing schedule.</w:t>
            </w:r>
          </w:p>
        </w:tc>
        <w:tc>
          <w:tcPr>
            <w:tcW w:type="dxa" w:w="1511"/>
            <w:shd w:fill="FFFFFF"/>
          </w:tcPr>
          <w:p>
            <w:r>
              <w:rPr>
                <w:rFonts w:ascii="Arial" w:hAnsi="Arial"/>
                <w:color w:val="000000"/>
                <w:sz w:val="18"/>
              </w:rPr>
              <w:t>observational, multicenter (14 Italian centers), retrospective cohort study</w:t>
            </w:r>
          </w:p>
        </w:tc>
        <w:tc>
          <w:tcPr>
            <w:tcW w:type="dxa" w:w="1511"/>
            <w:shd w:fill="FFFFFF"/>
          </w:tcPr>
          <w:p>
            <w:r>
              <w:rPr>
                <w:rFonts w:ascii="Arial" w:hAnsi="Arial"/>
                <w:color w:val="000000"/>
                <w:sz w:val="18"/>
              </w:rPr>
              <w:t>Adult patients with clinically definite relapsing MS (R-MS), according to revised McDonald’s criteria, who received at least 24 natalizumab doses and decided to continue natalizumab</w:t>
            </w:r>
          </w:p>
        </w:tc>
        <w:tc>
          <w:tcPr>
            <w:tcW w:type="dxa" w:w="1511"/>
            <w:shd w:fill="FFFFFF"/>
          </w:tcPr>
          <w:p>
            <w:r>
              <w:rPr>
                <w:rFonts w:ascii="Arial" w:hAnsi="Arial"/>
                <w:color w:val="000000"/>
                <w:sz w:val="18"/>
              </w:rPr>
              <w:t>Extended interval dosing (EID) of natalizumab</w:t>
            </w:r>
          </w:p>
        </w:tc>
        <w:tc>
          <w:tcPr>
            <w:tcW w:type="dxa" w:w="1511"/>
            <w:shd w:fill="FFFFFF"/>
          </w:tcPr>
          <w:p>
            <w:r>
              <w:rPr>
                <w:rFonts w:ascii="Arial" w:hAnsi="Arial"/>
                <w:color w:val="000000"/>
                <w:sz w:val="18"/>
              </w:rPr>
              <w:t>Standard interval dosing (SID) of natalizumab</w:t>
            </w:r>
          </w:p>
        </w:tc>
        <w:tc>
          <w:tcPr>
            <w:tcW w:type="dxa" w:w="1511"/>
            <w:shd w:fill="FFFFFF"/>
          </w:tcPr>
          <w:p>
            <w:r>
              <w:rPr>
                <w:rFonts w:ascii="Arial" w:hAnsi="Arial"/>
                <w:color w:val="000000"/>
                <w:sz w:val="18"/>
              </w:rPr>
              <w:t>Annualized relapse rate (ARR)</w:t>
            </w:r>
          </w:p>
        </w:tc>
        <w:tc>
          <w:tcPr>
            <w:tcW w:type="dxa" w:w="1511"/>
            <w:shd w:fill="FFFFFF"/>
          </w:tcPr>
          <w:p>
            <w:r>
              <w:rPr>
                <w:rFonts w:ascii="Arial" w:hAnsi="Arial"/>
                <w:color w:val="000000"/>
                <w:sz w:val="18"/>
              </w:rPr>
              <w:t>Annualized relapse rate was 0.060 (95% CI = 0.033–0.087) in the SID group and 0.039 (95% CI = 0.017–0.063) in the EID group. The non-inferiority of EID versus SID was satisfied.</w:t>
            </w:r>
          </w:p>
        </w:tc>
      </w:tr>
      <w:tr>
        <w:tc>
          <w:tcPr>
            <w:tcW w:type="dxa" w:w="1511"/>
            <w:shd w:fill="FFFFFF"/>
          </w:tcPr>
          <w:p>
            <w:r>
              <w:rPr>
                <w:rFonts w:ascii="Arial" w:hAnsi="Arial"/>
                <w:color w:val="000000"/>
                <w:sz w:val="18"/>
              </w:rPr>
              <w:t>De Mercanti et al. - 2021 - MRI activity and extended interval of Natalizumab dosing regimen a multicentre Italian study.pdf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MRI activity and extended interval of Natalizumab dosing regimen: a multicentre Italian study</w:t>
            </w:r>
          </w:p>
        </w:tc>
        <w:tc>
          <w:tcPr>
            <w:tcW w:type="dxa" w:w="1511"/>
            <w:shd w:fill="FFFFFF"/>
          </w:tcPr>
          <w:p>
            <w:r>
              <w:rPr>
                <w:rFonts w:ascii="Arial" w:hAnsi="Arial"/>
                <w:color w:val="000000"/>
                <w:sz w:val="18"/>
              </w:rPr>
              <w:t>There is no evidence of the reduced efficacy of natalizumab in an EID setting regarding the MRI activity. This observation supports the need for a bigger randomized study to assess the need to change the standard of the natalizumab dosing schedule, to better manage JCV-positive patients.</w:t>
            </w:r>
          </w:p>
        </w:tc>
        <w:tc>
          <w:tcPr>
            <w:tcW w:type="dxa" w:w="1511"/>
            <w:shd w:fill="FFFFFF"/>
          </w:tcPr>
          <w:p>
            <w:r>
              <w:rPr>
                <w:rFonts w:ascii="Arial" w:hAnsi="Arial"/>
                <w:color w:val="000000"/>
                <w:sz w:val="18"/>
              </w:rPr>
              <w:t>Observational, multicentre, retrospective cohort study</w:t>
            </w:r>
          </w:p>
        </w:tc>
        <w:tc>
          <w:tcPr>
            <w:tcW w:type="dxa" w:w="1511"/>
            <w:shd w:fill="FFFFFF"/>
          </w:tcPr>
          <w:p>
            <w:r>
              <w:rPr>
                <w:rFonts w:ascii="Arial" w:hAnsi="Arial"/>
                <w:color w:val="000000"/>
                <w:sz w:val="18"/>
              </w:rPr>
              <w:t>Adult patients with clinically definite relapsing-remitting multiple sclerosis (R-MS) who received at least 24 consecutive natalizumab doses and decided to continue natalizumab</w:t>
            </w:r>
          </w:p>
        </w:tc>
        <w:tc>
          <w:tcPr>
            <w:tcW w:type="dxa" w:w="1511"/>
            <w:shd w:fill="FFFFFF"/>
          </w:tcPr>
          <w:p>
            <w:r>
              <w:rPr>
                <w:rFonts w:ascii="Arial" w:hAnsi="Arial"/>
                <w:color w:val="000000"/>
                <w:sz w:val="18"/>
              </w:rPr>
              <w:t>Extended interval dosing (EID) regimen of natalizumab</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MRI activity (active lesions on MRI)</w:t>
            </w:r>
          </w:p>
        </w:tc>
        <w:tc>
          <w:tcPr>
            <w:tcW w:type="dxa" w:w="1511"/>
            <w:shd w:fill="FFFFFF"/>
          </w:tcPr>
          <w:p>
            <w:r>
              <w:rPr>
                <w:rFonts w:ascii="Arial" w:hAnsi="Arial"/>
                <w:color w:val="000000"/>
                <w:sz w:val="18"/>
              </w:rPr>
              <w:t>The risk to develop active lesions on MRI was similar between SID and EID groups at 6 and 12 months after the 24th natalizumab infusion (4.27% vs 4.71% at 6 months, p=0.89; 8.50% vs 6.55% at 12 months, p=0.56). Over longer follow-up, no differences were identified. The EID regimen did not increase MRI activity.</w:t>
            </w:r>
          </w:p>
        </w:tc>
      </w:tr>
      <w:tr>
        <w:tc>
          <w:tcPr>
            <w:tcW w:type="dxa" w:w="1511"/>
            <w:shd w:fill="FFFFFF"/>
          </w:tcPr>
          <w:p>
            <w:r>
              <w:rPr>
                <w:rFonts w:ascii="Arial" w:hAnsi="Arial"/>
                <w:color w:val="000000"/>
                <w:sz w:val="18"/>
              </w:rPr>
              <w:t>Dekker et al. - 2019 - Long-term disease activity and disability progression in relapsing-remitting multiple sclerosis pati.pdf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Long-term disease activity and disability progression in relapsing-remitting multiple sclerosis patients on natalizumab</w:t>
            </w:r>
          </w:p>
        </w:tc>
        <w:tc>
          <w:tcPr>
            <w:tcW w:type="dxa" w:w="1511"/>
            <w:shd w:fill="FFFFFF"/>
          </w:tcPr>
          <w:p>
            <w:r>
              <w:rPr>
                <w:rFonts w:ascii="Arial" w:hAnsi="Arial"/>
                <w:color w:val="000000"/>
                <w:sz w:val="18"/>
              </w:rPr>
              <w:t>in this longitudinal cohort study of natalizumab treated patients, a higher than expected proportion of patients showed disability progression, taken into account the impact of initial improvement shortly after the start of natalizumab treatment. Long disease duration before the start of natalizumab predicted earlier EDSS progression. A high pre-baseline ARR predicted a lower chance of losing NEPAD-status early. These results suggest that starting treatment in an early phase of the disease in patients with high (inflammatory) disease activity may result in a more favourable outcome.</w:t>
            </w:r>
          </w:p>
        </w:tc>
        <w:tc>
          <w:tcPr>
            <w:tcW w:type="dxa" w:w="1511"/>
            <w:shd w:fill="FFFFFF"/>
          </w:tcPr>
          <w:p>
            <w:r>
              <w:rPr>
                <w:rFonts w:ascii="Arial" w:hAnsi="Arial"/>
                <w:color w:val="000000"/>
                <w:sz w:val="18"/>
              </w:rPr>
              <w:t>Clinical trial</w:t>
            </w:r>
          </w:p>
        </w:tc>
        <w:tc>
          <w:tcPr>
            <w:tcW w:type="dxa" w:w="1511"/>
            <w:shd w:fill="FFFFFF"/>
          </w:tcPr>
          <w:p>
            <w:r>
              <w:rPr>
                <w:rFonts w:ascii="Arial" w:hAnsi="Arial"/>
                <w:color w:val="000000"/>
                <w:sz w:val="18"/>
              </w:rPr>
              <w:t>Relapsing-remitting multiple sclerosis (RRMS) patients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Long-term disease activity and disability progression (measured via EDSS progression/improvement, NEDA, NEPAD status)</w:t>
            </w:r>
          </w:p>
        </w:tc>
        <w:tc>
          <w:tcPr>
            <w:tcW w:type="dxa" w:w="1511"/>
            <w:shd w:fill="FFFFFF"/>
          </w:tcPr>
          <w:p>
            <w:r>
              <w:rPr>
                <w:rFonts w:ascii="Arial" w:hAnsi="Arial"/>
                <w:color w:val="000000"/>
                <w:sz w:val="18"/>
              </w:rPr>
              <w:t>EDSS progression was seen in 43.7% of patients and EDSS improvement in 17.8%. Median follow-up was 4.9 years (IQR 3.6–6.0). Patients with a longer disease duration at natalizumab initiation have a higher hazard for earlier EDSS progression (HR 1.05, CI 1.00–1.09, p = 0.037) and a higher pre-baseline relapse rate predicted a longer NEPAD status (HR 1.70, CI 1.06–2.72, p = 0.028).</w:t>
            </w:r>
          </w:p>
        </w:tc>
      </w:tr>
      <w:tr>
        <w:tc>
          <w:tcPr>
            <w:tcW w:type="dxa" w:w="1511"/>
            <w:shd w:fill="FFFFFF"/>
          </w:tcPr>
          <w:p>
            <w:r>
              <w:rPr>
                <w:rFonts w:ascii="Arial" w:hAnsi="Arial"/>
                <w:color w:val="000000"/>
                <w:sz w:val="18"/>
              </w:rPr>
              <w:t>Derfuss et al. - 2017 - α4-integrin receptor desaturation and disease activity return after natalizumab cessation.pdf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a4-integrin receptor desaturation and disease activity return after natalizumab cessation</w:t>
            </w:r>
          </w:p>
        </w:tc>
        <w:tc>
          <w:tcPr>
            <w:tcW w:type="dxa" w:w="1511"/>
            <w:shd w:fill="FFFFFF"/>
          </w:tcPr>
          <w:p>
            <w:r>
              <w:rPr>
                <w:rFonts w:ascii="Arial" w:hAnsi="Arial"/>
                <w:color w:val="000000"/>
                <w:sz w:val="18"/>
              </w:rPr>
              <w:t>A faster decline in natalizumab RO, longer WO period, and higher T2 LV at baseline were associated with an increased risk for return of inflammatory disease activity. These results provide a mechanistic rationale and, together with the main outcomes of the TOFINGO study, support initiation of fingolimod within 8 weeks of natalizumab discontinuation.</w:t>
            </w:r>
          </w:p>
        </w:tc>
        <w:tc>
          <w:tcPr>
            <w:tcW w:type="dxa" w:w="1511"/>
            <w:shd w:fill="FFFFFF"/>
          </w:tcPr>
          <w:p>
            <w:r>
              <w:rPr>
                <w:rFonts w:ascii="Arial" w:hAnsi="Arial"/>
                <w:color w:val="000000"/>
                <w:sz w:val="18"/>
              </w:rPr>
              <w:t>Randomized, multicenter, parallel-group study</w:t>
            </w:r>
          </w:p>
        </w:tc>
        <w:tc>
          <w:tcPr>
            <w:tcW w:type="dxa" w:w="1511"/>
            <w:shd w:fill="FFFFFF"/>
          </w:tcPr>
          <w:p>
            <w:r>
              <w:rPr>
                <w:rFonts w:ascii="Arial" w:hAnsi="Arial"/>
                <w:color w:val="000000"/>
                <w:sz w:val="18"/>
              </w:rPr>
              <w:t>Patients with relapsing-remitting MS (RRMS) who received their last natalizumab infusion (LNI) within 67 days of randomization.</w:t>
            </w:r>
          </w:p>
        </w:tc>
        <w:tc>
          <w:tcPr>
            <w:tcW w:type="dxa" w:w="1511"/>
            <w:shd w:fill="FFFFFF"/>
          </w:tcPr>
          <w:p>
            <w:r>
              <w:rPr>
                <w:rFonts w:ascii="Arial" w:hAnsi="Arial"/>
                <w:color w:val="000000"/>
                <w:sz w:val="18"/>
              </w:rPr>
              <w:t>Natalizumab discontinuation (with 8-, 12-, or 16-week washout periods)</w:t>
            </w:r>
          </w:p>
        </w:tc>
        <w:tc>
          <w:tcPr>
            <w:tcW w:type="dxa" w:w="1511"/>
            <w:shd w:fill="FFFFFF"/>
          </w:tcPr>
          <w:p>
            <w:r>
              <w:rPr>
                <w:rFonts w:ascii="Arial" w:hAnsi="Arial"/>
                <w:color w:val="000000"/>
                <w:sz w:val="18"/>
              </w:rPr>
              <w:t>Different natalizumab washout periods (8-week, 12-week, 16-week groups)</w:t>
            </w:r>
          </w:p>
        </w:tc>
        <w:tc>
          <w:tcPr>
            <w:tcW w:type="dxa" w:w="1511"/>
            <w:shd w:fill="FFFFFF"/>
          </w:tcPr>
          <w:p>
            <w:r>
              <w:rPr>
                <w:rFonts w:ascii="Arial" w:hAnsi="Arial"/>
                <w:color w:val="000000"/>
                <w:sz w:val="18"/>
              </w:rPr>
              <w:t>Return of inflammatory disease activity (measured by new T1 gadolinium-enhancing lesions, relapses, etc.)</w:t>
            </w:r>
          </w:p>
        </w:tc>
        <w:tc>
          <w:tcPr>
            <w:tcW w:type="dxa" w:w="1511"/>
            <w:shd w:fill="FFFFFF"/>
          </w:tcPr>
          <w:p>
            <w:r>
              <w:rPr>
                <w:rFonts w:ascii="Arial" w:hAnsi="Arial"/>
                <w:color w:val="000000"/>
                <w:sz w:val="18"/>
              </w:rPr>
              <w:t>Patients (N = 142) were randomized to 8-, 12-, or 16-week washout groups. Median a4-integrin receptor occupancy declined to 79.8%, 30.7%, and 8.7% after 8, 12, and 16 weeks of washout, respectively. The percentage of patients with new T1 Gd1 lesions increased with longer washout period: 2.1% (8 weeks), 9.1% (12 weeks), and 50.0% (16 weeks). Higher baseline T2 lesion volume predicted a higher number of new T1 Gd1 lesions.</w:t>
            </w:r>
          </w:p>
        </w:tc>
      </w:tr>
      <w:tr>
        <w:tc>
          <w:tcPr>
            <w:tcW w:type="dxa" w:w="1511"/>
            <w:shd w:fill="FFFFFF"/>
          </w:tcPr>
          <w:p>
            <w:r>
              <w:rPr>
                <w:rFonts w:ascii="Arial" w:hAnsi="Arial"/>
                <w:color w:val="000000"/>
                <w:sz w:val="18"/>
              </w:rPr>
              <w:t>Foley et al. - 2022 - Comparison of switching to 6-week dosing of natalizumab versus continuing with 4-week dosing in pati.pdf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Comparison of switching to 6-week dosing of natalizumab versus continuing with 4-week dosing in patients with relapsing-remitting multiple sclerosis (NOVA): a randomised, controlled, open-label, phase 3b trial</w:t>
            </w:r>
          </w:p>
        </w:tc>
        <w:tc>
          <w:tcPr>
            <w:tcW w:type="dxa" w:w="1511"/>
            <w:shd w:fill="FFFFFF"/>
          </w:tcPr>
          <w:p>
            <w:r>
              <w:rPr>
                <w:rFonts w:ascii="Arial" w:hAnsi="Arial"/>
                <w:color w:val="000000"/>
                <w:sz w:val="18"/>
              </w:rPr>
              <w:t>We found a numerical difference in the mean number of new or newly enlarging T2 hyperintense lesions at week 72 between the once every 6 weeks and once every 4 weeks groups, which reached significance under the secondary estimand, but interpretation of statistical differences (or absence thereof) is limited because disease activity in the once every 4 weeks group was lower than expected. The safety profiles of natalizumab once every 6 weeks and once every 4 weeks were similar. Although this trial was not powered to assess differences in risk of progressive multifocal leukoencephalopathy, the occurrence of the (asymptomatic) case underscores the importance of monitoring and risk factor consideration in all patients receiving natalizumab.</w:t>
            </w:r>
          </w:p>
        </w:tc>
        <w:tc>
          <w:tcPr>
            <w:tcW w:type="dxa" w:w="1511"/>
            <w:shd w:fill="FFFFFF"/>
          </w:tcPr>
          <w:p>
            <w:r>
              <w:rPr>
                <w:rFonts w:ascii="Arial" w:hAnsi="Arial"/>
                <w:color w:val="000000"/>
                <w:sz w:val="18"/>
              </w:rPr>
              <w:t>randomised, controlled, open-label, phase 3b trial</w:t>
            </w:r>
          </w:p>
        </w:tc>
        <w:tc>
          <w:tcPr>
            <w:tcW w:type="dxa" w:w="1511"/>
            <w:shd w:fill="FFFFFF"/>
          </w:tcPr>
          <w:p>
            <w:r>
              <w:rPr>
                <w:rFonts w:ascii="Arial" w:hAnsi="Arial"/>
                <w:color w:val="000000"/>
                <w:sz w:val="18"/>
              </w:rPr>
              <w:t>patients with relapsing-remitting multiple sclerosis</w:t>
            </w:r>
          </w:p>
        </w:tc>
        <w:tc>
          <w:tcPr>
            <w:tcW w:type="dxa" w:w="1511"/>
            <w:shd w:fill="FFFFFF"/>
          </w:tcPr>
          <w:p>
            <w:r>
              <w:rPr>
                <w:rFonts w:ascii="Arial" w:hAnsi="Arial"/>
                <w:color w:val="000000"/>
                <w:sz w:val="18"/>
              </w:rPr>
              <w:t>natalizumab once every 6 weeks</w:t>
            </w:r>
          </w:p>
        </w:tc>
        <w:tc>
          <w:tcPr>
            <w:tcW w:type="dxa" w:w="1511"/>
            <w:shd w:fill="FFFFFF"/>
          </w:tcPr>
          <w:p>
            <w:r>
              <w:rPr>
                <w:rFonts w:ascii="Arial" w:hAnsi="Arial"/>
                <w:color w:val="000000"/>
                <w:sz w:val="18"/>
              </w:rPr>
              <w:t>natalizumab once every 4 weeks</w:t>
            </w:r>
          </w:p>
        </w:tc>
        <w:tc>
          <w:tcPr>
            <w:tcW w:type="dxa" w:w="1511"/>
            <w:shd w:fill="FFFFFF"/>
          </w:tcPr>
          <w:p>
            <w:r>
              <w:rPr>
                <w:rFonts w:ascii="Arial" w:hAnsi="Arial"/>
                <w:color w:val="000000"/>
                <w:sz w:val="18"/>
              </w:rPr>
              <w:t>number of new or newly enlarging T2 hyperintense lesions at week 72</w:t>
            </w:r>
          </w:p>
        </w:tc>
        <w:tc>
          <w:tcPr>
            <w:tcW w:type="dxa" w:w="1511"/>
            <w:shd w:fill="FFFFFF"/>
          </w:tcPr>
          <w:p>
            <w:r>
              <w:rPr>
                <w:rFonts w:ascii="Arial" w:hAnsi="Arial"/>
                <w:color w:val="000000"/>
                <w:sz w:val="18"/>
              </w:rPr>
              <w:t>Between Dec 26, 2018, and Aug 30, 2019, 605 patients were assessed for eligibility and 499 were enrolled and assigned to receive natalizumab once every 6 weeks (n=251) or once every 4 weeks (n=248). After prespecified adjustments for missing data, mean numbers of new or newly enlarging T2 hyperintense lesions at week 72 were 0·20 (95% CI 0·07–0·63) in the once every 6 weeks group and 0·05 (0·01–0·22) in the once every 4 weeks group (mean lesion ratio 4·24 [95% CI 0·86–20·85]; p=0·076) under the primary estimand, and 0·31 (95% CI 0·12–0·82) and 0·06 (0·01–0·31; mean lesion ratio 4·93 [95% CI 1·05–23·20]; p=0·044) under the secondary estimand. Two participants in the once every 6 weeks group with extreme new or newly enlarging T2 hyperintense lesion numbers (≥25) contributed most of the excess lesions. Adverse events occurred in 194 (78%) of 250 participants in the once every 6 weeks group and 190 (77%) of 247 in the once every 4 weeks group, and serious adverse events occurred in 17 (7%...</w:t>
            </w:r>
          </w:p>
        </w:tc>
      </w:tr>
      <w:tr>
        <w:tc>
          <w:tcPr>
            <w:tcW w:type="dxa" w:w="1511"/>
            <w:shd w:fill="FFFFFF"/>
          </w:tcPr>
          <w:p>
            <w:r>
              <w:rPr>
                <w:rFonts w:ascii="Arial" w:hAnsi="Arial"/>
                <w:color w:val="000000"/>
                <w:sz w:val="18"/>
              </w:rPr>
              <w:t>Fuentes-Rumí et al. - 2020 - Prevention of rebound effect after natalizumab withdrawal in multiple sclerosis. Study of two high-d.pdf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Prevention of rebound effect after natalizumab withdrawal in multiple sclerosis. Study of two high-dose methylprednisolone schedules</w:t>
            </w:r>
          </w:p>
        </w:tc>
        <w:tc>
          <w:tcPr>
            <w:tcW w:type="dxa" w:w="1511"/>
            <w:shd w:fill="FFFFFF"/>
          </w:tcPr>
          <w:p>
            <w:r>
              <w:rPr>
                <w:rFonts w:ascii="Arial" w:hAnsi="Arial"/>
                <w:color w:val="000000"/>
                <w:sz w:val="18"/>
              </w:rPr>
              <w:t>In this observational, retrospective study of 50 patients who discontinued natalizumab, in which two different IVMP treatment schedules were used during the washout period, we found a combined incidence of rebound of 10%, which is lower than expected according to the results obtained in other studies. The rebound effect occurred in younger patients, although more data would be needed to confirm age as a risk factor, and was not associated with a higher ARR in the pre-NTZ initiation year, nor with any new DMT initiated after NTZ. Treatment with IVMP during a short washout period might be associated with a lower incidence of rebound.</w:t>
            </w:r>
          </w:p>
        </w:tc>
        <w:tc>
          <w:tcPr>
            <w:tcW w:type="dxa" w:w="1511"/>
            <w:shd w:fill="FFFFFF"/>
          </w:tcPr>
          <w:p>
            <w:r>
              <w:rPr>
                <w:rFonts w:ascii="Arial" w:hAnsi="Arial"/>
                <w:color w:val="000000"/>
                <w:sz w:val="18"/>
              </w:rPr>
              <w:t>Observational, retrospective study (single-center)</w:t>
            </w:r>
          </w:p>
        </w:tc>
        <w:tc>
          <w:tcPr>
            <w:tcW w:type="dxa" w:w="1511"/>
            <w:shd w:fill="FFFFFF"/>
          </w:tcPr>
          <w:p>
            <w:r>
              <w:rPr>
                <w:rFonts w:ascii="Arial" w:hAnsi="Arial"/>
                <w:color w:val="000000"/>
                <w:sz w:val="18"/>
              </w:rPr>
              <w:t>Patients with relapsing-remitting multiple sclerosis (RRMS) treated with natalizumab for at least 2 years, whose treatment was discontinued permanently due to ineffectiveness or safety issues (PML risk)</w:t>
            </w:r>
          </w:p>
        </w:tc>
        <w:tc>
          <w:tcPr>
            <w:tcW w:type="dxa" w:w="1511"/>
            <w:shd w:fill="FFFFFF"/>
          </w:tcPr>
          <w:p>
            <w:r>
              <w:rPr>
                <w:rFonts w:ascii="Arial" w:hAnsi="Arial"/>
                <w:color w:val="000000"/>
                <w:sz w:val="18"/>
              </w:rPr>
              <w:t>Two high-dose intravenous methylprednisolone (IVMP) schedules during natalizumab washout period: Schedule 1 (3-month washout: 1, 2, 3 g IVMP on months 1,2,3); Schedule 2 (2-month washout: 1, 2 g IVMP on months 1,2).</w:t>
            </w:r>
          </w:p>
        </w:tc>
        <w:tc>
          <w:tcPr>
            <w:tcW w:type="dxa" w:w="1511"/>
            <w:shd w:fill="FFFFFF"/>
          </w:tcPr>
          <w:p>
            <w:r>
              <w:rPr>
                <w:rFonts w:ascii="Arial" w:hAnsi="Arial"/>
                <w:color w:val="000000"/>
                <w:sz w:val="18"/>
              </w:rPr>
              <w:t>Comparison of two intravenous methylprednisolone (IVMP) treatment schedules (3-month vs. 2-month washout) during natalizumab withdrawal</w:t>
            </w:r>
          </w:p>
        </w:tc>
        <w:tc>
          <w:tcPr>
            <w:tcW w:type="dxa" w:w="1511"/>
            <w:shd w:fill="FFFFFF"/>
          </w:tcPr>
          <w:p>
            <w:r>
              <w:rPr>
                <w:rFonts w:ascii="Arial" w:hAnsi="Arial"/>
                <w:color w:val="000000"/>
                <w:sz w:val="18"/>
              </w:rPr>
              <w:t>Incidence of rebound effect (defined as at least one clinical relapse plus radiological rebound activity) during washout and 6 months after new DMT initiation</w:t>
            </w:r>
          </w:p>
        </w:tc>
        <w:tc>
          <w:tcPr>
            <w:tcW w:type="dxa" w:w="1511"/>
            <w:shd w:fill="FFFFFF"/>
          </w:tcPr>
          <w:p>
            <w:r>
              <w:rPr>
                <w:rFonts w:ascii="Arial" w:hAnsi="Arial"/>
                <w:color w:val="000000"/>
                <w:sz w:val="18"/>
              </w:rPr>
              <w:t>Fifty patients (68% women) were included, with a mean (SD) age of 37.76 (10.88) years and pre-NTZ annualized relapse rate (ARR) of 1.78 (1.04). During NTZ therapy, mean Expanded Disability Status Scale (EDSS) score was 3.7 (1.73) and ARR was 0.23 (0.39). The ARR (mean of both schedules) was 0.1 (0.71) during washout and 0.32 (0.84) at 6M-DMT. Rebound was observed in 10% of cases (n = 5), with no significant clinical or radiological differences (p&gt;0.05) between the two IVMP schedules. Rebound was observed in younger patients and was associated with new MRI lesions and higher ARR at 3M-DMT and 6M-DMT respectively, with no difference in EDSS after 2 years of follow-up. Neither the ARR before NTZ initiation nor the choice of new DMT after NTZ discontinuation was associated with development of rebound effect. Both IVMP schedules were well tolerated during NTZ washout and rebound was observed in only 10% of cases. In our experience, administration of IVMP during NTZ washout could reduce the ...</w:t>
            </w:r>
          </w:p>
        </w:tc>
      </w:tr>
      <w:tr>
        <w:tc>
          <w:tcPr>
            <w:tcW w:type="dxa" w:w="1511"/>
            <w:shd w:fill="FFFFFF"/>
          </w:tcPr>
          <w:p>
            <w:r>
              <w:rPr>
                <w:rFonts w:ascii="Arial" w:hAnsi="Arial"/>
                <w:color w:val="000000"/>
                <w:sz w:val="18"/>
              </w:rPr>
              <w:t>Gudesblatt et al. - Improvement in Cognitive Function as Measured by NeuroTrax in Patients with Relapsing Multiple Scler.pdf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Improvement in Cognitive Function as Measured by NeuroTrax in Patients with Relapsing Multiple Sclerosis Treated with Natalizumab: A 2-Year Retrospective Analysis</w:t>
            </w:r>
          </w:p>
        </w:tc>
        <w:tc>
          <w:tcPr>
            <w:tcW w:type="dxa" w:w="1511"/>
            <w:shd w:fill="FFFFFF"/>
          </w:tcPr>
          <w:p>
            <w:r>
              <w:rPr>
                <w:rFonts w:ascii="Arial" w:hAnsi="Arial"/>
                <w:color w:val="000000"/>
                <w:sz w:val="18"/>
              </w:rPr>
              <w:t>Patients treated with natalizumab demonstrated significant improvement in cognitive function, measured by NeuroTrax GCS, over 2 years of treatment.</w:t>
            </w:r>
          </w:p>
        </w:tc>
        <w:tc>
          <w:tcPr>
            <w:tcW w:type="dxa" w:w="1511"/>
            <w:shd w:fill="FFFFFF"/>
          </w:tcPr>
          <w:p>
            <w:r>
              <w:rPr>
                <w:rFonts w:ascii="Arial" w:hAnsi="Arial"/>
                <w:color w:val="000000"/>
                <w:sz w:val="18"/>
              </w:rPr>
              <w:t>Retrospective observational study</w:t>
            </w:r>
          </w:p>
        </w:tc>
        <w:tc>
          <w:tcPr>
            <w:tcW w:type="dxa" w:w="1511"/>
            <w:shd w:fill="FFFFFF"/>
          </w:tcPr>
          <w:p>
            <w:r>
              <w:rPr>
                <w:rFonts w:ascii="Arial" w:hAnsi="Arial"/>
                <w:color w:val="000000"/>
                <w:sz w:val="18"/>
              </w:rPr>
              <w:t>Adult MS patients in the United States who received 300 mg intravenous natalizumab every 4 weeks for ≥ 2 years</w:t>
            </w:r>
          </w:p>
        </w:tc>
        <w:tc>
          <w:tcPr>
            <w:tcW w:type="dxa" w:w="1511"/>
            <w:shd w:fill="FFFFFF"/>
          </w:tcPr>
          <w:p>
            <w:r>
              <w:rPr>
                <w:rFonts w:ascii="Arial" w:hAnsi="Arial"/>
                <w:color w:val="000000"/>
                <w:sz w:val="18"/>
              </w:rPr>
              <w:t>Natalizumab (300 mg intravenous every 4 weeks)</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Cognitive function as measured by NeuroTrax (global cognitive score and seven individual domain scores)</w:t>
            </w:r>
          </w:p>
        </w:tc>
        <w:tc>
          <w:tcPr>
            <w:tcW w:type="dxa" w:w="1511"/>
            <w:shd w:fill="FFFFFF"/>
          </w:tcPr>
          <w:p>
            <w:r>
              <w:rPr>
                <w:rFonts w:ascii="Arial" w:hAnsi="Arial"/>
                <w:color w:val="000000"/>
                <w:sz w:val="18"/>
              </w:rPr>
              <w:t>In the study population at baseline (N = 52), 22 patients (42.3%) had disease duration of 0–5 years; 12 patients (23.1%) were treatment naive. GCS score improved significantly from baseline [mean 95.5, standard deviation (SD) 12.9] to year 2 (mean 98.9, SD 13.2; change from baseline 3.4; p = 0.003). After 2 years on natalizumab, 17 patients (32.7%) demonstrated clinically significant improvement (increase from baseline &gt; 1 SD) in GCS. Results were similar regardless of whether patients had previously received MS therapy.</w:t>
            </w:r>
          </w:p>
        </w:tc>
      </w:tr>
      <w:tr>
        <w:tc>
          <w:tcPr>
            <w:tcW w:type="dxa" w:w="1511"/>
            <w:shd w:fill="FFFFFF"/>
          </w:tcPr>
          <w:p>
            <w:r>
              <w:rPr>
                <w:rFonts w:ascii="Arial" w:hAnsi="Arial"/>
                <w:color w:val="000000"/>
                <w:sz w:val="18"/>
              </w:rPr>
              <w:t>Jakimovski et al. - 2023 - Patient-reported outcomes based on discontinuation or continuous treatment with natalizumab New Yor (1).pdf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Patient-reported outcomes based on discontinuation or continuous treatment with natalizumab: New York State Multiple Sclerosis Consortium (NYSMSC) study</w:t>
            </w:r>
          </w:p>
        </w:tc>
        <w:tc>
          <w:tcPr>
            <w:tcW w:type="dxa" w:w="1511"/>
            <w:shd w:fill="FFFFFF"/>
          </w:tcPr>
          <w:p>
            <w:r>
              <w:rPr>
                <w:rFonts w:ascii="Arial" w:hAnsi="Arial"/>
                <w:color w:val="000000"/>
                <w:sz w:val="18"/>
              </w:rPr>
              <w:t>Continuous natalizumab treatment provides long-term stability or improvement in PRO measures. Natalizumab also provides short term improvements recorded after the infusion.</w:t>
            </w:r>
          </w:p>
        </w:tc>
        <w:tc>
          <w:tcPr>
            <w:tcW w:type="dxa" w:w="1511"/>
            <w:shd w:fill="FFFFFF"/>
          </w:tcPr>
          <w:p>
            <w:r>
              <w:rPr>
                <w:rFonts w:ascii="Arial" w:hAnsi="Arial"/>
                <w:color w:val="000000"/>
                <w:sz w:val="18"/>
              </w:rPr>
              <w:t>Retrospective cohort study and prospective cohort study</w:t>
            </w:r>
          </w:p>
        </w:tc>
        <w:tc>
          <w:tcPr>
            <w:tcW w:type="dxa" w:w="1511"/>
            <w:shd w:fill="FFFFFF"/>
          </w:tcPr>
          <w:p>
            <w:r>
              <w:rPr>
                <w:rFonts w:ascii="Arial" w:hAnsi="Arial"/>
                <w:color w:val="000000"/>
                <w:sz w:val="18"/>
              </w:rPr>
              <w:t>People with multiple sclerosis (pwMS) treated with natalizumab, selected from New York State Multiple Sclerosis Consortium database</w:t>
            </w:r>
          </w:p>
        </w:tc>
        <w:tc>
          <w:tcPr>
            <w:tcW w:type="dxa" w:w="1511"/>
            <w:shd w:fill="FFFFFF"/>
          </w:tcPr>
          <w:p>
            <w:r>
              <w:rPr>
                <w:rFonts w:ascii="Arial" w:hAnsi="Arial"/>
                <w:color w:val="000000"/>
                <w:sz w:val="18"/>
              </w:rPr>
              <w:t>Natalizumab treatment</w:t>
            </w:r>
          </w:p>
        </w:tc>
        <w:tc>
          <w:tcPr>
            <w:tcW w:type="dxa" w:w="1511"/>
            <w:shd w:fill="FFFFFF"/>
          </w:tcPr>
          <w:p>
            <w:r>
              <w:rPr>
                <w:rFonts w:ascii="Arial" w:hAnsi="Arial"/>
                <w:color w:val="000000"/>
                <w:sz w:val="18"/>
              </w:rPr>
              <w:t>Discontinuation of natalizumab treatment versus continuous natalizumab treatment</w:t>
            </w:r>
          </w:p>
        </w:tc>
        <w:tc>
          <w:tcPr>
            <w:tcW w:type="dxa" w:w="1511"/>
            <w:shd w:fill="FFFFFF"/>
          </w:tcPr>
          <w:p>
            <w:r>
              <w:rPr>
                <w:rFonts w:ascii="Arial" w:hAnsi="Arial"/>
                <w:color w:val="000000"/>
                <w:sz w:val="18"/>
              </w:rPr>
              <w:t>Patient-reported outcomes (PRO) measured by LIFEware System™ assessing physical and psychosocial domains (e.g., fatigue, bladder limitations, feelings of lonesomeness).</w:t>
            </w:r>
          </w:p>
        </w:tc>
        <w:tc>
          <w:tcPr>
            <w:tcW w:type="dxa" w:w="1511"/>
            <w:shd w:fill="FFFFFF"/>
          </w:tcPr>
          <w:p>
            <w:r>
              <w:rPr>
                <w:rFonts w:ascii="Arial" w:hAnsi="Arial"/>
                <w:color w:val="000000"/>
                <w:sz w:val="18"/>
              </w:rPr>
              <w:t>Among pwMS who discontinued natalizumab, more PRO domains worsened compared to those who continued (10 vs. 2 domains). Continuous treatment improved bladder/bowel PROs; discontinuation led to decline in lower extremity, bladder, bowel, and psychosocial PROs. After infusion, short-term improvement in fatigue, bladder limitations, and lonesomeness was observed.</w:t>
            </w:r>
          </w:p>
        </w:tc>
      </w:tr>
      <w:tr>
        <w:tc>
          <w:tcPr>
            <w:tcW w:type="dxa" w:w="1511"/>
            <w:shd w:fill="FFFFFF"/>
          </w:tcPr>
          <w:p>
            <w:r>
              <w:rPr>
                <w:rFonts w:ascii="Arial" w:hAnsi="Arial"/>
                <w:color w:val="000000"/>
                <w:sz w:val="18"/>
              </w:rPr>
              <w:t>Kieseier et al. - Currently Approved Disease-Modifying Drugs Monoclonal Antibody Natalizumab.pdf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Translational Neuroimmunology in Multiple Sclerosis</w:t>
            </w:r>
          </w:p>
        </w:tc>
        <w:tc>
          <w:tcPr>
            <w:tcW w:type="dxa" w:w="1511"/>
            <w:shd w:fill="FFFFFF"/>
          </w:tcPr>
          <w:p>
            <w:r>
              <w:rPr>
                <w:rFonts w:ascii="Arial" w:hAnsi="Arial"/>
                <w:color w:val="000000"/>
                <w:sz w:val="18"/>
              </w:rPr>
              <w:t>Natalizumab is a highly effective treatment for patients with relapsing forms of MS with a risk of developing PML, prompting a thorough risk–benefit assessment. Withholding a potent therapy with proven efficacy on disease activity, prevention of disability, and improvement in quality of life can also cause harm to patients with a disabling disease, such as MS.</w:t>
            </w:r>
          </w:p>
        </w:tc>
        <w:tc>
          <w:tcPr>
            <w:tcW w:type="dxa" w:w="1511"/>
            <w:shd w:fill="FFFFFF"/>
          </w:tcPr>
          <w:p>
            <w:r>
              <w:rPr>
                <w:rFonts w:ascii="Arial" w:hAnsi="Arial"/>
                <w:color w:val="000000"/>
                <w:sz w:val="18"/>
              </w:rPr>
              <w:t>Clinical Trial (Phase III studies included)</w:t>
            </w:r>
          </w:p>
        </w:tc>
        <w:tc>
          <w:tcPr>
            <w:tcW w:type="dxa" w:w="1511"/>
            <w:shd w:fill="FFFFFF"/>
          </w:tcPr>
          <w:p>
            <w:r>
              <w:rPr>
                <w:rFonts w:ascii="Arial" w:hAnsi="Arial"/>
                <w:color w:val="000000"/>
                <w:sz w:val="18"/>
              </w:rPr>
              <w:t>Patients with Multiple Sclerosis (MS)</w:t>
            </w:r>
          </w:p>
        </w:tc>
        <w:tc>
          <w:tcPr>
            <w:tcW w:type="dxa" w:w="1511"/>
            <w:shd w:fill="FFFFFF"/>
          </w:tcPr>
          <w:p>
            <w:r>
              <w:rPr>
                <w:rFonts w:ascii="Arial" w:hAnsi="Arial"/>
                <w:color w:val="000000"/>
                <w:sz w:val="18"/>
              </w:rPr>
              <w:t>Natalizumab (recombinant humanized monoclonal IgG4-antibody targeting α4 integrin)</w:t>
            </w:r>
          </w:p>
        </w:tc>
        <w:tc>
          <w:tcPr>
            <w:tcW w:type="dxa" w:w="1511"/>
            <w:shd w:fill="FFFFFF"/>
          </w:tcPr>
          <w:p>
            <w:r>
              <w:rPr>
                <w:rFonts w:ascii="Arial" w:hAnsi="Arial"/>
                <w:color w:val="000000"/>
                <w:sz w:val="18"/>
              </w:rPr>
              <w:t>Placebo (in AFFIRM trial); Interferon beta1a (IFNβ1a) (in SENTINEL trial)</w:t>
            </w:r>
          </w:p>
        </w:tc>
        <w:tc>
          <w:tcPr>
            <w:tcW w:type="dxa" w:w="1511"/>
            <w:shd w:fill="FFFFFF"/>
          </w:tcPr>
          <w:p>
            <w:r>
              <w:rPr>
                <w:rFonts w:ascii="Arial" w:hAnsi="Arial"/>
                <w:color w:val="000000"/>
                <w:sz w:val="18"/>
              </w:rPr>
              <w:t>Relapse rate reduction, disability progression (Expanded Disability Status Scale - EDSS), MRI measures (gadolinium-enhancing lesions, new or new enlarging T2 lesions), no evidence of disease activity (NEDA)</w:t>
            </w:r>
          </w:p>
        </w:tc>
        <w:tc>
          <w:tcPr>
            <w:tcW w:type="dxa" w:w="1511"/>
            <w:shd w:fill="FFFFFF"/>
          </w:tcPr>
          <w:p>
            <w:r>
              <w:rPr>
                <w:rFonts w:ascii="Arial" w:hAnsi="Arial"/>
                <w:color w:val="000000"/>
                <w:sz w:val="18"/>
              </w:rPr>
              <w:t>In the AFFIRM trial, natalizumab reduced relapse rate by 68% and confirmed disability progression by 42% vs placebo; in SENTINEL, relapse rate reduced by 53% vs IFNβ1a. Over 37% of natalizumab-treated patients achieved no evidence of disease activity (NEDA) vs 7% in placebo group. Real-world studies replicated these efficacy findings. Safety concerns include PML risk, with risk stratification via anti-JCV antibody testing.</w:t>
            </w:r>
          </w:p>
        </w:tc>
      </w:tr>
      <w:tr>
        <w:tc>
          <w:tcPr>
            <w:tcW w:type="dxa" w:w="1511"/>
            <w:shd w:fill="FFFFFF"/>
          </w:tcPr>
          <w:p>
            <w:r>
              <w:rPr>
                <w:rFonts w:ascii="Arial" w:hAnsi="Arial"/>
                <w:color w:val="000000"/>
                <w:sz w:val="18"/>
              </w:rPr>
              <w:t>Kleerekooper et al. - 2017 - Disease activity following pregnancy-related discontinuation of natalizumab in MS.pdf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Disease activity following pregnancy-related discontinuation of natalizumab in MS</w:t>
            </w:r>
          </w:p>
        </w:tc>
        <w:tc>
          <w:tcPr>
            <w:tcW w:type="dxa" w:w="1511"/>
            <w:shd w:fill="FFFFFF"/>
          </w:tcPr>
          <w:p>
            <w:r>
              <w:rPr>
                <w:rFonts w:ascii="Arial" w:hAnsi="Arial"/>
                <w:color w:val="000000"/>
                <w:sz w:val="18"/>
              </w:rPr>
              <w:t>Early conception after NTZ discontinuation is associated with a reduced risk of disease activity and disability progression. Continuation of NTZ treatment until confirmed pregnancy should be considered in patients with previously active MS. However, the advantages of continuing the drug until pregnancy should be balanced against the uncertainties in postnatal outcomes.</w:t>
            </w:r>
          </w:p>
        </w:tc>
        <w:tc>
          <w:tcPr>
            <w:tcW w:type="dxa" w:w="1511"/>
            <w:shd w:fill="FFFFFF"/>
          </w:tcPr>
          <w:p>
            <w:r>
              <w:rPr>
                <w:rFonts w:ascii="Arial" w:hAnsi="Arial"/>
                <w:color w:val="000000"/>
                <w:sz w:val="18"/>
              </w:rPr>
              <w:t>Retrospective cohort study</w:t>
            </w:r>
          </w:p>
        </w:tc>
        <w:tc>
          <w:tcPr>
            <w:tcW w:type="dxa" w:w="1511"/>
            <w:shd w:fill="FFFFFF"/>
          </w:tcPr>
          <w:p>
            <w:r>
              <w:rPr>
                <w:rFonts w:ascii="Arial" w:hAnsi="Arial"/>
                <w:color w:val="000000"/>
                <w:sz w:val="18"/>
              </w:rPr>
              <w:t>Patients with relapsing-remitting MS who discontinued natalizumab for pregnancy-related reasons</w:t>
            </w:r>
          </w:p>
        </w:tc>
        <w:tc>
          <w:tcPr>
            <w:tcW w:type="dxa" w:w="1511"/>
            <w:shd w:fill="FFFFFF"/>
          </w:tcPr>
          <w:p>
            <w:r>
              <w:rPr>
                <w:rFonts w:ascii="Arial" w:hAnsi="Arial"/>
                <w:color w:val="000000"/>
                <w:sz w:val="18"/>
              </w:rPr>
              <w:t>Discontinuation of natalizumab (NTZ)</w:t>
            </w:r>
          </w:p>
        </w:tc>
        <w:tc>
          <w:tcPr>
            <w:tcW w:type="dxa" w:w="1511"/>
            <w:shd w:fill="FFFFFF"/>
          </w:tcPr>
          <w:p>
            <w:r>
              <w:rPr>
                <w:rFonts w:ascii="Arial" w:hAnsi="Arial"/>
                <w:color w:val="000000"/>
                <w:sz w:val="18"/>
              </w:rPr>
              <w:t>Comparison of disease activity and disability progression based on time to conception after NTZ discontinuation (e.g., conception within 6 months vs not within 6 months)</w:t>
            </w:r>
          </w:p>
        </w:tc>
        <w:tc>
          <w:tcPr>
            <w:tcW w:type="dxa" w:w="1511"/>
            <w:shd w:fill="FFFFFF"/>
          </w:tcPr>
          <w:p>
            <w:r>
              <w:rPr>
                <w:rFonts w:ascii="Arial" w:hAnsi="Arial"/>
                <w:color w:val="000000"/>
                <w:sz w:val="18"/>
              </w:rPr>
              <w:t>Disease activity (clinical and radiologic relapses) and disability progression (confirmed EDSS progression)</w:t>
            </w:r>
          </w:p>
        </w:tc>
        <w:tc>
          <w:tcPr>
            <w:tcW w:type="dxa" w:w="1511"/>
            <w:shd w:fill="FFFFFF"/>
          </w:tcPr>
          <w:p>
            <w:r>
              <w:rPr>
                <w:rFonts w:ascii="Arial" w:hAnsi="Arial"/>
                <w:color w:val="000000"/>
                <w:sz w:val="18"/>
              </w:rPr>
              <w:t>Twenty-two pregnancy-related NTZ discontinuations in 17 patients were evaluated. The median time to conception was 3.4 months. Relapses were more frequent in patients in whom conception did not occur within 6 months (p = 0.022). Confirmed disability progression occurred in 27.3% and was associated with time to conception (p &lt; 0.001).</w:t>
            </w:r>
          </w:p>
        </w:tc>
      </w:tr>
      <w:tr>
        <w:tc>
          <w:tcPr>
            <w:tcW w:type="dxa" w:w="1511"/>
            <w:shd w:fill="FFFFFF"/>
          </w:tcPr>
          <w:p>
            <w:r>
              <w:rPr>
                <w:rFonts w:ascii="Arial" w:hAnsi="Arial"/>
                <w:color w:val="000000"/>
                <w:sz w:val="18"/>
              </w:rPr>
              <w:t>Magro et al. - 2023 - Natalizumab wearing-off symptoms effect of extend interval dosing during Sars-CoV-2 pandemic.pdf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wearing‑off symptoms: effect of extend interval dosing during Sars‑CoV‑2 pandemic</w:t>
            </w:r>
          </w:p>
        </w:tc>
        <w:tc>
          <w:tcPr>
            <w:tcW w:type="dxa" w:w="1511"/>
            <w:shd w:fill="FFFFFF"/>
          </w:tcPr>
          <w:p>
            <w:r>
              <w:rPr>
                <w:rFonts w:ascii="Arial" w:hAnsi="Arial"/>
                <w:color w:val="000000"/>
                <w:sz w:val="18"/>
              </w:rPr>
              <w:t>Adopting an extended interval dosing does not result in significantly different occurrence of WoS between the ExID and the StID populations, in our cohort of patients. Interestingly, there is a strong correlation between WoS and a higher EDSS and FSS. Safety and efficacy of Natalizumab with ExID are relatively preserved in our study.</w:t>
            </w:r>
          </w:p>
        </w:tc>
        <w:tc>
          <w:tcPr>
            <w:tcW w:type="dxa" w:w="1511"/>
            <w:shd w:fill="FFFFFF"/>
          </w:tcPr>
          <w:p>
            <w:r>
              <w:rPr>
                <w:rFonts w:ascii="Arial" w:hAnsi="Arial"/>
                <w:color w:val="000000"/>
                <w:sz w:val="18"/>
              </w:rPr>
              <w:t>Observational study (cohort study)</w:t>
            </w:r>
          </w:p>
        </w:tc>
        <w:tc>
          <w:tcPr>
            <w:tcW w:type="dxa" w:w="1511"/>
            <w:shd w:fill="FFFFFF"/>
          </w:tcPr>
          <w:p>
            <w:r>
              <w:rPr>
                <w:rFonts w:ascii="Arial" w:hAnsi="Arial"/>
                <w:color w:val="000000"/>
                <w:sz w:val="18"/>
              </w:rPr>
              <w:t>Patients treated with Natalizumab for multiple sclerosis (MS)</w:t>
            </w:r>
          </w:p>
        </w:tc>
        <w:tc>
          <w:tcPr>
            <w:tcW w:type="dxa" w:w="1511"/>
            <w:shd w:fill="FFFFFF"/>
          </w:tcPr>
          <w:p>
            <w:r>
              <w:rPr>
                <w:rFonts w:ascii="Arial" w:hAnsi="Arial"/>
                <w:color w:val="000000"/>
                <w:sz w:val="18"/>
              </w:rPr>
              <w:t>Extended interval dosing (ExID) of Natalizumab (5–6 weeks)</w:t>
            </w:r>
          </w:p>
        </w:tc>
        <w:tc>
          <w:tcPr>
            <w:tcW w:type="dxa" w:w="1511"/>
            <w:shd w:fill="FFFFFF"/>
          </w:tcPr>
          <w:p>
            <w:r>
              <w:rPr>
                <w:rFonts w:ascii="Arial" w:hAnsi="Arial"/>
                <w:color w:val="000000"/>
                <w:sz w:val="18"/>
              </w:rPr>
              <w:t>Standard interval dosing (StID of 4 weeks) vs Extended interval dosing (ExID of 5–6 weeks)</w:t>
            </w:r>
          </w:p>
        </w:tc>
        <w:tc>
          <w:tcPr>
            <w:tcW w:type="dxa" w:w="1511"/>
            <w:shd w:fill="FFFFFF"/>
          </w:tcPr>
          <w:p>
            <w:r>
              <w:rPr>
                <w:rFonts w:ascii="Arial" w:hAnsi="Arial"/>
                <w:color w:val="000000"/>
                <w:sz w:val="18"/>
              </w:rPr>
              <w:t>Wearing-off symptoms (WoS)</w:t>
            </w:r>
          </w:p>
        </w:tc>
        <w:tc>
          <w:tcPr>
            <w:tcW w:type="dxa" w:w="1511"/>
            <w:shd w:fill="FFFFFF"/>
          </w:tcPr>
          <w:p>
            <w:r>
              <w:rPr>
                <w:rFonts w:ascii="Arial" w:hAnsi="Arial"/>
                <w:color w:val="000000"/>
                <w:sz w:val="18"/>
              </w:rPr>
              <w:t>Among the 86 patients, 32 (37.2%) reported WoS. Most common one was fatigue (93.7%). Mean EDSS was higher in the group reporting WoS (3.8 WoS vs 3.1 non-WoS, p &lt; 0.05). Sphincterial function was the EDSS item that significantly differed between the WoS group and the non-WoS group (1.4 WoS vs 0.6 non-WoS, p &lt; 0.001). WoS correlate with the FSS scale (p &lt; 0.001). Adopting an extended interval dosing does not result in significantly different occurrence of WoS between the ExID and the StID populations. Safety and efficacy of Natalizumab with ExID are relatively preserved in our study.</w:t>
            </w:r>
          </w:p>
        </w:tc>
      </w:tr>
      <w:tr>
        <w:tc>
          <w:tcPr>
            <w:tcW w:type="dxa" w:w="1511"/>
            <w:shd w:fill="FFFFFF"/>
          </w:tcPr>
          <w:p>
            <w:r>
              <w:rPr>
                <w:rFonts w:ascii="Arial" w:hAnsi="Arial"/>
                <w:color w:val="000000"/>
                <w:sz w:val="18"/>
              </w:rPr>
              <w:t>martinelli2016.pdf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Recurrent disease-activity rebound in a patient with multiple sclerosis after natalizumab discontinuations for pregnancy planning</w:t>
            </w:r>
          </w:p>
        </w:tc>
        <w:tc>
          <w:tcPr>
            <w:tcW w:type="dxa" w:w="1511"/>
            <w:shd w:fill="FFFFFF"/>
          </w:tcPr>
          <w:p>
            <w:r>
              <w:rPr>
                <w:rFonts w:ascii="Arial" w:hAnsi="Arial"/>
                <w:color w:val="000000"/>
                <w:sz w:val="18"/>
              </w:rPr>
              <w:t>Further studies are required to assess disease course after natalizumab discontinuation and to investigate alternative safe approaches for pregnancy planning.</w:t>
            </w:r>
          </w:p>
        </w:tc>
        <w:tc>
          <w:tcPr>
            <w:tcW w:type="dxa" w:w="1511"/>
            <w:shd w:fill="FFFFFF"/>
          </w:tcPr>
          <w:p>
            <w:r>
              <w:rPr>
                <w:rFonts w:ascii="Arial" w:hAnsi="Arial"/>
                <w:color w:val="000000"/>
                <w:sz w:val="18"/>
              </w:rPr>
              <w:t>Case Study</w:t>
            </w:r>
          </w:p>
        </w:tc>
        <w:tc>
          <w:tcPr>
            <w:tcW w:type="dxa" w:w="1511"/>
            <w:shd w:fill="FFFFFF"/>
          </w:tcPr>
          <w:p>
            <w:r>
              <w:rPr>
                <w:rFonts w:ascii="Arial" w:hAnsi="Arial"/>
                <w:color w:val="000000"/>
                <w:sz w:val="18"/>
              </w:rPr>
              <w:t>16-year-old woman with multiple sclerosis</w:t>
            </w:r>
          </w:p>
        </w:tc>
        <w:tc>
          <w:tcPr>
            <w:tcW w:type="dxa" w:w="1511"/>
            <w:shd w:fill="FFFFFF"/>
          </w:tcPr>
          <w:p>
            <w:r>
              <w:rPr>
                <w:rFonts w:ascii="Arial" w:hAnsi="Arial"/>
                <w:color w:val="000000"/>
                <w:sz w:val="18"/>
              </w:rPr>
              <w:t>Natalizumab discontinuation (for pregnancy planning)</w:t>
            </w:r>
          </w:p>
        </w:tc>
        <w:tc>
          <w:tcPr>
            <w:tcW w:type="dxa" w:w="1511"/>
            <w:shd w:fill="FFFFFF"/>
          </w:tcPr>
          <w:p>
            <w:r>
              <w:rPr>
                <w:rFonts w:ascii="Arial" w:hAnsi="Arial"/>
                <w:color w:val="000000"/>
                <w:sz w:val="18"/>
              </w:rPr>
              <w:t>Previous clinical and MRI activity studies after natalizumab discontinuation</w:t>
            </w:r>
          </w:p>
        </w:tc>
        <w:tc>
          <w:tcPr>
            <w:tcW w:type="dxa" w:w="1511"/>
            <w:shd w:fill="FFFFFF"/>
          </w:tcPr>
          <w:p>
            <w:r>
              <w:rPr>
                <w:rFonts w:ascii="Arial" w:hAnsi="Arial"/>
                <w:color w:val="000000"/>
                <w:sz w:val="18"/>
              </w:rPr>
              <w:t>Clinical and MRI disease activity (relapses, gadolinium-enhanced lesions on MRI)</w:t>
            </w:r>
          </w:p>
        </w:tc>
        <w:tc>
          <w:tcPr>
            <w:tcW w:type="dxa" w:w="1511"/>
            <w:shd w:fill="FFFFFF"/>
          </w:tcPr>
          <w:p>
            <w:r>
              <w:rPr>
                <w:rFonts w:ascii="Arial" w:hAnsi="Arial"/>
                <w:color w:val="000000"/>
                <w:sz w:val="18"/>
              </w:rPr>
              <w:t>Recurrent disease-activity rebound after natalizumab discontinuation for pregnancy planning, with clinical relapses and increased gadolinium-enhanced lesions on MRI; relapses occurred after each discontinuation, requiring treatment restart, no successful pregnancy attempt.</w:t>
            </w:r>
          </w:p>
        </w:tc>
      </w:tr>
      <w:tr>
        <w:tc>
          <w:tcPr>
            <w:tcW w:type="dxa" w:w="1511"/>
            <w:shd w:fill="FFFFFF"/>
          </w:tcPr>
          <w:p>
            <w:r>
              <w:rPr>
                <w:rFonts w:ascii="Arial" w:hAnsi="Arial"/>
                <w:color w:val="000000"/>
                <w:sz w:val="18"/>
              </w:rPr>
              <w:t>McQueen et al. - 2015 - Increased Relapse Activity for Multiple Sclerosis Natalizumab Users Who Become Nonpersistent A Retr.pdf</w:t>
            </w:r>
          </w:p>
        </w:tc>
        <w:tc>
          <w:tcPr>
            <w:tcW w:type="dxa" w:w="1511"/>
            <w:shd w:fill="FFFFFF"/>
          </w:tcPr>
          <w:p>
            <w:r>
              <w:rPr>
                <w:rFonts w:ascii="Arial" w:hAnsi="Arial"/>
                <w:color w:val="000000"/>
                <w:sz w:val="18"/>
              </w:rPr>
              <w:t>1.0</w:t>
            </w:r>
          </w:p>
        </w:tc>
        <w:tc>
          <w:tcPr>
            <w:tcW w:type="dxa" w:w="1511"/>
            <w:shd w:fill="FFFFFF"/>
          </w:tcPr>
          <w:p>
            <w:r>
              <w:rPr>
                <w:rFonts w:ascii="Arial" w:hAnsi="Arial"/>
                <w:color w:val="000000"/>
                <w:sz w:val="18"/>
              </w:rPr>
              <w:t>Increased Relapse Activity for Multiple Sclerosis Natalizumab Users Who Become Nonpersistent: A Retrospective Study</w:t>
            </w:r>
          </w:p>
        </w:tc>
        <w:tc>
          <w:tcPr>
            <w:tcW w:type="dxa" w:w="1511"/>
            <w:shd w:fill="FFFFFF"/>
          </w:tcPr>
          <w:p>
            <w:r>
              <w:rPr>
                <w:rFonts w:ascii="Arial" w:hAnsi="Arial"/>
                <w:color w:val="000000"/>
                <w:sz w:val="18"/>
              </w:rPr>
              <w:t>The results of this study suggest that real-world persistent natalizumab users who become nonpersistent have meaningful and statistically significant increases in annual relapses and relapse-related costs. Those who transition from nonpersistent to persistent have nonsignificant reductions in relapses and their associated costs.</w:t>
            </w:r>
          </w:p>
        </w:tc>
        <w:tc>
          <w:tcPr>
            <w:tcW w:type="dxa" w:w="1511"/>
            <w:shd w:fill="FFFFFF"/>
          </w:tcPr>
          <w:p>
            <w:r>
              <w:rPr>
                <w:rFonts w:ascii="Arial" w:hAnsi="Arial"/>
                <w:color w:val="000000"/>
                <w:sz w:val="18"/>
              </w:rPr>
              <w:t>Retrospective Study</w:t>
            </w:r>
          </w:p>
        </w:tc>
        <w:tc>
          <w:tcPr>
            <w:tcW w:type="dxa" w:w="1511"/>
            <w:shd w:fill="FFFFFF"/>
          </w:tcPr>
          <w:p>
            <w:r>
              <w:rPr>
                <w:rFonts w:ascii="Arial" w:hAnsi="Arial"/>
                <w:color w:val="000000"/>
                <w:sz w:val="18"/>
              </w:rPr>
              <w:t>Commercially insured members with multiple sclerosis (MS) who initiated natalizumab</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Persistent vs nonpersistent natalizumab use</w:t>
            </w:r>
          </w:p>
        </w:tc>
        <w:tc>
          <w:tcPr>
            <w:tcW w:type="dxa" w:w="1511"/>
            <w:shd w:fill="FFFFFF"/>
          </w:tcPr>
          <w:p>
            <w:r>
              <w:rPr>
                <w:rFonts w:ascii="Arial" w:hAnsi="Arial"/>
                <w:color w:val="000000"/>
                <w:sz w:val="18"/>
              </w:rPr>
              <w:t>Relapse rate and relapse-related costs</w:t>
            </w:r>
          </w:p>
        </w:tc>
        <w:tc>
          <w:tcPr>
            <w:tcW w:type="dxa" w:w="1511"/>
            <w:shd w:fill="FFFFFF"/>
          </w:tcPr>
          <w:p>
            <w:r>
              <w:rPr>
                <w:rFonts w:ascii="Arial" w:hAnsi="Arial"/>
                <w:color w:val="000000"/>
                <w:sz w:val="18"/>
              </w:rPr>
              <w:t>Persistent to nonpersistent treatment patterns were associated with a mean relapse-rate increase of 0.23 (95% CI = 0.12, 0.35), and a mean increase in relapse-related costs of $1,346 (95% CI = $97, $2,595). Nonpersistent to persistent treatment patterns were associated with a mean relapse-rate decrease of -0.15 (95% CI = -0.32, 0.017) and a mean decrease in relapse-related costs of -$1,369 (95% CI = -$2,761, $23).</w:t>
            </w:r>
          </w:p>
        </w:tc>
      </w:tr>
      <w:tr>
        <w:tc>
          <w:tcPr>
            <w:tcW w:type="dxa" w:w="1511"/>
            <w:shd w:fill="FFFFFF"/>
          </w:tcPr>
          <w:p>
            <w:r>
              <w:rPr>
                <w:rFonts w:ascii="Arial" w:hAnsi="Arial"/>
                <w:color w:val="000000"/>
                <w:sz w:val="18"/>
              </w:rPr>
              <w:t>Melis et al. - 2014 - Post-natalizumab clinical and radiological findings in a cohort of multiple sclerosis patients 12-m.pdf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Post-natalizumab clinical and radiological findings in a cohort of multiple sclerosis patients: 12-month follow-up</w:t>
            </w:r>
          </w:p>
        </w:tc>
        <w:tc>
          <w:tcPr>
            <w:tcW w:type="dxa" w:w="1511"/>
            <w:shd w:fill="FFFFFF"/>
          </w:tcPr>
          <w:p>
            <w:r>
              <w:rPr>
                <w:rFonts w:ascii="Arial" w:hAnsi="Arial"/>
                <w:color w:val="000000"/>
                <w:sz w:val="18"/>
              </w:rPr>
              <w:t>A 'rebound' pattern was not identified in our cohort, though the disease activity rapidly returned after natalizumab suspension, regardless of the treatment used.</w:t>
            </w:r>
          </w:p>
        </w:tc>
        <w:tc>
          <w:tcPr>
            <w:tcW w:type="dxa" w:w="1511"/>
            <w:shd w:fill="FFFFFF"/>
          </w:tcPr>
          <w:p>
            <w:r>
              <w:rPr>
                <w:rFonts w:ascii="Arial" w:hAnsi="Arial"/>
                <w:color w:val="000000"/>
                <w:sz w:val="18"/>
              </w:rPr>
              <w:t>Observational and retrospective study</w:t>
            </w:r>
          </w:p>
        </w:tc>
        <w:tc>
          <w:tcPr>
            <w:tcW w:type="dxa" w:w="1511"/>
            <w:shd w:fill="FFFFFF"/>
          </w:tcPr>
          <w:p>
            <w:r>
              <w:rPr>
                <w:rFonts w:ascii="Arial" w:hAnsi="Arial"/>
                <w:color w:val="000000"/>
                <w:sz w:val="18"/>
              </w:rPr>
              <w:t>A cohort of multiple sclerosis patients previously treated with natalizumab</w:t>
            </w:r>
          </w:p>
        </w:tc>
        <w:tc>
          <w:tcPr>
            <w:tcW w:type="dxa" w:w="1511"/>
            <w:shd w:fill="FFFFFF"/>
          </w:tcPr>
          <w:p>
            <w:r>
              <w:rPr>
                <w:rFonts w:ascii="Arial" w:hAnsi="Arial"/>
                <w:color w:val="000000"/>
                <w:sz w:val="18"/>
              </w:rPr>
              <w:t>Suspension of natalizumab (N)</w:t>
            </w:r>
          </w:p>
        </w:tc>
        <w:tc>
          <w:tcPr>
            <w:tcW w:type="dxa" w:w="1511"/>
            <w:shd w:fill="FFFFFF"/>
          </w:tcPr>
          <w:p>
            <w:r>
              <w:rPr>
                <w:rFonts w:ascii="Arial" w:hAnsi="Arial"/>
                <w:color w:val="000000"/>
                <w:sz w:val="18"/>
              </w:rPr>
              <w:t>Comparison of clinical and radiological data across pre-N (before treatment), on-N (during treatment), and post-N (after interruption) periods, and among different post-N treatment strategies (restarted natalizumab, other immunomodulatory/immunosuppressive drugs, no treatment).</w:t>
            </w:r>
          </w:p>
        </w:tc>
        <w:tc>
          <w:tcPr>
            <w:tcW w:type="dxa" w:w="1511"/>
            <w:shd w:fill="FFFFFF"/>
          </w:tcPr>
          <w:p>
            <w:r>
              <w:rPr>
                <w:rFonts w:ascii="Arial" w:hAnsi="Arial"/>
                <w:color w:val="000000"/>
                <w:sz w:val="18"/>
              </w:rPr>
              <w:t>Clinical and radiological disease activity measures including annualized relapse rate (ARR), expanded disability status scale (EDSS), presence of new T2 lesions and gadolinium-enhancing (Gd+) T1 lesions.</w:t>
            </w:r>
          </w:p>
        </w:tc>
        <w:tc>
          <w:tcPr>
            <w:tcW w:type="dxa" w:w="1511"/>
            <w:shd w:fill="FFFFFF"/>
          </w:tcPr>
          <w:p>
            <w:r>
              <w:rPr>
                <w:rFonts w:ascii="Arial" w:hAnsi="Arial"/>
                <w:color w:val="000000"/>
                <w:sz w:val="18"/>
              </w:rPr>
              <w:t>Key findings include: pre-N ARR = 1.74, post-N ARR = 0.94 (no rebound over pre-N levels); post-N disease activity did not exceed pre-N levels for ARR or EDSS; in patients retreated with natalizumab, post-N ARR was significantly lower than pre-N (p=0.017), but not in other groups; mean time to new T2 lesions and Gd+ lesions was shorter post-N compared to on-N (p=0.0000 for both).</w:t>
            </w:r>
          </w:p>
        </w:tc>
      </w:tr>
      <w:tr>
        <w:tc>
          <w:tcPr>
            <w:tcW w:type="dxa" w:w="1511"/>
            <w:shd w:fill="FFFFFF"/>
          </w:tcPr>
          <w:p>
            <w:r>
              <w:rPr>
                <w:rFonts w:ascii="Arial" w:hAnsi="Arial"/>
                <w:color w:val="000000"/>
                <w:sz w:val="18"/>
              </w:rPr>
              <w:t>Monschein et al. - 2023 - Real-world use of natalizumab in Austria data from the Austrian Multiple Sclerosis Treatment Regist.pdf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Real‑world use of natalizumab in Austria: data from the Austrian Multiple Sclerosis Treatment Registry (AMSTR)</w:t>
            </w:r>
          </w:p>
        </w:tc>
        <w:tc>
          <w:tcPr>
            <w:tcW w:type="dxa" w:w="1511"/>
            <w:shd w:fill="FFFFFF"/>
          </w:tcPr>
          <w:p>
            <w:r>
              <w:rPr>
                <w:rFonts w:ascii="Arial" w:hAnsi="Arial"/>
                <w:color w:val="000000"/>
                <w:sz w:val="18"/>
              </w:rPr>
              <w:t>In line with real world data available so far, we confirm in a nationwide Austrian registry study the high effectiveness as well as the long-term safety of NTZ in highly active RRMS patients. In particular, no new safety issues including PML numbers occurred, which is in line with international surveillance programmes [7, 11–13]. Our data, therefore, support the use of NTZ as a first line therapy in active RRMS patients due to its excellent benefit-risk-profile, with JCV-seroconversion being the only major limitation in the long-term use of NTZ.</w:t>
            </w:r>
          </w:p>
        </w:tc>
        <w:tc>
          <w:tcPr>
            <w:tcW w:type="dxa" w:w="1511"/>
            <w:shd w:fill="FFFFFF"/>
          </w:tcPr>
          <w:p>
            <w:r>
              <w:rPr>
                <w:rFonts w:ascii="Arial" w:hAnsi="Arial"/>
                <w:color w:val="000000"/>
                <w:sz w:val="18"/>
              </w:rPr>
              <w:t>Observational study (registry-based)</w:t>
            </w:r>
          </w:p>
        </w:tc>
        <w:tc>
          <w:tcPr>
            <w:tcW w:type="dxa" w:w="1511"/>
            <w:shd w:fill="FFFFFF"/>
          </w:tcPr>
          <w:p>
            <w:r>
              <w:rPr>
                <w:rFonts w:ascii="Arial" w:hAnsi="Arial"/>
                <w:color w:val="000000"/>
                <w:sz w:val="18"/>
              </w:rPr>
              <w:t>Patients with multiple sclerosis (RRMS) treated with natalizumab in Austria</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Effectiveness (annualized relapse rate, EDSS progression) and safety (adverse events, PML, treatment discontinuation)</w:t>
            </w:r>
          </w:p>
        </w:tc>
        <w:tc>
          <w:tcPr>
            <w:tcW w:type="dxa" w:w="1511"/>
            <w:shd w:fill="FFFFFF"/>
          </w:tcPr>
          <w:p>
            <w:r>
              <w:rPr>
                <w:rFonts w:ascii="Arial" w:hAnsi="Arial"/>
                <w:color w:val="000000"/>
                <w:sz w:val="18"/>
              </w:rPr>
              <w:t>A total of 1596 natalizumab patients (71% women, n = 1133) were included... The mean ARR was 2.0 (SD = 1.13) at baseline, decreasing to 0.16 after 1 year and 0.01 after 10 years. A total of 325 patients (21.6%) converted to secondary progressive multiple sclerosis (SPMS) during the observational period. Of 1502 patients, 1297 (86.4%) reported no adverse events (AE) during follow-up visits. The most common reported AEs were infections and infusion-related reactions. John Cunningham virus (JCV) seropositivity was the most common specified reason for treatment discontinuation (53.7%, n = 607). There were five confirmed cases of Progressive Multifocal Leukoencephalopathy (PML) with 1 death.</w:t>
            </w:r>
          </w:p>
        </w:tc>
      </w:tr>
      <w:tr>
        <w:tc>
          <w:tcPr>
            <w:tcW w:type="dxa" w:w="1511"/>
            <w:shd w:fill="FFFFFF"/>
          </w:tcPr>
          <w:p>
            <w:r>
              <w:rPr>
                <w:rFonts w:ascii="Arial" w:hAnsi="Arial"/>
                <w:color w:val="000000"/>
                <w:sz w:val="18"/>
              </w:rPr>
              <w:t>Nakamura et al. - 2024 - Natalizumab reduces loss of gray matter and thalamic volume in patients with relapsing-remitting mul.pdf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reduces loss of gray matter and thalamic volume in patients with relapsing-remitting multiple sclerosis: A post hoc analysis from the randomized, placebo-controlled AFFIRM trial</w:t>
            </w:r>
          </w:p>
        </w:tc>
        <w:tc>
          <w:tcPr>
            <w:tcW w:type="dxa" w:w="1511"/>
            <w:shd w:fill="FFFFFF"/>
          </w:tcPr>
          <w:p>
            <w:r>
              <w:rPr>
                <w:rFonts w:ascii="Arial" w:hAnsi="Arial"/>
                <w:color w:val="000000"/>
                <w:sz w:val="18"/>
              </w:rPr>
              <w:t>These analyses represent the first placebo-controlled evidence supporting a role for natalizumab treatment in mitigating gray matter and thalamic fraction atrophy among patients with RRMS.</w:t>
            </w:r>
          </w:p>
        </w:tc>
        <w:tc>
          <w:tcPr>
            <w:tcW w:type="dxa" w:w="1511"/>
            <w:shd w:fill="FFFFFF"/>
          </w:tcPr>
          <w:p>
            <w:r>
              <w:rPr>
                <w:rFonts w:ascii="Arial" w:hAnsi="Arial"/>
                <w:color w:val="000000"/>
                <w:sz w:val="18"/>
              </w:rPr>
              <w:t>Post hoc analysis (from randomized, placebo-controlled trial)</w:t>
            </w:r>
          </w:p>
        </w:tc>
        <w:tc>
          <w:tcPr>
            <w:tcW w:type="dxa" w:w="1511"/>
            <w:shd w:fill="FFFFFF"/>
          </w:tcPr>
          <w:p>
            <w:r>
              <w:rPr>
                <w:rFonts w:ascii="Arial" w:hAnsi="Arial"/>
                <w:color w:val="000000"/>
                <w:sz w:val="18"/>
              </w:rPr>
              <w:t>Patients with relapsing-remitting multiple sclerosis (RRMS)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Placebo</w:t>
            </w:r>
          </w:p>
        </w:tc>
        <w:tc>
          <w:tcPr>
            <w:tcW w:type="dxa" w:w="1511"/>
            <w:shd w:fill="FFFFFF"/>
          </w:tcPr>
          <w:p>
            <w:r>
              <w:rPr>
                <w:rFonts w:ascii="Arial" w:hAnsi="Arial"/>
                <w:color w:val="000000"/>
                <w:sz w:val="18"/>
              </w:rPr>
              <w:t>Gray matter and thalamic volume loss (atrophy)</w:t>
            </w:r>
          </w:p>
        </w:tc>
        <w:tc>
          <w:tcPr>
            <w:tcW w:type="dxa" w:w="1511"/>
            <w:shd w:fill="FFFFFF"/>
          </w:tcPr>
          <w:p>
            <w:r>
              <w:rPr>
                <w:rFonts w:ascii="Arial" w:hAnsi="Arial"/>
                <w:color w:val="000000"/>
                <w:sz w:val="18"/>
              </w:rPr>
              <w:t>This post hoc analysis identified a reduction of 64.3% (p = 0.0044) and 64.3% (p = 0.0030) in mean percentage gray matter volume loss from baseline at treatment years 1 and 2, respectively, in patients treated with natalizumab versus placebo. The reduction in thalamic fraction volume loss from baseline with natalizumab versus placebo was 57.0% at year 2 (p &lt; 0.0001) and 41.2% at year 1 (p = 0.0147). Similar findings resulted from analyses of absolute gray matter and thalamic fraction volume loss.</w:t>
            </w:r>
          </w:p>
        </w:tc>
      </w:tr>
      <w:tr>
        <w:tc>
          <w:tcPr>
            <w:tcW w:type="dxa" w:w="1511"/>
            <w:shd w:fill="FFFFFF"/>
          </w:tcPr>
          <w:p>
            <w:r>
              <w:rPr>
                <w:rFonts w:ascii="Arial" w:hAnsi="Arial"/>
                <w:color w:val="000000"/>
                <w:sz w:val="18"/>
              </w:rPr>
              <w:t>Natalizumab related progressive multifocal leukoencephalopathy.pdf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related progressive multifocal leukoencephalopathy</w:t>
            </w:r>
          </w:p>
        </w:tc>
        <w:tc>
          <w:tcPr>
            <w:tcW w:type="dxa" w:w="1511"/>
            <w:shd w:fill="FFFFFF"/>
          </w:tcPr>
          <w:p>
            <w:r>
              <w:rPr>
                <w:rFonts w:ascii="Arial" w:hAnsi="Arial"/>
                <w:color w:val="000000"/>
                <w:sz w:val="18"/>
              </w:rPr>
              <w:t>Improved approaches to PML risk stratification, optimal drug dosing are needed to guide treatment choices and surveillance of patients.</w:t>
            </w:r>
          </w:p>
        </w:tc>
        <w:tc>
          <w:tcPr>
            <w:tcW w:type="dxa" w:w="1511"/>
            <w:shd w:fill="FFFFFF"/>
          </w:tcPr>
          <w:p>
            <w:r>
              <w:rPr>
                <w:rFonts w:ascii="Arial" w:hAnsi="Arial"/>
                <w:color w:val="000000"/>
                <w:sz w:val="18"/>
              </w:rPr>
              <w:t>Review</w:t>
            </w:r>
          </w:p>
        </w:tc>
        <w:tc>
          <w:tcPr>
            <w:tcW w:type="dxa" w:w="1511"/>
            <w:shd w:fill="FFFFFF"/>
          </w:tcPr>
          <w:p>
            <w:r>
              <w:rPr>
                <w:rFonts w:ascii="Arial" w:hAnsi="Arial"/>
                <w:color w:val="000000"/>
                <w:sz w:val="18"/>
              </w:rPr>
              <w:t>Patients with multiple sclerosis (MS) treated with natalizumab, and related populations for PML risk assessment</w:t>
            </w:r>
          </w:p>
        </w:tc>
        <w:tc>
          <w:tcPr>
            <w:tcW w:type="dxa" w:w="1511"/>
            <w:shd w:fill="FFFFFF"/>
          </w:tcPr>
          <w:p>
            <w:r>
              <w:rPr>
                <w:rFonts w:ascii="Arial" w:hAnsi="Arial"/>
                <w:color w:val="000000"/>
                <w:sz w:val="18"/>
              </w:rPr>
              <w:t>Natalizumab (a humanized monoclonal antibody targeting α4 integrin)</w:t>
            </w:r>
          </w:p>
        </w:tc>
        <w:tc>
          <w:tcPr>
            <w:tcW w:type="dxa" w:w="1511"/>
            <w:shd w:fill="FFFFFF"/>
          </w:tcPr>
          <w:p>
            <w:r>
              <w:rPr>
                <w:rFonts w:ascii="Arial" w:hAnsi="Arial"/>
                <w:color w:val="000000"/>
                <w:sz w:val="18"/>
              </w:rPr>
              <w:t>Standard interval dosing (SID) of natalizumab compared to extended interval dosing (EID), and comparison of risk factors including anti-JCV antibody status, prior immunosuppressive therapy, and duration of natalizumab treatment</w:t>
            </w:r>
          </w:p>
        </w:tc>
        <w:tc>
          <w:tcPr>
            <w:tcW w:type="dxa" w:w="1511"/>
            <w:shd w:fill="FFFFFF"/>
          </w:tcPr>
          <w:p>
            <w:r>
              <w:rPr>
                <w:rFonts w:ascii="Arial" w:hAnsi="Arial"/>
                <w:color w:val="000000"/>
                <w:sz w:val="18"/>
              </w:rPr>
              <w:t>Incidence of progressive multifocal leukoencephalopathy (PML)</w:t>
            </w:r>
          </w:p>
        </w:tc>
        <w:tc>
          <w:tcPr>
            <w:tcW w:type="dxa" w:w="1511"/>
            <w:shd w:fill="FFFFFF"/>
          </w:tcPr>
          <w:p>
            <w:r>
              <w:rPr>
                <w:rFonts w:ascii="Arial" w:hAnsi="Arial"/>
                <w:color w:val="000000"/>
                <w:sz w:val="18"/>
              </w:rPr>
              <w:t>Findings indicate that natalizumab increases PML risk by impairing CNS immune surveillance and mobilizing CD34 cells, risk factors include positive anti-JCV antibodies, prior immunosuppression, and &gt;24 months of natalizumab use; biomarkers such as anti-JCV antibody index, L-selectin, microRNAs are under investigation; extended interval dosing reduces PML risk compared to standard interval dosing.</w:t>
            </w:r>
          </w:p>
        </w:tc>
      </w:tr>
      <w:tr>
        <w:tc>
          <w:tcPr>
            <w:tcW w:type="dxa" w:w="1511"/>
            <w:shd w:fill="FFFFFF"/>
          </w:tcPr>
          <w:p>
            <w:r>
              <w:rPr>
                <w:rFonts w:ascii="Arial" w:hAnsi="Arial"/>
                <w:color w:val="000000"/>
                <w:sz w:val="18"/>
              </w:rPr>
              <w:t>Nicholas et al. - 194 Natalizumab treatment for MS UK and global results from TOP.pdf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DOES SOCIOECONOMIC STATUS IMPACT ON THE PRESCRIPTION OF DISEASE-MODIFYING TREATMENTS IN PEOPLE WITH MULTIPLE SCLEROSIS?</w:t>
            </w:r>
          </w:p>
        </w:tc>
        <w:tc>
          <w:tcPr>
            <w:tcW w:type="dxa" w:w="1511"/>
            <w:shd w:fill="FFFFFF"/>
          </w:tcPr>
          <w:p>
            <w:r>
              <w:rPr>
                <w:rFonts w:ascii="Arial" w:hAnsi="Arial"/>
                <w:color w:val="000000"/>
                <w:sz w:val="18"/>
              </w:rPr>
              <w:t>SES was not predictive of prescription of DMTs in this single-centre study. It would be of interest to compare our data with other MS services, and to map these results onto the inequity in access to DMTs across the UK.</w:t>
            </w:r>
          </w:p>
        </w:tc>
        <w:tc>
          <w:tcPr>
            <w:tcW w:type="dxa" w:w="1511"/>
            <w:shd w:fill="FFFFFF"/>
          </w:tcPr>
          <w:p>
            <w:r>
              <w:rPr>
                <w:rFonts w:ascii="Arial" w:hAnsi="Arial"/>
                <w:color w:val="000000"/>
                <w:sz w:val="18"/>
              </w:rPr>
              <w:t>cross-sectional study</w:t>
            </w:r>
          </w:p>
        </w:tc>
        <w:tc>
          <w:tcPr>
            <w:tcW w:type="dxa" w:w="1511"/>
            <w:shd w:fill="FFFFFF"/>
          </w:tcPr>
          <w:p>
            <w:r>
              <w:rPr>
                <w:rFonts w:ascii="Arial" w:hAnsi="Arial"/>
                <w:color w:val="000000"/>
                <w:sz w:val="18"/>
              </w:rPr>
              <w:t>734 pwMS aged ≥18 years attending the neuroinflammation service at The Royal London Hospital (Barts Health NHS Trust) between 1997 and 2017</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Patient income and education vs prescription of high/very-high efficacy DMTs</w:t>
            </w:r>
          </w:p>
        </w:tc>
        <w:tc>
          <w:tcPr>
            <w:tcW w:type="dxa" w:w="1511"/>
            <w:shd w:fill="FFFFFF"/>
          </w:tcPr>
          <w:p>
            <w:r>
              <w:rPr>
                <w:rFonts w:ascii="Arial" w:hAnsi="Arial"/>
                <w:color w:val="000000"/>
                <w:sz w:val="18"/>
              </w:rPr>
              <w:t>prescription of disease-modifying treatments (DMTs)</w:t>
            </w:r>
          </w:p>
        </w:tc>
        <w:tc>
          <w:tcPr>
            <w:tcW w:type="dxa" w:w="1511"/>
            <w:shd w:fill="FFFFFF"/>
          </w:tcPr>
          <w:p>
            <w:r>
              <w:rPr>
                <w:rFonts w:ascii="Arial" w:hAnsi="Arial"/>
                <w:color w:val="000000"/>
                <w:sz w:val="18"/>
              </w:rPr>
              <w:t>DMTs were categorized as follows: moderate efficacy therapies included Glatiramer Acetate and Beta-Interferons (n=81, 11.04%), high efficacy therapies included Cladribine, Fingolimod and Dimethyl Fumarate (n=409, 55.72%), and very-high efficacy therapies included Natalizumab and Alemtuzumab (n=244, 33.24%). Medians for income and education deciles were 4 (IQR 3–7) and 6 (IQR 4–8), respectively. Patient income was not associated with increased odds of being prescribed high efficacy (OR, 1.02; 95% CI, 0.91–1.14; p=0.814) or very-high efficacy DMTs (OR, 1.01; 95% CI, 0.90–1.14; p=0.732). Similarly, patient education was not associated with the prescription of high efficacy (OR, 0.96; 95% CI, 0.84–1.10; p=0.585) or very-high efficacy DMTs (OR, 0.96; 95% CI, 0.84–1.10; p=0.538).</w:t>
            </w:r>
          </w:p>
        </w:tc>
      </w:tr>
      <w:tr>
        <w:tc>
          <w:tcPr>
            <w:tcW w:type="dxa" w:w="1511"/>
            <w:shd w:fill="FFFFFF"/>
          </w:tcPr>
          <w:p>
            <w:r>
              <w:rPr>
                <w:rFonts w:ascii="Arial" w:hAnsi="Arial"/>
                <w:color w:val="000000"/>
                <w:sz w:val="18"/>
              </w:rPr>
              <w:t>Nikfar et al. - 2010 - A meta-analysis on the efficacy and tolerability of natalizumab in relapsing multiple sclerosis.pdf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 meta-analysis on the efficacy and tolerability of natalizumab in relapsing multiple sclerosis</w:t>
            </w:r>
          </w:p>
        </w:tc>
        <w:tc>
          <w:tcPr>
            <w:tcW w:type="dxa" w:w="1511"/>
            <w:shd w:fill="FFFFFF"/>
          </w:tcPr>
          <w:p>
            <w:r>
              <w:rPr>
                <w:rFonts w:ascii="Arial" w:hAnsi="Arial"/>
                <w:color w:val="000000"/>
                <w:sz w:val="18"/>
              </w:rPr>
              <w:t>It seems that using 3 or 6 mg/kg every 4 weeks is the best method of administration of natalizumab for preventing relapse and occurrence of new Gd-enhancing lesions. The current data on the efficacy and safety of natalizumab are insufficient to reach a convincing conclusion and thus further clinical trials are still needed.</w:t>
            </w:r>
          </w:p>
        </w:tc>
        <w:tc>
          <w:tcPr>
            <w:tcW w:type="dxa" w:w="1511"/>
            <w:shd w:fill="FFFFFF"/>
          </w:tcPr>
          <w:p>
            <w:r>
              <w:rPr>
                <w:rFonts w:ascii="Arial" w:hAnsi="Arial"/>
                <w:color w:val="000000"/>
                <w:sz w:val="18"/>
              </w:rPr>
              <w:t>meta-analysis</w:t>
            </w:r>
          </w:p>
        </w:tc>
        <w:tc>
          <w:tcPr>
            <w:tcW w:type="dxa" w:w="1511"/>
            <w:shd w:fill="FFFFFF"/>
          </w:tcPr>
          <w:p>
            <w:r>
              <w:rPr>
                <w:rFonts w:ascii="Arial" w:hAnsi="Arial"/>
                <w:color w:val="000000"/>
                <w:sz w:val="18"/>
              </w:rPr>
              <w:t>Patients with relapsing multiple sclerosis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Placebo</w:t>
            </w:r>
          </w:p>
        </w:tc>
        <w:tc>
          <w:tcPr>
            <w:tcW w:type="dxa" w:w="1511"/>
            <w:shd w:fill="FFFFFF"/>
          </w:tcPr>
          <w:p>
            <w:r>
              <w:rPr>
                <w:rFonts w:ascii="Arial" w:hAnsi="Arial"/>
                <w:color w:val="000000"/>
                <w:sz w:val="18"/>
              </w:rPr>
              <w:t>Key outcomes for efficacy included mean change in Expanded Disability Status Scale (EDSS), number of patients with at least one relapse, and number of patients with at least one new gadolinium (Gd)-enhancing lesion; for tolerability included any adverse events, serious adverse events, death, and withdrawal because of adverse events.</w:t>
            </w:r>
          </w:p>
        </w:tc>
        <w:tc>
          <w:tcPr>
            <w:tcW w:type="dxa" w:w="1511"/>
            <w:shd w:fill="FFFFFF"/>
          </w:tcPr>
          <w:p>
            <w:r>
              <w:rPr>
                <w:rFonts w:ascii="Arial" w:hAnsi="Arial"/>
                <w:color w:val="000000"/>
                <w:sz w:val="18"/>
              </w:rPr>
              <w:t>Pooled relative risk for at least one relapse in four trials including all doses was 0.7 (non-significant RR, 95% CI: 0.42-1.17, p=0.17); summary RR for at least one relapse in two trials with doses of 3 or 6 mg/kg or 300 mg every 4 weeks was 0.5 (significant, 95% CI: 0.42-0.61, p&lt;0.0001); summary RR for at least one new Gd-enhancing lesion was 0.22 (non-significant, 95% CI: 0.05-1.01, p=0.051). Three deaths reported in natalizumab group; non-significant RR for any adverse events (0.99, 95% CI: 0.96-1.01, p=0.34); significant RR for serious adverse events (0.39, 95% CI: 0.29-0.52, p&lt;0.0001); non-significant RR for withdrawal due to adverse events (1.43, 95% CI: 0.68-3.02, p=0.35).</w:t>
            </w:r>
          </w:p>
        </w:tc>
      </w:tr>
      <w:tr>
        <w:tc>
          <w:tcPr>
            <w:tcW w:type="dxa" w:w="1511"/>
            <w:shd w:fill="FFFFFF"/>
          </w:tcPr>
          <w:p>
            <w:r>
              <w:rPr>
                <w:rFonts w:ascii="Arial" w:hAnsi="Arial"/>
                <w:color w:val="000000"/>
                <w:sz w:val="18"/>
              </w:rPr>
              <w:t>PIIS0022510X1830251X.pdf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Predictors of relapse and disability progression in MS patients who discontinue disease-modifying therapy</w:t>
            </w:r>
          </w:p>
        </w:tc>
        <w:tc>
          <w:tcPr>
            <w:tcW w:type="dxa" w:w="1511"/>
            <w:shd w:fill="FFFFFF"/>
          </w:tcPr>
          <w:p>
            <w:r>
              <w:rPr>
                <w:rFonts w:ascii="Arial" w:hAnsi="Arial"/>
                <w:color w:val="000000"/>
                <w:sz w:val="18"/>
              </w:rPr>
              <w:t>Knowledge of post-DMT relapse and disability progression rates and predictors of post-DMT disease activity allows for a more informed discussion of DMT discontinuation in those patients who are considering this option.</w:t>
            </w:r>
          </w:p>
        </w:tc>
        <w:tc>
          <w:tcPr>
            <w:tcW w:type="dxa" w:w="1511"/>
            <w:shd w:fill="FFFFFF"/>
          </w:tcPr>
          <w:p>
            <w:r>
              <w:rPr>
                <w:rFonts w:ascii="Arial" w:hAnsi="Arial"/>
                <w:color w:val="000000"/>
                <w:sz w:val="18"/>
              </w:rPr>
              <w:t>Observational cohort study</w:t>
            </w:r>
          </w:p>
        </w:tc>
        <w:tc>
          <w:tcPr>
            <w:tcW w:type="dxa" w:w="1511"/>
            <w:shd w:fill="FFFFFF"/>
          </w:tcPr>
          <w:p>
            <w:r>
              <w:rPr>
                <w:rFonts w:ascii="Arial" w:hAnsi="Arial"/>
                <w:color w:val="000000"/>
                <w:sz w:val="18"/>
              </w:rPr>
              <w:t>Multiple sclerosis patients who discontinued disease-modifying therapy</w:t>
            </w:r>
          </w:p>
        </w:tc>
        <w:tc>
          <w:tcPr>
            <w:tcW w:type="dxa" w:w="1511"/>
            <w:shd w:fill="FFFFFF"/>
          </w:tcPr>
          <w:p>
            <w:r>
              <w:rPr>
                <w:rFonts w:ascii="Arial" w:hAnsi="Arial"/>
                <w:color w:val="000000"/>
                <w:sz w:val="18"/>
              </w:rPr>
              <w:t>Discontinuation of disease-modifying therapy (DMT)</w:t>
            </w:r>
          </w:p>
        </w:tc>
        <w:tc>
          <w:tcPr>
            <w:tcW w:type="dxa" w:w="1511"/>
            <w:shd w:fill="FFFFFF"/>
          </w:tcPr>
          <w:p>
            <w:r>
              <w:rPr>
                <w:rFonts w:ascii="Arial" w:hAnsi="Arial"/>
                <w:color w:val="000000"/>
                <w:sz w:val="18"/>
              </w:rPr>
              <w:t>Different disease-modifying therapies (DMTs)</w:t>
            </w:r>
          </w:p>
        </w:tc>
        <w:tc>
          <w:tcPr>
            <w:tcW w:type="dxa" w:w="1511"/>
            <w:shd w:fill="FFFFFF"/>
          </w:tcPr>
          <w:p>
            <w:r>
              <w:rPr>
                <w:rFonts w:ascii="Arial" w:hAnsi="Arial"/>
                <w:color w:val="000000"/>
                <w:sz w:val="18"/>
              </w:rPr>
              <w:t>Post-DMT relapse and confirmed disability progression (CDP)</w:t>
            </w:r>
          </w:p>
        </w:tc>
        <w:tc>
          <w:tcPr>
            <w:tcW w:type="dxa" w:w="1511"/>
            <w:shd w:fill="FFFFFF"/>
          </w:tcPr>
          <w:p>
            <w:r>
              <w:rPr>
                <w:rFonts w:ascii="Arial" w:hAnsi="Arial"/>
                <w:color w:val="000000"/>
                <w:sz w:val="18"/>
              </w:rPr>
              <w:t>Overall post-discontinuation annualized relapse rate was 0.224 (95% CI 0.219, 0.229) and CDP rate was 8.23 (7.72, 8.76) per 100 person-years. Risk of post-DMT relapse was higher in younger patients, female patients, those with moderate disability and a relapse within 1 year of discontinuation. Hazard of CDP increased with increasing disability at baseline. Natalizumab was associated with increased risk of both post-DMT relapse and CDP.</w:t>
            </w:r>
          </w:p>
        </w:tc>
      </w:tr>
      <w:tr>
        <w:tc>
          <w:tcPr>
            <w:tcW w:type="dxa" w:w="1511"/>
            <w:shd w:fill="FFFFFF"/>
          </w:tcPr>
          <w:p>
            <w:r>
              <w:rPr>
                <w:rFonts w:ascii="Arial" w:hAnsi="Arial"/>
                <w:color w:val="000000"/>
                <w:sz w:val="18"/>
              </w:rPr>
              <w:t>PIIS0165572817300553.pdf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Massive intracerebral Epstein-Barr virus reactivation in lethal multiple sclerosis relapse after natalizumab withdrawal</w:t>
            </w:r>
          </w:p>
        </w:tc>
        <w:tc>
          <w:tcPr>
            <w:tcW w:type="dxa" w:w="1511"/>
            <w:shd w:fill="FFFFFF"/>
          </w:tcPr>
          <w:p>
            <w:r>
              <w:rPr>
                <w:rFonts w:ascii="Arial" w:hAnsi="Arial"/>
                <w:color w:val="000000"/>
                <w:sz w:val="18"/>
              </w:rPr>
              <w:t>The higher frequency of EBV lytically infected cells, including some cerebrovascular endothelia, and granzyme B+ CD8+ T cells in immunologically active lesions suggests a link between in situ EBV reactivation, cytotoxic activity and highly destructive inflammation. These results may encourage switching to B-cell depleting therapy after natalizumab discontinuation.</w:t>
            </w:r>
          </w:p>
        </w:tc>
        <w:tc>
          <w:tcPr>
            <w:tcW w:type="dxa" w:w="1511"/>
            <w:shd w:fill="FFFFFF"/>
          </w:tcPr>
          <w:p>
            <w:r>
              <w:rPr>
                <w:rFonts w:ascii="Arial" w:hAnsi="Arial"/>
                <w:color w:val="000000"/>
                <w:sz w:val="18"/>
              </w:rPr>
              <w:t>Case study (post-mortem analysis)</w:t>
            </w:r>
          </w:p>
        </w:tc>
        <w:tc>
          <w:tcPr>
            <w:tcW w:type="dxa" w:w="1511"/>
            <w:shd w:fill="FFFFFF"/>
          </w:tcPr>
          <w:p>
            <w:r>
              <w:rPr>
                <w:rFonts w:ascii="Arial" w:hAnsi="Arial"/>
                <w:color w:val="000000"/>
                <w:sz w:val="18"/>
              </w:rPr>
              <w:t>Multiple sclerosis patient (50-year-old male with relapsing-remitting MS)</w:t>
            </w:r>
          </w:p>
        </w:tc>
        <w:tc>
          <w:tcPr>
            <w:tcW w:type="dxa" w:w="1511"/>
            <w:shd w:fill="FFFFFF"/>
          </w:tcPr>
          <w:p>
            <w:r>
              <w:rPr>
                <w:rFonts w:ascii="Arial" w:hAnsi="Arial"/>
                <w:color w:val="000000"/>
                <w:sz w:val="18"/>
              </w:rPr>
              <w:t>Natalizumab withdrawal</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Lethal multiple sclerosis relapse due to massive intracerebral Epstein-Barr virus reactivation</w:t>
            </w:r>
          </w:p>
        </w:tc>
        <w:tc>
          <w:tcPr>
            <w:tcW w:type="dxa" w:w="1511"/>
            <w:shd w:fill="FFFFFF"/>
          </w:tcPr>
          <w:p>
            <w:r>
              <w:rPr>
                <w:rFonts w:ascii="Arial" w:hAnsi="Arial"/>
                <w:color w:val="000000"/>
                <w:sz w:val="18"/>
              </w:rPr>
              <w:t>Numerous EBV-infected B cells/plasma cells and CD8+ T cells infiltrated all white matter lesions; the highest frequency of EBV lytically infected cells and granzyme B+ CD8+ T cells was observed in actively demyelinating lesions.</w:t>
            </w:r>
          </w:p>
        </w:tc>
      </w:tr>
      <w:tr>
        <w:tc>
          <w:tcPr>
            <w:tcW w:type="dxa" w:w="1511"/>
            <w:shd w:fill="FFFFFF"/>
          </w:tcPr>
          <w:p>
            <w:r>
              <w:rPr>
                <w:rFonts w:ascii="Arial" w:hAnsi="Arial"/>
                <w:color w:val="000000"/>
                <w:sz w:val="18"/>
              </w:rPr>
              <w:t>PIIS0165572818300468.pdf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Epstein-Barr virus-associated immune reconstitution inflammatory syndrome as possible cause of fulminant multiple sclerosis relapse after natalizumab interruption</w:t>
            </w:r>
          </w:p>
        </w:tc>
        <w:tc>
          <w:tcPr>
            <w:tcW w:type="dxa" w:w="1511"/>
            <w:shd w:fill="FFFFFF"/>
          </w:tcPr>
          <w:p>
            <w:r>
              <w:rPr>
                <w:rFonts w:ascii="Arial" w:hAnsi="Arial"/>
                <w:color w:val="000000"/>
                <w:sz w:val="18"/>
              </w:rPr>
              <w:t>This condition represents an EBV-associated immune reconstitution inflammatory syndrome</w:t>
            </w:r>
          </w:p>
        </w:tc>
        <w:tc>
          <w:tcPr>
            <w:tcW w:type="dxa" w:w="1511"/>
            <w:shd w:fill="FFFFFF"/>
          </w:tcPr>
          <w:p>
            <w:r>
              <w:rPr>
                <w:rFonts w:ascii="Arial" w:hAnsi="Arial"/>
                <w:color w:val="000000"/>
                <w:sz w:val="18"/>
              </w:rPr>
              <w:t>Case study (postmortem analysis)</w:t>
            </w:r>
          </w:p>
        </w:tc>
        <w:tc>
          <w:tcPr>
            <w:tcW w:type="dxa" w:w="1511"/>
            <w:shd w:fill="FFFFFF"/>
          </w:tcPr>
          <w:p>
            <w:r>
              <w:rPr>
                <w:rFonts w:ascii="Arial" w:hAnsi="Arial"/>
                <w:color w:val="000000"/>
                <w:sz w:val="18"/>
              </w:rPr>
              <w:t>Multiple sclerosis patients with fulminant relapse after natalizumab discontinuation</w:t>
            </w:r>
          </w:p>
        </w:tc>
        <w:tc>
          <w:tcPr>
            <w:tcW w:type="dxa" w:w="1511"/>
            <w:shd w:fill="FFFFFF"/>
          </w:tcPr>
          <w:p>
            <w:r>
              <w:rPr>
                <w:rFonts w:ascii="Arial" w:hAnsi="Arial"/>
                <w:color w:val="000000"/>
                <w:sz w:val="18"/>
              </w:rPr>
              <w:t>Natalizumab interruption</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Fulminant multiple sclerosis relapse</w:t>
            </w:r>
          </w:p>
        </w:tc>
        <w:tc>
          <w:tcPr>
            <w:tcW w:type="dxa" w:w="1511"/>
            <w:shd w:fill="FFFFFF"/>
          </w:tcPr>
          <w:p>
            <w:r>
              <w:rPr>
                <w:rFonts w:ascii="Arial" w:hAnsi="Arial"/>
                <w:color w:val="000000"/>
                <w:sz w:val="18"/>
              </w:rPr>
              <w:t>Detection of EBV latent, early and late lytic proteins, EBV-specific CD8+ T cells, and cell-free EBV DNA in postmortem brain tissue and CSF, indicating widespread EBV infection and immune reconstitution inflammatory syndrome</w:t>
            </w:r>
          </w:p>
        </w:tc>
      </w:tr>
      <w:tr>
        <w:tc>
          <w:tcPr>
            <w:tcW w:type="dxa" w:w="1511"/>
            <w:shd w:fill="FFFFFF"/>
          </w:tcPr>
          <w:p>
            <w:r>
              <w:rPr>
                <w:rFonts w:ascii="Arial" w:hAnsi="Arial"/>
                <w:color w:val="000000"/>
                <w:sz w:val="18"/>
              </w:rPr>
              <w:t>PIIS2211034821002418.pdf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discontinuation in a Dutch real-world cohort</w:t>
            </w:r>
          </w:p>
        </w:tc>
        <w:tc>
          <w:tcPr>
            <w:tcW w:type="dxa" w:w="1511"/>
            <w:shd w:fill="FFFFFF"/>
          </w:tcPr>
          <w:p>
            <w:r>
              <w:rPr>
                <w:rFonts w:ascii="Arial" w:hAnsi="Arial"/>
                <w:color w:val="000000"/>
                <w:sz w:val="18"/>
              </w:rPr>
              <w:t>JCV positivity seems the most frequent reason for natalizumab discontinuation. The heterogeneity in treatment switches reflects the advances made in treatment options, and underlines the need for adequate patient counselling.</w:t>
            </w:r>
          </w:p>
        </w:tc>
        <w:tc>
          <w:tcPr>
            <w:tcW w:type="dxa" w:w="1511"/>
            <w:shd w:fill="FFFFFF"/>
          </w:tcPr>
          <w:p>
            <w:r>
              <w:rPr>
                <w:rFonts w:ascii="Arial" w:hAnsi="Arial"/>
                <w:color w:val="000000"/>
                <w:sz w:val="18"/>
              </w:rPr>
              <w:t>Observational cohort study</w:t>
            </w:r>
          </w:p>
        </w:tc>
        <w:tc>
          <w:tcPr>
            <w:tcW w:type="dxa" w:w="1511"/>
            <w:shd w:fill="FFFFFF"/>
          </w:tcPr>
          <w:p>
            <w:r>
              <w:rPr>
                <w:rFonts w:ascii="Arial" w:hAnsi="Arial"/>
                <w:color w:val="000000"/>
                <w:sz w:val="18"/>
              </w:rPr>
              <w:t>Multiple sclerosis patients treated with natalizumab at the Amsterdam UMC</w:t>
            </w:r>
          </w:p>
        </w:tc>
        <w:tc>
          <w:tcPr>
            <w:tcW w:type="dxa" w:w="1511"/>
            <w:shd w:fill="FFFFFF"/>
          </w:tcPr>
          <w:p>
            <w:r>
              <w:rPr>
                <w:rFonts w:ascii="Arial" w:hAnsi="Arial"/>
                <w:color w:val="000000"/>
                <w:sz w:val="18"/>
              </w:rPr>
              <w:t>Natalizumab treatment</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Reasons for treatment discontinuation (e.g., JCV positivity, PML, disease progression, etc.)</w:t>
            </w:r>
          </w:p>
        </w:tc>
        <w:tc>
          <w:tcPr>
            <w:tcW w:type="dxa" w:w="1511"/>
            <w:shd w:fill="FFFFFF"/>
          </w:tcPr>
          <w:p>
            <w:r>
              <w:rPr>
                <w:rFonts w:ascii="Arial" w:hAnsi="Arial"/>
                <w:color w:val="000000"/>
                <w:sz w:val="18"/>
              </w:rPr>
              <w:t>Of 253 natalizumab-treated MS patients, 147 discontinued treatment; most frequently due to JCV positivity. Other reasons included PML (5 patients), disease progression (8), pregnancy (3), allergic reactions (12), side effects (2), patient preference (4), clinical stabilisation (3), or other/unknown (7). Treatment switches included fingolimod, ocrelizumab, aHSCT, interferon-beta, etc. JCV seroconversion occurred in 22.5% of the total cohort. Radiological and clinical disease activity post-discontinuation varied by treatment switch type.</w:t>
            </w:r>
          </w:p>
        </w:tc>
      </w:tr>
      <w:tr>
        <w:tc>
          <w:tcPr>
            <w:tcW w:type="dxa" w:w="1511"/>
            <w:shd w:fill="FFFFFF"/>
          </w:tcPr>
          <w:p>
            <w:r>
              <w:rPr>
                <w:rFonts w:ascii="Arial" w:hAnsi="Arial"/>
                <w:color w:val="000000"/>
                <w:sz w:val="18"/>
              </w:rPr>
              <w:t>PIIS2211034821002613.pdf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The use of digital biomarkers to distinguish healthy controls from patients with radiologically isolated syndrome (RIS)</w:t>
            </w:r>
          </w:p>
        </w:tc>
        <w:tc>
          <w:tcPr>
            <w:tcW w:type="dxa" w:w="1511"/>
            <w:shd w:fill="FFFFFF"/>
          </w:tcPr>
          <w:p>
            <w:r>
              <w:rPr>
                <w:rFonts w:ascii="Arial" w:hAnsi="Arial"/>
                <w:color w:val="000000"/>
                <w:sz w:val="18"/>
              </w:rPr>
              <w:t>MSST requires only a smartphone to obtain digital biomarkers related to several dimensions of the neurological examination. Our results highlighted subtle differences between HCs and patients with RIS. We plan to evaluate this tool in MS patients, which will allow a much larger sample of patients, to determine whether digital biomarkers can predict disease course.</w:t>
            </w:r>
          </w:p>
        </w:tc>
        <w:tc>
          <w:tcPr>
            <w:tcW w:type="dxa" w:w="1511"/>
            <w:shd w:fill="FFFFFF"/>
          </w:tcPr>
          <w:p>
            <w:r>
              <w:rPr>
                <w:rFonts w:ascii="Arial" w:hAnsi="Arial"/>
                <w:color w:val="000000"/>
                <w:sz w:val="18"/>
              </w:rPr>
              <w:t>Observational cohort study</w:t>
            </w:r>
          </w:p>
        </w:tc>
        <w:tc>
          <w:tcPr>
            <w:tcW w:type="dxa" w:w="1511"/>
            <w:shd w:fill="FFFFFF"/>
          </w:tcPr>
          <w:p>
            <w:r>
              <w:rPr>
                <w:rFonts w:ascii="Arial" w:hAnsi="Arial"/>
                <w:color w:val="000000"/>
                <w:sz w:val="18"/>
              </w:rPr>
              <w:t>Healthy controls (HCs) and patients with radiologically isolated syndrome (RIS)</w:t>
            </w:r>
          </w:p>
        </w:tc>
        <w:tc>
          <w:tcPr>
            <w:tcW w:type="dxa" w:w="1511"/>
            <w:shd w:fill="FFFFFF"/>
          </w:tcPr>
          <w:p>
            <w:r>
              <w:rPr>
                <w:rFonts w:ascii="Arial" w:hAnsi="Arial"/>
                <w:color w:val="000000"/>
                <w:sz w:val="18"/>
              </w:rPr>
              <w:t>Smartphone application called MS Screen Test (MSST)</w:t>
            </w:r>
          </w:p>
        </w:tc>
        <w:tc>
          <w:tcPr>
            <w:tcW w:type="dxa" w:w="1511"/>
            <w:shd w:fill="FFFFFF"/>
          </w:tcPr>
          <w:p>
            <w:r>
              <w:rPr>
                <w:rFonts w:ascii="Arial" w:hAnsi="Arial"/>
                <w:color w:val="000000"/>
                <w:sz w:val="18"/>
              </w:rPr>
              <w:t>Age- and gender-matched healthy controls (HCs)</w:t>
            </w:r>
          </w:p>
        </w:tc>
        <w:tc>
          <w:tcPr>
            <w:tcW w:type="dxa" w:w="1511"/>
            <w:shd w:fill="FFFFFF"/>
          </w:tcPr>
          <w:p>
            <w:r>
              <w:rPr>
                <w:rFonts w:ascii="Arial" w:hAnsi="Arial"/>
                <w:color w:val="000000"/>
                <w:sz w:val="18"/>
              </w:rPr>
              <w:t>Digital biomarkers related to neurological examination dimensions (finger tapping speed, agility, hand synchronization, low contrast vision, cognition)</w:t>
            </w:r>
          </w:p>
        </w:tc>
        <w:tc>
          <w:tcPr>
            <w:tcW w:type="dxa" w:w="1511"/>
            <w:shd w:fill="FFFFFF"/>
          </w:tcPr>
          <w:p>
            <w:r>
              <w:rPr>
                <w:rFonts w:ascii="Arial" w:hAnsi="Arial"/>
                <w:color w:val="000000"/>
                <w:sz w:val="18"/>
              </w:rPr>
              <w:t>Thirty-seven HCs underwent two consecutive evaluations on MSST, which showed good reproducibility for all measures. Then, the findings from 21 patients with RIS were compared with those from 32 matched HCs. Compared with HCs, patients with RIS had a lower finger tapping speed on the dominant hand (5.6 versus 6.5 taps/s; p = 0.005), a longer inter-hand interval during the hand synchronization task (14.4 versus 11.3 ms; p = 0.03) and significantly poorer scores on the low contrast vision and cognition tests.</w:t>
            </w:r>
          </w:p>
        </w:tc>
      </w:tr>
      <w:tr>
        <w:tc>
          <w:tcPr>
            <w:tcW w:type="dxa" w:w="1511"/>
            <w:shd w:fill="FFFFFF"/>
          </w:tcPr>
          <w:p>
            <w:r>
              <w:rPr>
                <w:rFonts w:ascii="Arial" w:hAnsi="Arial"/>
                <w:color w:val="000000"/>
                <w:sz w:val="18"/>
              </w:rPr>
              <w:t>Polman et al. - 2006 - A randomized, placebo-controlled trial of natalizumab for relapsing multiple sclerosis.pdf</w:t>
            </w:r>
          </w:p>
        </w:tc>
        <w:tc>
          <w:tcPr>
            <w:tcW w:type="dxa" w:w="1511"/>
            <w:shd w:fill="FFFFFF"/>
          </w:tcPr>
          <w:p>
            <w:r>
              <w:rPr>
                <w:rFonts w:ascii="Arial" w:hAnsi="Arial"/>
                <w:color w:val="000000"/>
                <w:sz w:val="18"/>
              </w:rPr>
              <w:t>1.0</w:t>
            </w:r>
          </w:p>
        </w:tc>
        <w:tc>
          <w:tcPr>
            <w:tcW w:type="dxa" w:w="1511"/>
            <w:shd w:fill="FFFFFF"/>
          </w:tcPr>
          <w:p>
            <w:r>
              <w:rPr>
                <w:rFonts w:ascii="Arial" w:hAnsi="Arial"/>
                <w:color w:val="000000"/>
                <w:sz w:val="18"/>
              </w:rPr>
              <w:t>A Randomized, Placebo-Controlled Trial of Natalizumab for Relapsing Multiple Sclerosis</w:t>
            </w:r>
          </w:p>
        </w:tc>
        <w:tc>
          <w:tcPr>
            <w:tcW w:type="dxa" w:w="1511"/>
            <w:shd w:fill="FFFFFF"/>
          </w:tcPr>
          <w:p>
            <w:r>
              <w:rPr>
                <w:rFonts w:ascii="Arial" w:hAnsi="Arial"/>
                <w:color w:val="000000"/>
                <w:sz w:val="18"/>
              </w:rPr>
              <w:t>Natalizumab reduced the risk of the sustained progression of disability and the rate of clinical relapse in patients with relapsing multiple sclerosis. Adhesion-molecule inhibitors hold promise as an effective treatment for relapsing multiple sclerosis.</w:t>
            </w:r>
          </w:p>
        </w:tc>
        <w:tc>
          <w:tcPr>
            <w:tcW w:type="dxa" w:w="1511"/>
            <w:shd w:fill="FFFFFF"/>
          </w:tcPr>
          <w:p>
            <w:r>
              <w:rPr>
                <w:rFonts w:ascii="Arial" w:hAnsi="Arial"/>
                <w:color w:val="000000"/>
                <w:sz w:val="18"/>
              </w:rPr>
              <w:t>Randomized, Placebo-Controlled Trial</w:t>
            </w:r>
          </w:p>
        </w:tc>
        <w:tc>
          <w:tcPr>
            <w:tcW w:type="dxa" w:w="1511"/>
            <w:shd w:fill="FFFFFF"/>
          </w:tcPr>
          <w:p>
            <w:r>
              <w:rPr>
                <w:rFonts w:ascii="Arial" w:hAnsi="Arial"/>
                <w:color w:val="000000"/>
                <w:sz w:val="18"/>
              </w:rPr>
              <w:t>Adults (18-50 years) with relapsing multiple sclerosis, EDSS 0-5.0, with MRI lesions and at least one relapse in the prior year, excluding progressive forms</w:t>
            </w:r>
          </w:p>
        </w:tc>
        <w:tc>
          <w:tcPr>
            <w:tcW w:type="dxa" w:w="1511"/>
            <w:shd w:fill="FFFFFF"/>
          </w:tcPr>
          <w:p>
            <w:r>
              <w:rPr>
                <w:rFonts w:ascii="Arial" w:hAnsi="Arial"/>
                <w:color w:val="000000"/>
                <w:sz w:val="18"/>
              </w:rPr>
              <w:t>Natalizumab (300 mg) by intravenous infusion every four weeks</w:t>
            </w:r>
          </w:p>
        </w:tc>
        <w:tc>
          <w:tcPr>
            <w:tcW w:type="dxa" w:w="1511"/>
            <w:shd w:fill="FFFFFF"/>
          </w:tcPr>
          <w:p>
            <w:r>
              <w:rPr>
                <w:rFonts w:ascii="Arial" w:hAnsi="Arial"/>
                <w:color w:val="000000"/>
                <w:sz w:val="18"/>
              </w:rPr>
              <w:t>Placebo by intravenous infusion every four weeks</w:t>
            </w:r>
          </w:p>
        </w:tc>
        <w:tc>
          <w:tcPr>
            <w:tcW w:type="dxa" w:w="1511"/>
            <w:shd w:fill="FFFFFF"/>
          </w:tcPr>
          <w:p>
            <w:r>
              <w:rPr>
                <w:rFonts w:ascii="Arial" w:hAnsi="Arial"/>
                <w:color w:val="000000"/>
                <w:sz w:val="18"/>
              </w:rPr>
              <w:t>Primary: rate of clinical relapse at 1 year and sustained progression of disability (EDSS) at 2 years; Secondary: number of new/enlarging T2-hyperintense lesions, gadolinium-enhancing lesions, relapse-free patients</w:t>
            </w:r>
          </w:p>
        </w:tc>
        <w:tc>
          <w:tcPr>
            <w:tcW w:type="dxa" w:w="1511"/>
            <w:shd w:fill="FFFFFF"/>
          </w:tcPr>
          <w:p>
            <w:r>
              <w:rPr>
                <w:rFonts w:ascii="Arial" w:hAnsi="Arial"/>
                <w:color w:val="000000"/>
                <w:sz w:val="18"/>
              </w:rPr>
              <w:t>Natalizumab reduced the risk of sustained progression of disability by 42% over two years (hazard ratio 0.58). It reduced the annualized relapse rate by 68% at one year. There was an 83% reduction in new/enlarging T2-hyperintense lesions and 92% reduction in gadolinium-enhancing lesions over two years. Adverse events: fatigue (27% vs 21%) and allergic reaction (9% vs 4%) more frequent in natalizumab group.</w:t>
            </w:r>
          </w:p>
        </w:tc>
      </w:tr>
      <w:tr>
        <w:tc>
          <w:tcPr>
            <w:tcW w:type="dxa" w:w="1511"/>
            <w:shd w:fill="FFFFFF"/>
          </w:tcPr>
          <w:p>
            <w:r>
              <w:rPr>
                <w:rFonts w:ascii="Arial" w:hAnsi="Arial"/>
                <w:color w:val="000000"/>
                <w:sz w:val="18"/>
              </w:rPr>
              <w:t>PPA-20791-an-update-on-the-use-of-natalizumab-in-the-treatment-of-mult_051915.pdf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An update on the use of natalizumab in the treatment of multiple sclerosis: appropriate patient selection and special considerations</w:t>
            </w:r>
          </w:p>
        </w:tc>
        <w:tc>
          <w:tcPr>
            <w:tcW w:type="dxa" w:w="1511"/>
            <w:shd w:fill="FFFFFF"/>
          </w:tcPr>
          <w:p>
            <w:r>
              <w:rPr>
                <w:rFonts w:ascii="Arial" w:hAnsi="Arial"/>
                <w:color w:val="000000"/>
                <w:sz w:val="18"/>
              </w:rPr>
              <w:t>Natalizumab is a highly effective and well-tolerated therapy for patients with active MS. Recent data have demonstrated sustained efficacy on long-term use with no new safety concerns. Treatment is limited by the risk of PML. Although risk stratification allows estimation of a low, intermediate, or high PML risk, current strategies do not allow risk prediction in the individual patient. Other effective treatment options, such as fingolimod or alemtuzumab, may be considered on an individual basis, since there are no class I comparative trials available. Discontinuation of natalizumab may lead to recurrence of disease activity. Pre-natalizumab activity levels as well as duration of the washout period may influence the postnatalizumab relapse risk. Fingolimod may help to diminish recurrence of disease activity, in particular, if the washout period is kept short. There are no data available on switching from natalizumab to new orals or to other monoclonal antibodies, such as alemtuzumab.</w:t>
            </w:r>
          </w:p>
        </w:tc>
        <w:tc>
          <w:tcPr>
            <w:tcW w:type="dxa" w:w="1511"/>
            <w:shd w:fill="FFFFFF"/>
          </w:tcPr>
          <w:p>
            <w:r>
              <w:rPr>
                <w:rFonts w:ascii="Arial" w:hAnsi="Arial"/>
                <w:color w:val="000000"/>
                <w:sz w:val="18"/>
              </w:rPr>
              <w:t>Review</w:t>
            </w:r>
          </w:p>
        </w:tc>
        <w:tc>
          <w:tcPr>
            <w:tcW w:type="dxa" w:w="1511"/>
            <w:shd w:fill="FFFFFF"/>
          </w:tcPr>
          <w:p>
            <w:r>
              <w:rPr>
                <w:rFonts w:ascii="Arial" w:hAnsi="Arial"/>
                <w:color w:val="000000"/>
                <w:sz w:val="18"/>
              </w:rPr>
              <w:t>Patients with multiple sclerosis (MS)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Natalizumab compared to placebo, interferon beta, glatiramer acetate, fingolimod, and alemtuzumab</w:t>
            </w:r>
          </w:p>
        </w:tc>
        <w:tc>
          <w:tcPr>
            <w:tcW w:type="dxa" w:w="1511"/>
            <w:shd w:fill="FFFFFF"/>
          </w:tcPr>
          <w:p>
            <w:r>
              <w:rPr>
                <w:rFonts w:ascii="Arial" w:hAnsi="Arial"/>
                <w:color w:val="000000"/>
                <w:sz w:val="18"/>
              </w:rPr>
              <w:t>Relapse rate reduction, prevention of disability progression, PML incidence, quality of life improvement</w:t>
            </w:r>
          </w:p>
        </w:tc>
        <w:tc>
          <w:tcPr>
            <w:tcW w:type="dxa" w:w="1511"/>
            <w:shd w:fill="FFFFFF"/>
          </w:tcPr>
          <w:p>
            <w:r>
              <w:rPr>
                <w:rFonts w:ascii="Arial" w:hAnsi="Arial"/>
                <w:color w:val="000000"/>
                <w:sz w:val="18"/>
              </w:rPr>
              <w:t>Short-term and long-term efficacy data show natalizumab reduces relapse rate, disability progression, and MRI activity; it improves quality of life. Safety concerns include PML risk (3.78 cases/1000 patients) with risk factors JCV seropositivity, prior immunosuppressants, and &gt;2 years treatment. Patient selection balances disease control vs PML risk; discontinuation leads to disease reactivation, with fingolimod as potential alternative after short washout.</w:t>
            </w:r>
          </w:p>
        </w:tc>
      </w:tr>
      <w:tr>
        <w:tc>
          <w:tcPr>
            <w:tcW w:type="dxa" w:w="1511"/>
            <w:shd w:fill="FFFFFF"/>
          </w:tcPr>
          <w:p>
            <w:r>
              <w:rPr>
                <w:rFonts w:ascii="Arial" w:hAnsi="Arial"/>
                <w:color w:val="000000"/>
                <w:sz w:val="18"/>
              </w:rPr>
              <w:t>Riancho et al. - 2021 - Does Extended Interval Dosing Natalizumab Preserve Effectiveness in Multiple Sclerosis A 7 Year-Ret.pdf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Does Extended Interval Dosing Natalizumab Preserve Effectiveness in Multiple Sclerosis? A 7 Year- Retrospective Observational Study</w:t>
            </w:r>
          </w:p>
        </w:tc>
        <w:tc>
          <w:tcPr>
            <w:tcW w:type="dxa" w:w="1511"/>
            <w:shd w:fill="FFFFFF"/>
          </w:tcPr>
          <w:p>
            <w:r>
              <w:rPr>
                <w:rFonts w:ascii="Arial" w:hAnsi="Arial"/>
                <w:color w:val="000000"/>
                <w:sz w:val="18"/>
              </w:rPr>
              <w:t>long-term therapy with natalizumab in an EID setting following an SID regimen maintained its disease-modifying activity, and was safe and well tolerated for over 7 years. These encouraging observational results need to be confirmed in controlled clinical trials.</w:t>
            </w:r>
          </w:p>
        </w:tc>
        <w:tc>
          <w:tcPr>
            <w:tcW w:type="dxa" w:w="1511"/>
            <w:shd w:fill="FFFFFF"/>
          </w:tcPr>
          <w:p>
            <w:r>
              <w:rPr>
                <w:rFonts w:ascii="Arial" w:hAnsi="Arial"/>
                <w:color w:val="000000"/>
                <w:sz w:val="18"/>
              </w:rPr>
              <w:t>Observational retrospective cohort study</w:t>
            </w:r>
          </w:p>
        </w:tc>
        <w:tc>
          <w:tcPr>
            <w:tcW w:type="dxa" w:w="1511"/>
            <w:shd w:fill="FFFFFF"/>
          </w:tcPr>
          <w:p>
            <w:r>
              <w:rPr>
                <w:rFonts w:ascii="Arial" w:hAnsi="Arial"/>
                <w:color w:val="000000"/>
                <w:sz w:val="18"/>
              </w:rPr>
              <w:t>39 patients with clinically deﬁnite relapsing multiple sclerosis (MS), initially treated with standard interval dosing (SID) of natalizumab then switched to extended interval dosing (EID)</w:t>
            </w:r>
          </w:p>
        </w:tc>
        <w:tc>
          <w:tcPr>
            <w:tcW w:type="dxa" w:w="1511"/>
            <w:shd w:fill="FFFFFF"/>
          </w:tcPr>
          <w:p>
            <w:r>
              <w:rPr>
                <w:rFonts w:ascii="Arial" w:hAnsi="Arial"/>
                <w:color w:val="000000"/>
                <w:sz w:val="18"/>
              </w:rPr>
              <w:t>Extended interval dosing (EID) of natalizumab (every 8 weeks)</w:t>
            </w:r>
          </w:p>
        </w:tc>
        <w:tc>
          <w:tcPr>
            <w:tcW w:type="dxa" w:w="1511"/>
            <w:shd w:fill="FFFFFF"/>
          </w:tcPr>
          <w:p>
            <w:r>
              <w:rPr>
                <w:rFonts w:ascii="Arial" w:hAnsi="Arial"/>
                <w:color w:val="000000"/>
                <w:sz w:val="18"/>
              </w:rPr>
              <w:t>Standard interval dosing (SID) of natalizumab vs. Extended interval dosing (EID) of natalizumab</w:t>
            </w:r>
          </w:p>
        </w:tc>
        <w:tc>
          <w:tcPr>
            <w:tcW w:type="dxa" w:w="1511"/>
            <w:shd w:fill="FFFFFF"/>
          </w:tcPr>
          <w:p>
            <w:r>
              <w:rPr>
                <w:rFonts w:ascii="Arial" w:hAnsi="Arial"/>
                <w:color w:val="000000"/>
                <w:sz w:val="18"/>
              </w:rPr>
              <w:t>annualized relapse rate (ARR), radiological activity, disability progression, and NEDA-3 status</w:t>
            </w:r>
          </w:p>
        </w:tc>
        <w:tc>
          <w:tcPr>
            <w:tcW w:type="dxa" w:w="1511"/>
            <w:shd w:fill="FFFFFF"/>
          </w:tcPr>
          <w:p>
            <w:r>
              <w:rPr>
                <w:rFonts w:ascii="Arial" w:hAnsi="Arial"/>
                <w:color w:val="000000"/>
                <w:sz w:val="18"/>
              </w:rPr>
              <w:t>EID preserved ARR, radiological activity, and prevented disability worsening during follow-up. The proportion of patients maintaining their NEDA-3 status after 24, 48, and 72 months of natalizumab administration in EID was 94%, 73%, and 70%, respectively. No cases of PML or other severe adverse reactions were reported.</w:t>
            </w:r>
          </w:p>
        </w:tc>
      </w:tr>
      <w:tr>
        <w:tc>
          <w:tcPr>
            <w:tcW w:type="dxa" w:w="1511"/>
            <w:shd w:fill="FFFFFF"/>
          </w:tcPr>
          <w:p>
            <w:r>
              <w:rPr>
                <w:rFonts w:ascii="Arial" w:hAnsi="Arial"/>
                <w:color w:val="000000"/>
                <w:sz w:val="18"/>
              </w:rPr>
              <w:t>Ryerson et al. - 2023 - Exploratory clinical efficacy and patient-reported outcomes from NOVA A randomized controlled study.pdf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Exploratory clinical efficacy and patient-reported outcomes from NOVA: A randomized controlled study of intravenous natalizumab 6-week dosing versus continued 4-week dosing for relapsing-remitting multiple sclerosis</w:t>
            </w:r>
          </w:p>
        </w:tc>
        <w:tc>
          <w:tcPr>
            <w:tcW w:type="dxa" w:w="1511"/>
            <w:shd w:fill="FFFFFF"/>
          </w:tcPr>
          <w:p>
            <w:r>
              <w:rPr>
                <w:rFonts w:ascii="Arial" w:hAnsi="Arial"/>
                <w:color w:val="000000"/>
                <w:sz w:val="18"/>
              </w:rPr>
              <w:t>Our results support the findings of the primary and secondary magnetic resonance imaging and clinical outcomes of NOVA (Foley et al., 2022), and they support the conclusion that the majority of patients who are stable on natalizumab Q4W dosing can switch to Q6W without a clinically meaningful loss of efficacy.</w:t>
            </w:r>
          </w:p>
        </w:tc>
        <w:tc>
          <w:tcPr>
            <w:tcW w:type="dxa" w:w="1511"/>
            <w:shd w:fill="FFFFFF"/>
          </w:tcPr>
          <w:p>
            <w:r>
              <w:rPr>
                <w:rFonts w:ascii="Arial" w:hAnsi="Arial"/>
                <w:color w:val="000000"/>
                <w:sz w:val="18"/>
              </w:rPr>
              <w:t>Randomized controlled study</w:t>
            </w:r>
          </w:p>
        </w:tc>
        <w:tc>
          <w:tcPr>
            <w:tcW w:type="dxa" w:w="1511"/>
            <w:shd w:fill="FFFFFF"/>
          </w:tcPr>
          <w:p>
            <w:r>
              <w:rPr>
                <w:rFonts w:ascii="Arial" w:hAnsi="Arial"/>
                <w:color w:val="000000"/>
                <w:sz w:val="18"/>
              </w:rPr>
              <w:t>Patients (aged 18–60 years) with a diagnosis of relapsing-remitting multiple sclerosis (RRMS) who had been treated with natalizumab Q4W without relapse for ≥12 months and with EDSS scores &lt;5.5</w:t>
            </w:r>
          </w:p>
        </w:tc>
        <w:tc>
          <w:tcPr>
            <w:tcW w:type="dxa" w:w="1511"/>
            <w:shd w:fill="FFFFFF"/>
          </w:tcPr>
          <w:p>
            <w:r>
              <w:rPr>
                <w:rFonts w:ascii="Arial" w:hAnsi="Arial"/>
                <w:color w:val="000000"/>
                <w:sz w:val="18"/>
              </w:rPr>
              <w:t>intravenous natalizumab 6-week dosing (Q6W)</w:t>
            </w:r>
          </w:p>
        </w:tc>
        <w:tc>
          <w:tcPr>
            <w:tcW w:type="dxa" w:w="1511"/>
            <w:shd w:fill="FFFFFF"/>
          </w:tcPr>
          <w:p>
            <w:r>
              <w:rPr>
                <w:rFonts w:ascii="Arial" w:hAnsi="Arial"/>
                <w:color w:val="000000"/>
                <w:sz w:val="18"/>
              </w:rPr>
              <w:t>continued 4-week dosing (Q4W)</w:t>
            </w:r>
          </w:p>
        </w:tc>
        <w:tc>
          <w:tcPr>
            <w:tcW w:type="dxa" w:w="1511"/>
            <w:shd w:fill="FFFFFF"/>
          </w:tcPr>
          <w:p>
            <w:r>
              <w:rPr>
                <w:rFonts w:ascii="Arial" w:hAnsi="Arial"/>
                <w:color w:val="000000"/>
                <w:sz w:val="18"/>
              </w:rPr>
              <w:t>Exploratory clinical efficacy and patient-reported outcomes (PROs) including EDSS, Timed 25-Foot Walk (T25FW), 9-Hole Peg Test (9HPT), Symbol Digit Modalities Test (SDMT), Treatment Satisfaction Questionnaire for Medication (TSQM), Neuro-QoL fatigue questionnaire, Multiple Sclerosis Impact Scale (MSIS-29), EuroQol 5 Dimensions (EQ-5D-5 L), Clinical Global Impression (CGI) scales</w:t>
            </w:r>
          </w:p>
        </w:tc>
        <w:tc>
          <w:tcPr>
            <w:tcW w:type="dxa" w:w="1511"/>
            <w:shd w:fill="FFFFFF"/>
          </w:tcPr>
          <w:p>
            <w:r>
              <w:rPr>
                <w:rFonts w:ascii="Arial" w:hAnsi="Arial"/>
                <w:color w:val="000000"/>
                <w:sz w:val="18"/>
              </w:rPr>
              <w:t>No significant differences were observed in change from baseline to week 72 between natalizumab Q6W and Q4W groups for all exploratory clinical or PRO-related endpoints assessed. For the EQ-5D-5 L, a higher proportion of Q6W than Q4W patients demonstrated worsening.</w:t>
            </w:r>
          </w:p>
        </w:tc>
      </w:tr>
      <w:tr>
        <w:tc>
          <w:tcPr>
            <w:tcW w:type="dxa" w:w="1511"/>
            <w:shd w:fill="FFFFFF"/>
          </w:tcPr>
          <w:p>
            <w:r>
              <w:rPr>
                <w:rFonts w:ascii="Arial" w:hAnsi="Arial"/>
                <w:color w:val="000000"/>
                <w:sz w:val="18"/>
              </w:rPr>
              <w:t>Salhofer-Polanyi et al. - 2014 - What to expect after natalizumab cessation in a real-life setting.pdf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What to expect after natalizumab cessation in a real-life setting</w:t>
            </w:r>
          </w:p>
        </w:tc>
        <w:tc>
          <w:tcPr>
            <w:tcW w:type="dxa" w:w="1511"/>
            <w:shd w:fill="FFFFFF"/>
          </w:tcPr>
          <w:p>
            <w:r>
              <w:rPr>
                <w:rFonts w:ascii="Arial" w:hAnsi="Arial"/>
                <w:color w:val="000000"/>
                <w:sz w:val="18"/>
              </w:rPr>
              <w:t>Our data suggest that rebound of MS disease activity affects a subgroup of patients (11.9%), especially those with low disease activity before natalizumab therapy and a longer treatment gap after its withdrawal. Early reinstatement of alternative treatment within 3 months after natalizumab discontinuation might help to prevent this rebound effect. Further research is necessary to better identify characteristics of patients, who are at risk of developing a rebound of disease activity.</w:t>
            </w:r>
          </w:p>
        </w:tc>
        <w:tc>
          <w:tcPr>
            <w:tcW w:type="dxa" w:w="1511"/>
            <w:shd w:fill="FFFFFF"/>
          </w:tcPr>
          <w:p>
            <w:r>
              <w:rPr>
                <w:rFonts w:ascii="Arial" w:hAnsi="Arial"/>
                <w:color w:val="000000"/>
                <w:sz w:val="18"/>
              </w:rPr>
              <w:t>Retrospective study</w:t>
            </w:r>
          </w:p>
        </w:tc>
        <w:tc>
          <w:tcPr>
            <w:tcW w:type="dxa" w:w="1511"/>
            <w:shd w:fill="FFFFFF"/>
          </w:tcPr>
          <w:p>
            <w:r>
              <w:rPr>
                <w:rFonts w:ascii="Arial" w:hAnsi="Arial"/>
                <w:color w:val="000000"/>
                <w:sz w:val="18"/>
              </w:rPr>
              <w:t>Patients with multiple sclerosis (MS) who discontinued natalizumab treatment</w:t>
            </w:r>
          </w:p>
        </w:tc>
        <w:tc>
          <w:tcPr>
            <w:tcW w:type="dxa" w:w="1511"/>
            <w:shd w:fill="FFFFFF"/>
          </w:tcPr>
          <w:p>
            <w:r>
              <w:rPr>
                <w:rFonts w:ascii="Arial" w:hAnsi="Arial"/>
                <w:color w:val="000000"/>
                <w:sz w:val="18"/>
              </w:rPr>
              <w:t>Discontinuation of natalizumab</w:t>
            </w:r>
          </w:p>
        </w:tc>
        <w:tc>
          <w:tcPr>
            <w:tcW w:type="dxa" w:w="1511"/>
            <w:shd w:fill="FFFFFF"/>
          </w:tcPr>
          <w:p>
            <w:r>
              <w:rPr>
                <w:rFonts w:ascii="Arial" w:hAnsi="Arial"/>
                <w:color w:val="000000"/>
                <w:sz w:val="18"/>
              </w:rPr>
              <w:t>Comparison between patients with and without rebound of MS disease activity after natalizumab discontinuation</w:t>
            </w:r>
          </w:p>
        </w:tc>
        <w:tc>
          <w:tcPr>
            <w:tcW w:type="dxa" w:w="1511"/>
            <w:shd w:fill="FFFFFF"/>
          </w:tcPr>
          <w:p>
            <w:r>
              <w:rPr>
                <w:rFonts w:ascii="Arial" w:hAnsi="Arial"/>
                <w:color w:val="000000"/>
                <w:sz w:val="18"/>
              </w:rPr>
              <w:t>Clinical disease activity (annualized relapse rate, Expanded Disability Status Scale) and MRI disease activity (gadolinium-enhancing lesions, T2 lesion load) after natalizumab cessation</w:t>
            </w:r>
          </w:p>
        </w:tc>
        <w:tc>
          <w:tcPr>
            <w:tcW w:type="dxa" w:w="1511"/>
            <w:shd w:fill="FFFFFF"/>
          </w:tcPr>
          <w:p>
            <w:r>
              <w:rPr>
                <w:rFonts w:ascii="Arial" w:hAnsi="Arial"/>
                <w:color w:val="000000"/>
                <w:sz w:val="18"/>
              </w:rPr>
              <w:t>Among 201 MS patients who discontinued natalizumab, 11.9% experienced rebound disease activity within 12 months. Mean ARR and EDSS showed deterioration in the rebound group. Rebound was not associated with natalizumab exposure duration. Most patients (86.1%) switched to another therapy; early initiation of alternative therapy was more common in non-rebound group.</w:t>
            </w:r>
          </w:p>
        </w:tc>
      </w:tr>
      <w:tr>
        <w:tc>
          <w:tcPr>
            <w:tcW w:type="dxa" w:w="1511"/>
            <w:shd w:fill="FFFFFF"/>
          </w:tcPr>
          <w:p>
            <w:r>
              <w:rPr>
                <w:rFonts w:ascii="Arial" w:hAnsi="Arial"/>
                <w:color w:val="000000"/>
                <w:sz w:val="18"/>
              </w:rPr>
              <w:t>Spelman et al. - 2017 - In treatment-naive patients with relapsing-remitting multiple sclerosis (RRMS), initiating natalizum.pdf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Comparative efficacy of switching to natalizumab in active multiple sclerosis</w:t>
            </w:r>
          </w:p>
        </w:tc>
        <w:tc>
          <w:tcPr>
            <w:tcW w:type="dxa" w:w="1511"/>
            <w:shd w:fill="FFFFFF"/>
          </w:tcPr>
          <w:p>
            <w:r>
              <w:rPr>
                <w:rFonts w:ascii="Arial" w:hAnsi="Arial"/>
                <w:color w:val="000000"/>
                <w:sz w:val="18"/>
              </w:rPr>
              <w:t>Using large, real-world, propensity-matched datasets we demonstrate that after a relapse on IFNb or GA, switching to natalizumab (rather than between IFNb and GA) led to superior outcomes for patients in all measures assessed. In the absence of randomized clinical trials, propensity-matching techniques can estimate the benefits associated with various treatment decisions in a clinical practice setting. Using a large real-world dataset, we have shown that patients who relapse on BRACE therapies have better outcomes if they switch to natalizumab rather than switching to another BRACE therapy.</w:t>
            </w:r>
          </w:p>
        </w:tc>
        <w:tc>
          <w:tcPr>
            <w:tcW w:type="dxa" w:w="1511"/>
            <w:shd w:fill="FFFFFF"/>
          </w:tcPr>
          <w:p>
            <w:r>
              <w:rPr>
                <w:rFonts w:ascii="Arial" w:hAnsi="Arial"/>
                <w:color w:val="000000"/>
                <w:sz w:val="18"/>
              </w:rPr>
              <w:t>Propensity score matched observational study</w:t>
            </w:r>
          </w:p>
        </w:tc>
        <w:tc>
          <w:tcPr>
            <w:tcW w:type="dxa" w:w="1511"/>
            <w:shd w:fill="FFFFFF"/>
          </w:tcPr>
          <w:p>
            <w:r>
              <w:rPr>
                <w:rFonts w:ascii="Arial" w:hAnsi="Arial"/>
                <w:color w:val="000000"/>
                <w:sz w:val="18"/>
              </w:rPr>
              <w:t>Multiple sclerosis patients who relapsed on interferon-beta (IFNb) or glatiramer acetate (GA) therapy and switched therapy</w:t>
            </w:r>
          </w:p>
        </w:tc>
        <w:tc>
          <w:tcPr>
            <w:tcW w:type="dxa" w:w="1511"/>
            <w:shd w:fill="FFFFFF"/>
          </w:tcPr>
          <w:p>
            <w:r>
              <w:rPr>
                <w:rFonts w:ascii="Arial" w:hAnsi="Arial"/>
                <w:color w:val="000000"/>
                <w:sz w:val="18"/>
              </w:rPr>
              <w:t>Switching to natalizumab</w:t>
            </w:r>
          </w:p>
        </w:tc>
        <w:tc>
          <w:tcPr>
            <w:tcW w:type="dxa" w:w="1511"/>
            <w:shd w:fill="FFFFFF"/>
          </w:tcPr>
          <w:p>
            <w:r>
              <w:rPr>
                <w:rFonts w:ascii="Arial" w:hAnsi="Arial"/>
                <w:color w:val="000000"/>
                <w:sz w:val="18"/>
              </w:rPr>
              <w:t>Switching between glatiramer acetate (GA) and interferon-beta (IFNb)</w:t>
            </w:r>
          </w:p>
        </w:tc>
        <w:tc>
          <w:tcPr>
            <w:tcW w:type="dxa" w:w="1511"/>
            <w:shd w:fill="FFFFFF"/>
          </w:tcPr>
          <w:p>
            <w:r>
              <w:rPr>
                <w:rFonts w:ascii="Arial" w:hAnsi="Arial"/>
                <w:color w:val="000000"/>
                <w:sz w:val="18"/>
              </w:rPr>
              <w:t>Relapse rate, treatment persistence, disability progression, and total disability burden</w:t>
            </w:r>
          </w:p>
        </w:tc>
        <w:tc>
          <w:tcPr>
            <w:tcW w:type="dxa" w:w="1511"/>
            <w:shd w:fill="FFFFFF"/>
          </w:tcPr>
          <w:p>
            <w:r>
              <w:rPr>
                <w:rFonts w:ascii="Arial" w:hAnsi="Arial"/>
                <w:color w:val="000000"/>
                <w:sz w:val="18"/>
              </w:rPr>
              <w:t>Switching to natalizumab reduced annualized relapse rate in year one by 65–75%, the risk of first relapse by 53–82%, treatment discontinuation events by 48–65%, and reduced the risk of confirmed disability progression by 26% over the first 24 months post switch. In the total population, switching to natalizumab decreased the total disability burden by 1.54 EDSS-years (P &lt; 0.0001) over the first 24 months post switch.</w:t>
            </w:r>
          </w:p>
        </w:tc>
      </w:tr>
      <w:tr>
        <w:tc>
          <w:tcPr>
            <w:tcW w:type="dxa" w:w="1511"/>
            <w:shd w:fill="FFFFFF"/>
          </w:tcPr>
          <w:p>
            <w:r>
              <w:rPr>
                <w:rFonts w:ascii="Arial" w:hAnsi="Arial"/>
                <w:color w:val="000000"/>
                <w:sz w:val="18"/>
              </w:rPr>
              <w:t>Subramanian et al. - 2021 - Natalizumab Induces Changes of Cerebrospinal Fluid Measures in Multiple Sclerosis.pdf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Induces Changes of Cerebrospinal Fluid Measures in Multiple Sclerosis</w:t>
            </w:r>
          </w:p>
        </w:tc>
        <w:tc>
          <w:tcPr>
            <w:tcW w:type="dxa" w:w="1511"/>
            <w:shd w:fill="FFFFFF"/>
          </w:tcPr>
          <w:p>
            <w:r>
              <w:rPr>
                <w:rFonts w:ascii="Arial" w:hAnsi="Arial"/>
                <w:color w:val="000000"/>
                <w:sz w:val="18"/>
              </w:rPr>
              <w:t>In conclusion, we demonstrated that NTZ treatment induced a significant reduction of a spectrum of CSF inflammatory measures and the stabilization of radiological disease activity. The anti-inflammatory effect of NTZ was most evident in younger patients and in those at the early stage of the disease who had the highest inflammatory activity. Our findings emphasize the need for effective treatment strategies in early disease stages when inflammatory disease activity tends to be the highest.</w:t>
            </w:r>
          </w:p>
        </w:tc>
        <w:tc>
          <w:tcPr>
            <w:tcW w:type="dxa" w:w="1511"/>
            <w:shd w:fill="FFFFFF"/>
          </w:tcPr>
          <w:p>
            <w:r>
              <w:rPr>
                <w:rFonts w:ascii="Arial" w:hAnsi="Arial"/>
                <w:color w:val="000000"/>
                <w:sz w:val="18"/>
              </w:rPr>
              <w:t>Longitudinal retrospective study</w:t>
            </w:r>
          </w:p>
        </w:tc>
        <w:tc>
          <w:tcPr>
            <w:tcW w:type="dxa" w:w="1511"/>
            <w:shd w:fill="FFFFFF"/>
          </w:tcPr>
          <w:p>
            <w:r>
              <w:rPr>
                <w:rFonts w:ascii="Arial" w:hAnsi="Arial"/>
                <w:color w:val="000000"/>
                <w:sz w:val="18"/>
              </w:rPr>
              <w:t>Relapsing-remitting multiple sclerosis patients treated with natalizumab</w:t>
            </w:r>
          </w:p>
        </w:tc>
        <w:tc>
          <w:tcPr>
            <w:tcW w:type="dxa" w:w="1511"/>
            <w:shd w:fill="FFFFFF"/>
          </w:tcPr>
          <w:p>
            <w:r>
              <w:rPr>
                <w:rFonts w:ascii="Arial" w:hAnsi="Arial"/>
                <w:color w:val="000000"/>
                <w:sz w:val="18"/>
              </w:rPr>
              <w:t>Natalizumab treatment</w:t>
            </w:r>
          </w:p>
        </w:tc>
        <w:tc>
          <w:tcPr>
            <w:tcW w:type="dxa" w:w="1511"/>
            <w:shd w:fill="FFFFFF"/>
          </w:tcPr>
          <w:p>
            <w:r>
              <w:rPr>
                <w:rFonts w:ascii="Arial" w:hAnsi="Arial"/>
                <w:color w:val="000000"/>
                <w:sz w:val="18"/>
              </w:rPr>
              <w:t>Baseline vs. follow-up after natalizumab initiation</w:t>
            </w:r>
          </w:p>
        </w:tc>
        <w:tc>
          <w:tcPr>
            <w:tcW w:type="dxa" w:w="1511"/>
            <w:shd w:fill="FFFFFF"/>
          </w:tcPr>
          <w:p>
            <w:r>
              <w:rPr>
                <w:rFonts w:ascii="Arial" w:hAnsi="Arial"/>
                <w:color w:val="000000"/>
                <w:sz w:val="18"/>
              </w:rPr>
              <w:t>Changes in cerebrospinal fluid inflammatory measures (e.g., leukocytes, protein, albumin quotient, IgG/IgM quotients/indices, CSF-restricted oligoclonal bands) and clinical/radiological outcomes (EDSS, T2 lesion volume, brain volume loss)</w:t>
            </w:r>
          </w:p>
        </w:tc>
        <w:tc>
          <w:tcPr>
            <w:tcW w:type="dxa" w:w="1511"/>
            <w:shd w:fill="FFFFFF"/>
          </w:tcPr>
          <w:p>
            <w:r>
              <w:rPr>
                <w:rFonts w:ascii="Arial" w:hAnsi="Arial"/>
                <w:color w:val="000000"/>
                <w:sz w:val="18"/>
              </w:rPr>
              <w:t>Natalizumab induced a decrease in CSF leukocytes (p &lt; 1 × 10−15), CSF protein (p = 0.00007), the albumin quotient (p = 0.007), the IgG quotient (p = 6 × 10−15), the IgM quotient (p = 0.0002), the IgG index (p = 0.0004), the IgM index (p = 0.003) and the number of CSF-restricted oligoclonal bands (OCBs) (p = 0.0005). CSF-restricted OCBs positivity dropped from 94.6% to 86% but 26 patients (28%) had an increased number of OCBs at the follow-up. The baseline to follow-up EDSS and T2-LV were stable; a decrease in the relapse rate was consistent with a decrease in the CSF inflammatory markers and previous knowledge about the effectiveness of natalizumab. The average annualized brain volume loss during the follow-up was −0.50% (IQR = −0.96, −0.16) and was predicted by the baseline IgM index (B = −0.37; p = 0.003).</w:t>
            </w:r>
          </w:p>
        </w:tc>
      </w:tr>
      <w:tr>
        <w:tc>
          <w:tcPr>
            <w:tcW w:type="dxa" w:w="1511"/>
            <w:shd w:fill="FFFFFF"/>
          </w:tcPr>
          <w:p>
            <w:r>
              <w:rPr>
                <w:rFonts w:ascii="Arial" w:hAnsi="Arial"/>
                <w:color w:val="000000"/>
                <w:sz w:val="18"/>
              </w:rPr>
              <w:t>Trojano et al. - 2021 - A randomized study of natalizumab dosing regimens for relapsing–remitting multiple sclerosis.pdf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 randomized study of natalizumab dosing regimens for relapsing–remitting multiple sclerosis</w:t>
            </w:r>
          </w:p>
        </w:tc>
        <w:tc>
          <w:tcPr>
            <w:tcW w:type="dxa" w:w="1511"/>
            <w:shd w:fill="FFFFFF"/>
          </w:tcPr>
          <w:p>
            <w:r>
              <w:rPr>
                <w:rFonts w:ascii="Arial" w:hAnsi="Arial"/>
                <w:color w:val="000000"/>
                <w:sz w:val="18"/>
              </w:rPr>
              <w:t>Natalizumab 300 mg SC Q4W was comparable to 300 mg intravenous Q4W dosing with respect to efficacy, pharmacokinetics/pharmacodynamics, and safety. Administration of natalizumab Q12W was associated with increased MRI and relapse activity, leading to early closure of the Q12W study arms. These results suggest that SC administration of 300 mg natalizumab Q4W could be an alternative option for patients with RRMS.</w:t>
            </w:r>
          </w:p>
        </w:tc>
        <w:tc>
          <w:tcPr>
            <w:tcW w:type="dxa" w:w="1511"/>
            <w:shd w:fill="FFFFFF"/>
          </w:tcPr>
          <w:p>
            <w:r>
              <w:rPr>
                <w:rFonts w:ascii="Arial" w:hAnsi="Arial"/>
                <w:color w:val="000000"/>
                <w:sz w:val="18"/>
              </w:rPr>
              <w:t>Exploratory, dose- and frequency-blinded, prospective, randomized, dose-ranging phase 2 study</w:t>
            </w:r>
          </w:p>
        </w:tc>
        <w:tc>
          <w:tcPr>
            <w:tcW w:type="dxa" w:w="1511"/>
            <w:shd w:fill="FFFFFF"/>
          </w:tcPr>
          <w:p>
            <w:r>
              <w:rPr>
                <w:rFonts w:ascii="Arial" w:hAnsi="Arial"/>
                <w:color w:val="000000"/>
                <w:sz w:val="18"/>
              </w:rPr>
              <w:t>Clinically stable relapsing–remitting multiple sclerosis (RRMS) patients previously treated with 300 mg natalizumab intravenously for ≥12 months</w:t>
            </w:r>
          </w:p>
        </w:tc>
        <w:tc>
          <w:tcPr>
            <w:tcW w:type="dxa" w:w="1511"/>
            <w:shd w:fill="FFFFFF"/>
          </w:tcPr>
          <w:p>
            <w:r>
              <w:rPr>
                <w:rFonts w:ascii="Arial" w:hAnsi="Arial"/>
                <w:color w:val="000000"/>
                <w:sz w:val="18"/>
              </w:rPr>
              <w:t>Natalizumab administered via various regimens (including 300 mg intravenous or subcutaneous every 4 weeks, 300 mg intravenous or subcutaneous every 12 weeks, 150 mg intravenous or subcutaneous every 12 weeks)</w:t>
            </w:r>
          </w:p>
        </w:tc>
        <w:tc>
          <w:tcPr>
            <w:tcW w:type="dxa" w:w="1511"/>
            <w:shd w:fill="FFFFFF"/>
          </w:tcPr>
          <w:p>
            <w:r>
              <w:rPr>
                <w:rFonts w:ascii="Arial" w:hAnsi="Arial"/>
                <w:color w:val="000000"/>
                <w:sz w:val="18"/>
              </w:rPr>
              <w:t>Different natalizumab dosing regimens (e.g., 300 mg intravenous vs subcutaneous every 4 weeks, 300 mg every 12 weeks vs 4 weeks, etc.)</w:t>
            </w:r>
          </w:p>
        </w:tc>
        <w:tc>
          <w:tcPr>
            <w:tcW w:type="dxa" w:w="1511"/>
            <w:shd w:fill="FFFFFF"/>
          </w:tcPr>
          <w:p>
            <w:r>
              <w:rPr>
                <w:rFonts w:ascii="Arial" w:hAnsi="Arial"/>
                <w:color w:val="000000"/>
                <w:sz w:val="18"/>
              </w:rPr>
              <w:t>Mean cumulative number of combined unique active MRI lesions at week 60; annualized relapse rate (ARR) at week 60; proportion of patients with protocol-defined relapse; proportion of patients with 12-week confirmed disability worsening; change in Expanded Disability Status Scale (EDSS) score from baseline through week 60</w:t>
            </w:r>
          </w:p>
        </w:tc>
        <w:tc>
          <w:tcPr>
            <w:tcW w:type="dxa" w:w="1511"/>
            <w:shd w:fill="FFFFFF"/>
          </w:tcPr>
          <w:p>
            <w:r>
              <w:rPr>
                <w:rFonts w:ascii="Arial" w:hAnsi="Arial"/>
                <w:color w:val="000000"/>
                <w:sz w:val="18"/>
              </w:rPr>
              <w:t>290 patients enrolled; Q12W dosing arms closed early due to increased disease activity; 300 mg IV and SC Q4W arms showed comparable efficacy (MRI lesions, relapse rates), PK/PD, and safety; SC Q4W was comparable to IV Q4W in efficacy, PK/PD, and safety.</w:t>
            </w:r>
          </w:p>
        </w:tc>
      </w:tr>
      <w:tr>
        <w:tc>
          <w:tcPr>
            <w:tcW w:type="dxa" w:w="1511"/>
            <w:shd w:fill="FFFFFF"/>
          </w:tcPr>
          <w:p>
            <w:r>
              <w:rPr>
                <w:rFonts w:ascii="Arial" w:hAnsi="Arial"/>
                <w:color w:val="000000"/>
                <w:sz w:val="18"/>
              </w:rPr>
              <w:t>van Kempen et al. - 2018 - The majority of natalizumab-treated MS patients have high natalizumab concentrations at time of re-d.pdf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The majority of natalizumab-treated MS patients have high natalizumab concentrations at time of re-dosing</w:t>
            </w:r>
          </w:p>
        </w:tc>
        <w:tc>
          <w:tcPr>
            <w:tcW w:type="dxa" w:w="1511"/>
            <w:shd w:fill="FFFFFF"/>
          </w:tcPr>
          <w:p>
            <w:r>
              <w:rPr>
                <w:rFonts w:ascii="Arial" w:hAnsi="Arial"/>
                <w:color w:val="000000"/>
                <w:sz w:val="18"/>
              </w:rPr>
              <w:t>The large majority (94%) of NTZ patients have high NTZ trough concentrations which could be an indication that most patients receive a “relative over-treatment.” Extended dose intervals could help reduce costs of medication and increase quality of life for the patient with fewer hospital visits, but further studies are needed to establish the safety of alternative treatment regimens.</w:t>
            </w:r>
          </w:p>
        </w:tc>
        <w:tc>
          <w:tcPr>
            <w:tcW w:type="dxa" w:w="1511"/>
            <w:shd w:fill="FFFFFF"/>
          </w:tcPr>
          <w:p>
            <w:r>
              <w:rPr>
                <w:rFonts w:ascii="Arial" w:hAnsi="Arial"/>
                <w:color w:val="000000"/>
                <w:sz w:val="18"/>
              </w:rPr>
              <w:t>Prospective observational cohort study</w:t>
            </w:r>
          </w:p>
        </w:tc>
        <w:tc>
          <w:tcPr>
            <w:tcW w:type="dxa" w:w="1511"/>
            <w:shd w:fill="FFFFFF"/>
          </w:tcPr>
          <w:p>
            <w:r>
              <w:rPr>
                <w:rFonts w:ascii="Arial" w:hAnsi="Arial"/>
                <w:color w:val="000000"/>
                <w:sz w:val="18"/>
              </w:rPr>
              <w:t>Patients with relapsing-remitting multiple sclerosis (RRMS) treated with natalizumab</w:t>
            </w:r>
          </w:p>
        </w:tc>
        <w:tc>
          <w:tcPr>
            <w:tcW w:type="dxa" w:w="1511"/>
            <w:shd w:fill="FFFFFF"/>
          </w:tcPr>
          <w:p>
            <w:r>
              <w:rPr>
                <w:rFonts w:ascii="Arial" w:hAnsi="Arial"/>
                <w:color w:val="000000"/>
                <w:sz w:val="18"/>
              </w:rPr>
              <w:t>Natalizumab (300 mg administered every 4 weeks)</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Natalizumab serum trough concentrations and disease activity (clinical exacerbations, MRI findings)</w:t>
            </w:r>
          </w:p>
        </w:tc>
        <w:tc>
          <w:tcPr>
            <w:tcW w:type="dxa" w:w="1511"/>
            <w:shd w:fill="FFFFFF"/>
          </w:tcPr>
          <w:p>
            <w:r>
              <w:rPr>
                <w:rFonts w:ascii="Arial" w:hAnsi="Arial"/>
                <w:color w:val="000000"/>
                <w:sz w:val="18"/>
              </w:rPr>
              <w:t>We measured high (≥10 µg/mL) natalizumab trough concentrations in 94% of patients. Intra-individual concentrations were stable. The spread in concentrations was substantial and did not correlate with disease activity. We found a negative association between natalizumab concentration and body weight (β = −0.30, p = 0.010).</w:t>
            </w:r>
          </w:p>
        </w:tc>
      </w:tr>
      <w:tr>
        <w:tc>
          <w:tcPr>
            <w:tcW w:type="dxa" w:w="1511"/>
            <w:shd w:fill="FFFFFF"/>
          </w:tcPr>
          <w:p>
            <w:r>
              <w:rPr>
                <w:rFonts w:ascii="Arial" w:hAnsi="Arial"/>
                <w:color w:val="000000"/>
                <w:sz w:val="18"/>
              </w:rPr>
              <w:t>van Kempen et al. - 2020 - Personalized extended interval dosing of natalizumab in MS A prospective multicenter trial.pdf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Personalized extended interval dosing of natalizumab in MS - a prospective multicenter trial</w:t>
            </w:r>
          </w:p>
        </w:tc>
        <w:tc>
          <w:tcPr>
            <w:tcW w:type="dxa" w:w="1511"/>
            <w:shd w:fill="FFFFFF"/>
          </w:tcPr>
          <w:p>
            <w:r>
              <w:rPr>
                <w:rFonts w:ascii="Arial" w:hAnsi="Arial"/>
                <w:color w:val="000000"/>
                <w:sz w:val="18"/>
              </w:rPr>
              <w:t>Personalized extended interval dosing did not induce recurrence of MS disease activity. Natalizumab efficacy was maintained in stable MS patients receiving personalized extended interval dosing based on individual natalizumab concentrations.</w:t>
            </w:r>
          </w:p>
        </w:tc>
        <w:tc>
          <w:tcPr>
            <w:tcW w:type="dxa" w:w="1511"/>
            <w:shd w:fill="FFFFFF"/>
          </w:tcPr>
          <w:p>
            <w:r>
              <w:rPr>
                <w:rFonts w:ascii="Arial" w:hAnsi="Arial"/>
                <w:color w:val="000000"/>
                <w:sz w:val="18"/>
              </w:rPr>
              <w:t>prospective multicenter single-arm trial</w:t>
            </w:r>
          </w:p>
        </w:tc>
        <w:tc>
          <w:tcPr>
            <w:tcW w:type="dxa" w:w="1511"/>
            <w:shd w:fill="FFFFFF"/>
          </w:tcPr>
          <w:p>
            <w:r>
              <w:rPr>
                <w:rFonts w:ascii="Arial" w:hAnsi="Arial"/>
                <w:color w:val="000000"/>
                <w:sz w:val="18"/>
              </w:rPr>
              <w:t>Adult persons with relapsing remitting multiple sclerosis (RRMS) treated with natalizumab without disease activity in the year prior to enrollment</w:t>
            </w:r>
          </w:p>
        </w:tc>
        <w:tc>
          <w:tcPr>
            <w:tcW w:type="dxa" w:w="1511"/>
            <w:shd w:fill="FFFFFF"/>
          </w:tcPr>
          <w:p>
            <w:r>
              <w:rPr>
                <w:rFonts w:ascii="Arial" w:hAnsi="Arial"/>
                <w:color w:val="000000"/>
                <w:sz w:val="18"/>
              </w:rPr>
              <w:t>personalized extended interval dosing of natalizumab based on individual natalizumab trough concentrations</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Primary outcome: occurrence of gadolinium enhancing lesions on MRI; Secondary outcomes: new/enlarging T2 lesions on MRI, relapses, progression on Expanded Disability Status Scale (EDSS), quality of life (MSIS-29 and SF-36), serum neurofilament light (NfL), natalizumab α4β1-integrin saturation, CD49d expression</w:t>
            </w:r>
          </w:p>
        </w:tc>
        <w:tc>
          <w:tcPr>
            <w:tcW w:type="dxa" w:w="1511"/>
            <w:shd w:fill="FFFFFF"/>
          </w:tcPr>
          <w:p>
            <w:r>
              <w:rPr>
                <w:rFonts w:ascii="Arial" w:hAnsi="Arial"/>
                <w:color w:val="000000"/>
                <w:sz w:val="18"/>
              </w:rPr>
              <w:t>Sixty-one patients were included. Eighty-four percent extended the interval from a 4-week interval to a 5-7-week interval. No patient developed gadolinium enhancing lesions (95% CI 0 – 7.4%) during follow-up. No new/enlarging T2 lesions (95% CI 0 – 7.4%) or relapses (95% CI 0 – 7.4%) were reported during follow-up and in the extension phase. Median EDSS was comparable at baseline (3.0, IQR 2.0-5.0) and after follow-up (3.0, IQR 2.0-5.0).</w:t>
            </w:r>
          </w:p>
        </w:tc>
      </w:tr>
      <w:tr>
        <w:tc>
          <w:tcPr>
            <w:tcW w:type="dxa" w:w="1511"/>
            <w:shd w:fill="FFFFFF"/>
          </w:tcPr>
          <w:p>
            <w:r>
              <w:rPr>
                <w:rFonts w:ascii="Arial" w:hAnsi="Arial"/>
                <w:color w:val="000000"/>
                <w:sz w:val="18"/>
              </w:rPr>
              <w:t>Walton et al. - 2020 - Rising prevalence of multiple sclerosis worldwide Insights from the Atlas of MS, third edition.pdf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Rising prevalence of multiple sclerosis worldwide: Insights from the Atlas of MS, third edition</w:t>
            </w:r>
          </w:p>
        </w:tc>
        <w:tc>
          <w:tcPr>
            <w:tcW w:type="dxa" w:w="1511"/>
            <w:shd w:fill="FFFFFF"/>
          </w:tcPr>
          <w:p>
            <w:r>
              <w:rPr>
                <w:rFonts w:ascii="Arial" w:hAnsi="Arial"/>
                <w:color w:val="000000"/>
                <w:sz w:val="18"/>
              </w:rPr>
              <w:t>The global prevalence of MS has risen since 2013, but good surveillance data is not universal. Action is needed by multiple stakeholders to close knowledge gaps.</w:t>
            </w:r>
          </w:p>
        </w:tc>
        <w:tc>
          <w:tcPr>
            <w:tcW w:type="dxa" w:w="1511"/>
            <w:shd w:fill="FFFFFF"/>
          </w:tcPr>
          <w:p>
            <w:r>
              <w:rPr>
                <w:rFonts w:ascii="Arial" w:hAnsi="Arial"/>
                <w:color w:val="000000"/>
                <w:sz w:val="18"/>
              </w:rPr>
              <w:t>Epidemiologic study</w:t>
            </w:r>
          </w:p>
        </w:tc>
        <w:tc>
          <w:tcPr>
            <w:tcW w:type="dxa" w:w="1511"/>
            <w:shd w:fill="FFFFFF"/>
          </w:tcPr>
          <w:p>
            <w:r>
              <w:rPr>
                <w:rFonts w:ascii="Arial" w:hAnsi="Arial"/>
                <w:color w:val="000000"/>
                <w:sz w:val="18"/>
              </w:rPr>
              <w:t>People with multiple sclerosis (MS)</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Comparison with 2013 data from the Atlas of MS</w:t>
            </w:r>
          </w:p>
        </w:tc>
        <w:tc>
          <w:tcPr>
            <w:tcW w:type="dxa" w:w="1511"/>
            <w:shd w:fill="FFFFFF"/>
          </w:tcPr>
          <w:p>
            <w:r>
              <w:rPr>
                <w:rFonts w:ascii="Arial" w:hAnsi="Arial"/>
                <w:color w:val="000000"/>
                <w:sz w:val="18"/>
              </w:rPr>
              <w:t>Prevalence and incidence of multiple sclerosis</w:t>
            </w:r>
          </w:p>
        </w:tc>
        <w:tc>
          <w:tcPr>
            <w:tcW w:type="dxa" w:w="1511"/>
            <w:shd w:fill="FFFFFF"/>
          </w:tcPr>
          <w:p>
            <w:r>
              <w:rPr>
                <w:rFonts w:ascii="Arial" w:hAnsi="Arial"/>
                <w:color w:val="000000"/>
                <w:sz w:val="18"/>
              </w:rPr>
              <w:t>A total of 2.8 million people are estimated to live with MS worldwide (35.9 per 100,000 population). MS prevalence has increased in every world region since 2013. The pooled incidence rate across 75 reporting countries is 2.1 per 100,000 persons/year, and the mean age of diagnosis is 32 years. Females are twice as likely to live with MS as males.</w:t>
            </w:r>
          </w:p>
        </w:tc>
      </w:tr>
      <w:tr>
        <w:tc>
          <w:tcPr>
            <w:tcW w:type="dxa" w:w="1511"/>
            <w:shd w:fill="FFFFFF"/>
          </w:tcPr>
          <w:p>
            <w:r>
              <w:rPr>
                <w:rFonts w:ascii="Arial" w:hAnsi="Arial"/>
                <w:color w:val="000000"/>
                <w:sz w:val="18"/>
              </w:rPr>
              <w:t>Yousry et al. - 2006 - Evaluation of patients treated with natalizumab for progressive multifocal leukoencephalopathy.pdf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Evaluation of Patients Treated with Natalizumab for Progressive Multifocal Leukoencephalopathy</w:t>
            </w:r>
          </w:p>
        </w:tc>
        <w:tc>
          <w:tcPr>
            <w:tcW w:type="dxa" w:w="1511"/>
            <w:shd w:fill="FFFFFF"/>
          </w:tcPr>
          <w:p>
            <w:r>
              <w:rPr>
                <w:rFonts w:ascii="Arial" w:hAnsi="Arial"/>
                <w:color w:val="000000"/>
                <w:sz w:val="18"/>
              </w:rPr>
              <w:t>A detailed review of possible cases of PML in patients exposed to natalizumab found no new cases and suggested a risk of PML of roughly 1 in 1000 patients treated with natalizumab for a mean of 17.9 months. The risk associated with longer treatment is not known.</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Patients who participated in clinical trials of natalizumab for multiple sclerosis, Crohn’s disease, or rheumatoid arthritis (recent or long-term treatment recipients)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Progressive Multifocal Leukoencephalopathy (PML)</w:t>
            </w:r>
          </w:p>
        </w:tc>
        <w:tc>
          <w:tcPr>
            <w:tcW w:type="dxa" w:w="1511"/>
            <w:shd w:fill="FFFFFF"/>
          </w:tcPr>
          <w:p>
            <w:r>
              <w:rPr>
                <w:rFonts w:ascii="Arial" w:hAnsi="Arial"/>
                <w:color w:val="000000"/>
                <w:sz w:val="18"/>
              </w:rPr>
              <w:t>Of 3417 patients who had recently received natalizumab while participating in clinical trials, 3116 (91 percent) who were exposed to a mean of 17.9 monthly doses underwent evaluation for PML. Of these, 44 patients were referred to the expert panel because of clinical findings of possible PML, abnormalities on MRI, or a high plasma viral load of JC virus. No patient had detectable JC virus DNA in the cerebrospinal fluid. PML was ruled out in 43 of the 44 patients, but it could not be ruled out in one patient who had multiple sclerosis and progression of neurologic disease because data on cerebrospinal fluid testing and follow-up MRI were not available. Only the three previously reported cases of PML were confirmed (1.0 per 1000 treated patients; 95 percent confidence interval, 0.2 to 2.8 per 1000).</w:t>
            </w:r>
          </w:p>
        </w:tc>
      </w:tr>
    </w:tbl>
    <w:sectPr w:rsidR="00FC693F" w:rsidRPr="0006063C" w:rsidSect="00034616">
      <w:headerReference w:type="default" r:id="rId9"/>
      <w:footerReference w:type="default" r:id="rId10"/>
      <w:pgSz w:w="16834" w:h="1190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6464"/>
        <w:sz w:val="16"/>
      </w:rPr>
      <w:t>Generated by ReviewAid on December 29,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65760" cy="365760"/>
          <wp:docPr id="1" name="Picture 1"/>
          <wp:cNvGraphicFramePr>
            <a:graphicFrameLocks noChangeAspect="1"/>
          </wp:cNvGraphicFramePr>
          <a:graphic>
            <a:graphicData uri="http://schemas.openxmlformats.org/drawingml/2006/picture">
              <pic:pic>
                <pic:nvPicPr>
                  <pic:cNvPr id="0" name="RA_transparent.png"/>
                  <pic:cNvPicPr/>
                </pic:nvPicPr>
                <pic:blipFill>
                  <a:blip r:embed="rId1"/>
                  <a:stretch>
                    <a:fillRect/>
                  </a:stretch>
                </pic:blipFill>
                <pic:spPr>
                  <a:xfrm>
                    <a:off x="0" y="0"/>
                    <a:ext cx="365760" cy="3657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