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Filename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Paper Title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Conclusion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Type of Study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Population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Intervention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comparison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outcome</w:t>
            </w:r>
          </w:p>
        </w:tc>
        <w:tc>
          <w:tcPr>
            <w:tcW w:type="dxa" w:w="151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Results</w:t>
            </w:r>
          </w:p>
        </w:tc>
      </w:tr>
      <w:tr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1-s2.0-S0022510X21003166-main.pdf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Wearing-off symptoms during standard and extended natalizumab dosing intervals: Experiences from the COVID-19 pandemic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Our observations support the need to study the effect of EID on wearing-off symptoms in randomized controlled trials.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Observational study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Relapsing-remitting multiple sclerosis patients over 18 years old receiving natalizumab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Extended interval dosing (EID) of natalizumab (from 4 to 6 weeks)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Standard interval dosing (SID, 4 weeks) vs Extended interval dosing (EID, 6 weeks)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Wearing-off symptoms (prevalence and intensity)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New or increased wearing-off symptoms during EID were reported by 50% of patients. Symptom increase was more frequent in patients with pre-existing wearing-off symptoms during standard dosing compared to patients without such pre-existing symptoms [p = 0.0005]. None had decreased symptoms. Median natalizumab receptor occupancy (RO) at standard dosing was lower in 9 of 11 leukocyte subtypes in patients who later reported symptom increase during EID compared to patients with unchanged symptoms during EID, but the difference was not statistically significant.</w:t>
            </w:r>
          </w:p>
        </w:tc>
      </w:tr>
      <w:tr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1-s2.0-S221103482100612X-main.pdf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Safety of Natalizumab infusion in multiple sclerosis patients during active SARS-CoV-2 infection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NTZ redosing in people with multiple sclerosis during active SARS-CoV-2 infection is safe, with no worsening of COVID-19 symptoms or recovery delay observed.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Retrospective study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18 relapsing-remitting people with multiple sclerosis (pwMS) under Natalizumab treatment, infected by SARS-CoV-2 between October 2020 and May 2021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Natalizumab (NTZ) infusion retreatment during active SARS-CoV-2 infection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Safety of NTZ redosing and COVID-19 symptom progression/recovery after reinfusion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None of the patients reported worsening of SARS-CoV-2 symptoms or developed new neurological symptoms after redosing. Patients still symptomatic at reinfusion had a mean time to full recovery of 10±12 days. Overall cohort showed mean intervals from symptoms to reinfusion (19±9 days), symptom onset to full recovery (13±9 days), and positive to negative swab (32±15 days) consistent with general population outcomes.</w:t>
            </w:r>
          </w:p>
        </w:tc>
      </w:tr>
      <w:tr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1-s2.0-S1878747924000370-main.pdf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Commentary Extended interval dosing of natalizumab: More evidence in support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The main findings support extending natalizumab dosing interval without compromising benefits and potentially reducing PML risk. EID offers cost and convenience benefits but lacks first-line study data and needs more research on active disease patients. Further studies, including those on drug concentrations, are needed. Continued monitoring of registries is essential for PML risk assessment.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Commentary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Adults with multiple sclerosis (MS), predominantly female, with average disease duration of 8.5 years, many with prior disease-modifying therapy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Extended interval dosing of natalizumab (EID)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Standard interval dosing (SID) vs. Extended interval dosing (EID)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Evidence of disease activity (EDA), defined as clinical relapses, MRI activity, or disability worsening per the Expanded Disability Status Scale (EDSS)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 differences in primary outcomes between SID and EID (5–7 weeks); trend toward higher clinical relapse hazard with EID (HR 1.74, 95% CI 0.99–3.02, p=0.054); BMI interaction with treatment regimen affecting EDA; no differences in EDA when using inverse probability treatment weighted models.</w:t>
            </w:r>
          </w:p>
        </w:tc>
      </w:tr>
      <w:tr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10.1007@s00415-014-7574-6.pdf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Intense immunosuppression for the treatment of an immune reconstitution inflammatory syndrome-like exacerbation after natalizumab withdrawal: a case report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In the meantime, IRIS can be a serious manifestation related to NTZ treatment interruption and the administration of intense immunosuppression, once PML is ruled out, a therapeutic option for such rapidly worsening condition. The information provided may be useful because controlled trials for this rare complication are unlikely.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Case report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43-year-old woman with relapsing–remitting multiple sclerosis (MS)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Intense immunosuppression (1 g of IV cyclophosphamide followed by a cycle of rituximab)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Standard therapy (IVMP, plasma exchange) vs intense immunosuppression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Clinical and radiological improvement (EDSS improved from 9.0 to 3.0, lesions decreased)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Patient's condition improved clinically (EDSS 5.0) and radiologically (lesions reduced), eventually EDSS 3.0 after treatment.</w:t>
            </w:r>
          </w:p>
        </w:tc>
      </w:tr>
      <w:tr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 real world multi center study on efficacy and safety of natalizumab in Indian patients with multiple sclerosis_Author links open overlay panel_Thomas Mathew a_, _Vikram Kamath b_, _Saji K John a_, _M Netravat.pdf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 real world multi center study on efficacy and safety of natalizumab in Indian patients with multiple sclerosis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Natalizumab is highly effective and safe in Indian MS patients, with no cases of PML identified at last follow up.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Multicentre ambispective study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Multiple sclerosis patients (aged ≥18 years) in India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Natalizumab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Baseline vs. one year after natalizumab treatment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Relapse rate, EDSS score, and occurrence of PML</w:t>
            </w:r>
          </w:p>
        </w:tc>
        <w:tc>
          <w:tcPr>
            <w:tcW w:type="dxa" w:w="151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During the 9-year study, 116 MS patients received NTZ. Mean age 35.6±9.7 years, 71.6% female. Relapse rate pre-NTZ: 3.1±1.51, post-NTZ: 0.20±0.57 (p=0.001). EDSS pre-NTZ: 4.5±1.94, post-NTZ: 3.8±2.7 (p=0.013). No PML cases identified at last follow-up (38.3±22.78 months).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6464"/>
        <w:sz w:val="16"/>
      </w:rPr>
      <w:t>Generated by ReviewAid on December 29, 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6576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A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0" cy="3657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