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2566"/>
        <w:gridCol w:w="2566"/>
        <w:gridCol w:w="2566"/>
        <w:gridCol w:w="2566"/>
        <w:gridCol w:w="2566"/>
        <w:gridCol w:w="2566"/>
      </w:tblGrid>
      <w:tr>
        <w:tc>
          <w:tcPr>
            <w:tcW w:type="dxa" w:w="2518"/>
            <w:shd w:fill="FFFFFF"/>
            <w:tcBorders>
              <w:bottom w:val="single" w:sz="4" w:space="0" w:color="000000"/>
            </w:tcBorders>
          </w:tcPr>
          <w:p>
            <w:pPr>
              <w:jc w:val="center"/>
            </w:pPr>
            <w:r>
              <w:rPr>
                <w:rFonts w:ascii="Arial" w:hAnsi="Arial"/>
                <w:b/>
                <w:color w:val="000000"/>
                <w:sz w:val="20"/>
              </w:rPr>
              <w:t>Filename</w:t>
            </w:r>
          </w:p>
        </w:tc>
        <w:tc>
          <w:tcPr>
            <w:tcW w:type="dxa" w:w="2518"/>
            <w:shd w:fill="FFFFFF"/>
            <w:tcBorders>
              <w:bottom w:val="single" w:sz="4" w:space="0" w:color="000000"/>
            </w:tcBorders>
          </w:tcPr>
          <w:p>
            <w:pPr>
              <w:jc w:val="center"/>
            </w:pPr>
            <w:r>
              <w:rPr>
                <w:rFonts w:ascii="Arial" w:hAnsi="Arial"/>
                <w:b/>
                <w:color w:val="000000"/>
                <w:sz w:val="20"/>
              </w:rPr>
              <w:t>Title</w:t>
            </w:r>
          </w:p>
        </w:tc>
        <w:tc>
          <w:tcPr>
            <w:tcW w:type="dxa" w:w="2518"/>
            <w:shd w:fill="FFFFFF"/>
            <w:tcBorders>
              <w:bottom w:val="single" w:sz="4" w:space="0" w:color="000000"/>
            </w:tcBorders>
          </w:tcPr>
          <w:p>
            <w:pPr>
              <w:jc w:val="center"/>
            </w:pPr>
            <w:r>
              <w:rPr>
                <w:rFonts w:ascii="Arial" w:hAnsi="Arial"/>
                <w:b/>
                <w:color w:val="000000"/>
                <w:sz w:val="20"/>
              </w:rPr>
              <w:t>Author</w:t>
            </w:r>
          </w:p>
        </w:tc>
        <w:tc>
          <w:tcPr>
            <w:tcW w:type="dxa" w:w="2518"/>
            <w:shd w:fill="FFFFFF"/>
            <w:tcBorders>
              <w:bottom w:val="single" w:sz="4" w:space="0" w:color="000000"/>
            </w:tcBorders>
          </w:tcPr>
          <w:p>
            <w:pPr>
              <w:jc w:val="center"/>
            </w:pPr>
            <w:r>
              <w:rPr>
                <w:rFonts w:ascii="Arial" w:hAnsi="Arial"/>
                <w:b/>
                <w:color w:val="000000"/>
                <w:sz w:val="20"/>
              </w:rPr>
              <w:t>Year</w:t>
            </w:r>
          </w:p>
        </w:tc>
        <w:tc>
          <w:tcPr>
            <w:tcW w:type="dxa" w:w="2518"/>
            <w:shd w:fill="FFFFFF"/>
            <w:tcBorders>
              <w:bottom w:val="single" w:sz="4" w:space="0" w:color="000000"/>
            </w:tcBorders>
          </w:tcPr>
          <w:p>
            <w:pPr>
              <w:jc w:val="center"/>
            </w:pPr>
            <w:r>
              <w:rPr>
                <w:rFonts w:ascii="Arial" w:hAnsi="Arial"/>
                <w:b/>
                <w:color w:val="000000"/>
                <w:sz w:val="20"/>
              </w:rPr>
              <w:t>Confidence</w:t>
            </w:r>
          </w:p>
        </w:tc>
        <w:tc>
          <w:tcPr>
            <w:tcW w:type="dxa" w:w="2518"/>
            <w:shd w:fill="FFFFFF"/>
            <w:tcBorders>
              <w:bottom w:val="single" w:sz="4" w:space="0" w:color="000000"/>
            </w:tcBorders>
          </w:tcPr>
          <w:p>
            <w:pPr>
              <w:jc w:val="center"/>
            </w:pPr>
            <w:r>
              <w:rPr>
                <w:rFonts w:ascii="Arial" w:hAnsi="Arial"/>
                <w:b/>
                <w:color w:val="000000"/>
                <w:sz w:val="20"/>
              </w:rPr>
              <w:t>Reason for Exclusion</w:t>
            </w:r>
          </w:p>
        </w:tc>
      </w:tr>
      <w:tr>
        <w:tc>
          <w:tcPr>
            <w:tcW w:type="dxa" w:w="2518"/>
            <w:shd w:fill="FFFFFF"/>
          </w:tcPr>
          <w:p>
            <w:r>
              <w:rPr>
                <w:rFonts w:ascii="Arial" w:hAnsi="Arial"/>
                <w:color w:val="000000"/>
                <w:sz w:val="18"/>
              </w:rPr>
              <w:t>Balduzzi et al. - 2019 - How to perform a meta-analysis with R a practical tutorial.pdf</w:t>
            </w:r>
          </w:p>
        </w:tc>
        <w:tc>
          <w:tcPr>
            <w:tcW w:type="dxa" w:w="2518"/>
            <w:shd w:fill="FFFFFF"/>
          </w:tcPr>
          <w:p>
            <w:r>
              <w:rPr>
                <w:rFonts w:ascii="Arial" w:hAnsi="Arial"/>
                <w:color w:val="000000"/>
                <w:sz w:val="18"/>
              </w:rPr>
              <w:t>How to perform a meta-analysis with R: a practical tutorial</w:t>
            </w:r>
          </w:p>
        </w:tc>
        <w:tc>
          <w:tcPr>
            <w:tcW w:type="dxa" w:w="2518"/>
            <w:shd w:fill="FFFFFF"/>
          </w:tcPr>
          <w:p>
            <w:r>
              <w:rPr>
                <w:rFonts w:ascii="Arial" w:hAnsi="Arial"/>
                <w:color w:val="000000"/>
                <w:sz w:val="18"/>
              </w:rPr>
              <w:t>Sara Balduzzi</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 meta-analysis tutorial using R for evaluating haloperidol in schizophrenia treatment, which does not involve the specified interventions (Natalizumab, SID, EID) or outcome (MS). The population is not relevant as the study uses a dataset from a schizophrenia review, and the interventions/exclusion criteria for MS-specific drugs are not met.</w:t>
            </w:r>
          </w:p>
        </w:tc>
      </w:tr>
      <w:tr>
        <w:tc>
          <w:tcPr>
            <w:tcW w:type="dxa" w:w="2518"/>
            <w:shd w:fill="FFFFFF"/>
          </w:tcPr>
          <w:p>
            <w:r>
              <w:rPr>
                <w:rFonts w:ascii="Arial" w:hAnsi="Arial"/>
                <w:color w:val="000000"/>
                <w:sz w:val="18"/>
              </w:rPr>
              <w:t>martinelli2016.pdf</w:t>
            </w:r>
          </w:p>
        </w:tc>
        <w:tc>
          <w:tcPr>
            <w:tcW w:type="dxa" w:w="2518"/>
            <w:shd w:fill="FFFFFF"/>
          </w:tcPr>
          <w:p>
            <w:r>
              <w:rPr>
                <w:rFonts w:ascii="Arial" w:hAnsi="Arial"/>
                <w:color w:val="000000"/>
                <w:sz w:val="18"/>
              </w:rPr>
              <w:t>Recurrent disease-activity rebound in a patient with multiple sclerosis after natalizumab discontinuations for pregnancy planning</w:t>
            </w:r>
          </w:p>
        </w:tc>
        <w:tc>
          <w:tcPr>
            <w:tcW w:type="dxa" w:w="2518"/>
            <w:shd w:fill="FFFFFF"/>
          </w:tcPr>
          <w:p>
            <w:r>
              <w:rPr>
                <w:rFonts w:ascii="Arial" w:hAnsi="Arial"/>
                <w:color w:val="000000"/>
                <w:sz w:val="18"/>
              </w:rPr>
              <w:t>Martinelli et al.</w:t>
            </w:r>
          </w:p>
        </w:tc>
        <w:tc>
          <w:tcPr>
            <w:tcW w:type="dxa" w:w="2518"/>
            <w:shd w:fill="FFFFFF"/>
          </w:tcPr>
          <w:p>
            <w:r>
              <w:rPr>
                <w:rFonts w:ascii="Arial" w:hAnsi="Arial"/>
                <w:color w:val="000000"/>
                <w:sz w:val="18"/>
              </w:rPr>
              <w:t>2013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describes a case of a 16-year-old (a child) with multiple sclerosis, which violates the population inclusion criterion of Adults (exclusion of Children). Although the intervention (Natalizumab) and outcomes (MS) are relevant, the population is a child, so the paper is excluded.</w:t>
            </w:r>
          </w:p>
        </w:tc>
      </w:tr>
      <w:tr>
        <w:tc>
          <w:tcPr>
            <w:tcW w:type="dxa" w:w="2518"/>
            <w:shd w:fill="FFFFFF"/>
          </w:tcPr>
          <w:p>
            <w:r>
              <w:rPr>
                <w:rFonts w:ascii="Arial" w:hAnsi="Arial"/>
                <w:color w:val="000000"/>
                <w:sz w:val="18"/>
              </w:rPr>
              <w:t>Walton et al. - 2020 - Rising prevalence of multiple sclerosis worldwide Insights from the Atlas of MS, third edition.pdf</w:t>
            </w:r>
          </w:p>
        </w:tc>
        <w:tc>
          <w:tcPr>
            <w:tcW w:type="dxa" w:w="2518"/>
            <w:shd w:fill="FFFFFF"/>
          </w:tcPr>
          <w:p>
            <w:r>
              <w:rPr>
                <w:rFonts w:ascii="Arial" w:hAnsi="Arial"/>
                <w:color w:val="000000"/>
                <w:sz w:val="18"/>
              </w:rPr>
              <w:t>Rising prevalence of multiple sclerosis worldwide: Insights from the Atlas of MS, third edition</w:t>
            </w:r>
          </w:p>
        </w:tc>
        <w:tc>
          <w:tcPr>
            <w:tcW w:type="dxa" w:w="2518"/>
            <w:shd w:fill="FFFFFF"/>
          </w:tcPr>
          <w:p>
            <w:r>
              <w:rPr>
                <w:rFonts w:ascii="Arial" w:hAnsi="Arial"/>
                <w:color w:val="000000"/>
                <w:sz w:val="18"/>
              </w:rPr>
              <w:t>Clare Walton</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global epidemiologic data of multiple sclerosis (MS) prevalence and incidence, not on interventions such as Natalizumab, SID, or EID. It does not discuss or evaluate these specific interventions, therefore it fails to meet the intervention criteria.</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