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cantSplit/>
          <w:trHeight w:val="9300" w:hRule="exact"/>
        </w:trPr>
        <w:tc>
          <w:tcPr>
            <w:tcW w:type="dxa" w:w="12240"/>
            <w:shd w:fill="1C1C18" w:val="clear"/>
            <w:tcMar>
              <w:top w:type="dxa" w:w="0"/>
              <w:left w:type="dxa" w:w="1600"/>
              <w:bottom w:type="dxa" w:w="0"/>
              <w:right w:type="dxa" w:w="1600"/>
            </w:tcMar>
            <w:vAlign w:val="center"/>
          </w:tcPr>
          <w:p>
            <w:pPr>
              <w:spacing w:after="500"/>
              <w:jc w:val="center"/>
            </w:pPr>
            <w:r>
              <w:drawing>
                <wp:inline distT="0" distB="0" distL="0" distR="0">
                  <wp:extent cx="2476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800100"/>
                          </a:xfrm>
                          <a:prstGeom prst="rect">
                            <a:avLst/>
                          </a:prstGeom>
                        </pic:spPr>
                      </pic:pic>
                    </a:graphicData>
                  </a:graphic>
                </wp:inline>
              </w:drawing>
            </w:r>
          </w:p>
          <w:p>
            <w:pPr>
              <w:spacing w:after="220"/>
              <w:jc w:val="center"/>
            </w:pPr>
            <w:r>
              <w:rPr>
                <w:rFonts w:ascii="Arial" w:cs="Arial" w:eastAsia="Arial" w:hAnsi="Arial"/>
                <w:b/>
                <w:bCs/>
                <w:color w:val="F68D5F"/>
                <w:spacing w:val="30"/>
                <w:sz w:val="18"/>
                <w:szCs w:val="18"/>
              </w:rPr>
              <w:t xml:space="preserve">REVITAL PRODUCTIONS</w:t>
            </w:r>
          </w:p>
          <w:p>
            <w:pPr>
              <w:spacing w:after="300"/>
              <w:jc w:val="center"/>
            </w:pPr>
            <w:r>
              <w:rPr>
                <w:rFonts w:ascii="Arial" w:cs="Arial" w:eastAsia="Arial" w:hAnsi="Arial"/>
                <w:b/>
                <w:bCs/>
                <w:color w:val="FFFFFF"/>
                <w:sz w:val="44"/>
                <w:szCs w:val="44"/>
              </w:rPr>
              <w:t xml:space="preserve">Software &amp; Insurance Wishlist</w:t>
            </w:r>
          </w:p>
          <w:p>
            <w:pPr>
              <w:spacing w:after="0"/>
              <w:jc w:val="center"/>
            </w:pPr>
            <w:r>
              <w:rPr>
                <w:rFonts w:ascii="Arial" w:cs="Arial" w:eastAsia="Arial" w:hAnsi="Arial"/>
                <w:color w:val="B0B0AA"/>
                <w:sz w:val="21"/>
                <w:szCs w:val="21"/>
              </w:rPr>
              <w:t xml:space="preserve">What Revital needs to fully deliver on the services already being sold — and the tools blocked purely by budget, not by need.</w:t>
            </w:r>
          </w:p>
        </w:tc>
      </w:tr>
      <w:tr>
        <w:trPr>
          <w:cantSplit/>
          <w:trHeight w:val="5800" w:hRule="exact"/>
        </w:trPr>
        <w:tc>
          <w:tcPr>
            <w:tcW w:type="dxa" w:w="12240"/>
            <w:tcBorders>
              <w:bottom w:val="single" w:color="F68D5F" w:sz="140" w:space="0"/>
            </w:tcBorders>
            <w:shd w:fill="1C1C18" w:val="clear"/>
            <w:tcMar>
              <w:top w:type="dxa" w:w="0"/>
              <w:left w:type="dxa" w:w="1600"/>
              <w:bottom w:type="dxa" w:w="260"/>
              <w:right w:type="dxa" w:w="1600"/>
            </w:tcMar>
            <w:vAlign w:val="bottom"/>
          </w:tcPr>
          <w:p>
            <w:pPr>
              <w:spacing w:after="260"/>
              <w:jc w:val="center"/>
            </w:pPr>
            <w:r>
              <w:rPr>
                <w:rFonts w:ascii="Arial" w:cs="Arial" w:eastAsia="Arial" w:hAnsi="Arial"/>
                <w:color w:val="8A8A84"/>
                <w:spacing w:val="10"/>
                <w:sz w:val="15"/>
                <w:szCs w:val="15"/>
              </w:rPr>
              <w:t xml:space="preserve">SAVE FOR WHEN BUDGET ALLOWS  •  INTERNAL REFERENCE  •  JULY 2026</w:t>
            </w:r>
          </w:p>
        </w:tc>
      </w:tr>
    </w:tbl>
    <w:p>
      <w:pPr>
        <w:sectPr>
          <w:pgSz w:w="12240" w:h="15840" w:orient="portrait"/>
          <w:pgMar w:top="0" w:right="0" w:bottom="0" w:left="0" w:header="0" w:footer="0" w:gutter="0"/>
          <w:pgNumType/>
          <w:docGrid w:linePitch="360"/>
        </w:sectPr>
      </w:pPr>
    </w:p>
    <w:p>
      <w:pPr>
        <w:pBdr>
          <w:top w:val="single" w:color="E5E7EB" w:sz="4" w:space="8"/>
        </w:pBdr>
        <w:spacing w:after="0" w:before="280"/>
      </w:pPr>
      <w:r>
        <w:rPr>
          <w:rFonts w:ascii="Arial" w:cs="Arial" w:eastAsia="Arial" w:hAnsi="Arial"/>
          <w:b/>
          <w:bCs/>
          <w:color w:val="F68D5F"/>
          <w:spacing w:val="20"/>
          <w:sz w:val="16"/>
          <w:szCs w:val="16"/>
        </w:rPr>
        <w:t xml:space="preserve">ABOUT THIS DOCUMENT</w:t>
      </w:r>
    </w:p>
    <w:p>
      <w:pPr>
        <w:spacing w:after="160" w:before="60"/>
      </w:pPr>
      <w:r>
        <w:rPr>
          <w:rFonts w:ascii="Arial" w:cs="Arial" w:eastAsia="Arial" w:hAnsi="Arial"/>
          <w:b/>
          <w:bCs/>
          <w:color w:val="1F2937"/>
          <w:sz w:val="27"/>
          <w:szCs w:val="27"/>
        </w:rPr>
        <w:t xml:space="preserve">What This Covers</w:t>
      </w:r>
    </w:p>
    <w:p>
      <w:pPr>
        <w:spacing w:after="180"/>
      </w:pPr>
      <w:r>
        <w:rPr>
          <w:rFonts w:ascii="Arial" w:cs="Arial" w:eastAsia="Arial" w:hAnsi="Arial"/>
          <w:i w:val="false"/>
          <w:iCs w:val="false"/>
          <w:color w:val="374151"/>
          <w:sz w:val="20"/>
          <w:szCs w:val="20"/>
        </w:rPr>
        <w:t xml:space="preserve">This is deliberately separate from the Technology Stack &amp; Future-Proof Growth Plan. That document covers tools triggered by headcount and revenue milestones — QuickBooks upgrades, Gusto, BambooHR, Rippling, Productive. Nothing here duplicates that list. This one covers gaps that exist right now, at 3 people, with active clients — not gaps that show up later as the team grows.</w:t>
      </w:r>
    </w:p>
    <w:p>
      <w:pPr>
        <w:pBdr>
          <w:top w:val="single" w:color="E5E7EB" w:sz="4" w:space="8"/>
        </w:pBdr>
        <w:spacing w:after="0" w:before="280"/>
      </w:pPr>
      <w:r>
        <w:rPr>
          <w:rFonts w:ascii="Arial" w:cs="Arial" w:eastAsia="Arial" w:hAnsi="Arial"/>
          <w:b/>
          <w:bCs/>
          <w:color w:val="F68D5F"/>
          <w:spacing w:val="20"/>
          <w:sz w:val="16"/>
          <w:szCs w:val="16"/>
        </w:rPr>
        <w:t xml:space="preserve">GAPS TODAY</w:t>
      </w:r>
    </w:p>
    <w:p>
      <w:pPr>
        <w:spacing w:after="160" w:before="60"/>
      </w:pPr>
      <w:r>
        <w:rPr>
          <w:rFonts w:ascii="Arial" w:cs="Arial" w:eastAsia="Arial" w:hAnsi="Arial"/>
          <w:b/>
          <w:bCs/>
          <w:color w:val="1F2937"/>
          <w:sz w:val="27"/>
          <w:szCs w:val="27"/>
        </w:rPr>
        <w:t xml:space="preserve">Marketing Service Delivery Tools</w:t>
      </w:r>
    </w:p>
    <w:p>
      <w:pPr>
        <w:spacing w:after="180"/>
      </w:pPr>
      <w:r>
        <w:rPr>
          <w:rFonts w:ascii="Arial" w:cs="Arial" w:eastAsia="Arial" w:hAnsi="Arial"/>
          <w:i w:val="false"/>
          <w:iCs w:val="false"/>
          <w:color w:val="374151"/>
          <w:sz w:val="20"/>
          <w:szCs w:val="20"/>
        </w:rPr>
        <w:t xml:space="preserve">Several services in the Service Pricing Admin catalog — SEO, Email Marketing, Reporting, the new Branding &amp; Design category — are sellable today but don't have a real tool behind them yet.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5100"/>
      </w:tblGrid>
      <w:tr>
        <w:trPr>
          <w:tblHeader/>
        </w:trPr>
        <w:tc>
          <w:tcPr>
            <w:tcW w:type="dxa" w:w="2400"/>
            <w:shd w:fill="1A1A1A" w:val="clear"/>
            <w:tcMar>
              <w:top w:type="dxa" w:w="90"/>
              <w:left w:type="dxa" w:w="110"/>
              <w:bottom w:type="dxa" w:w="90"/>
              <w:right w:type="dxa" w:w="110"/>
            </w:tcMar>
          </w:tcPr>
          <w:p>
            <w:r>
              <w:rPr>
                <w:rFonts w:ascii="Arial" w:cs="Arial" w:eastAsia="Arial" w:hAnsi="Arial"/>
                <w:b/>
                <w:bCs/>
                <w:color w:val="FFFFFF"/>
                <w:sz w:val="17"/>
                <w:szCs w:val="17"/>
              </w:rPr>
              <w:t xml:space="preserve">Tool</w:t>
            </w:r>
          </w:p>
        </w:tc>
        <w:tc>
          <w:tcPr>
            <w:tcW w:type="dxa" w:w="14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1300"/>
            <w:shd w:fill="1A1A1A" w:val="clear"/>
            <w:tcMar>
              <w:top w:type="dxa" w:w="90"/>
              <w:left w:type="dxa" w:w="110"/>
              <w:bottom w:type="dxa" w:w="90"/>
              <w:right w:type="dxa" w:w="110"/>
            </w:tcMar>
          </w:tcPr>
          <w:p>
            <w:r>
              <w:rPr>
                <w:rFonts w:ascii="Arial" w:cs="Arial" w:eastAsia="Arial" w:hAnsi="Arial"/>
                <w:b/>
                <w:bCs/>
                <w:color w:val="FFFFFF"/>
                <w:sz w:val="17"/>
                <w:szCs w:val="17"/>
              </w:rPr>
              <w:t xml:space="preserve">Category</w:t>
            </w:r>
          </w:p>
        </w:tc>
        <w:tc>
          <w:tcPr>
            <w:tcW w:type="dxa" w:w="51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Ahrefs or SEMrush</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$129–249/mo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SEO</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Real keyword research, rank tracking and backlink audits for the SEO services already in the price sheet — right now that work is manual or free-tool based.</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Buffer or Sprout Social</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$5–199/mo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Social</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Actual scheduling/publishing for Organic Social &amp; Paid Social instead of posting manually to every platform.</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Adobe Creative Cloud or Canva Pro</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$15–70/mo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Design</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Needed to deliver the new Branding &amp; Design services — logo design, brand guides, social templates.</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AgencyAnalytics</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$59–229/mo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Reporting</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Automates Monthly Report Delivery and the various Reporting line items instead of hand-building client reports.</w:t>
            </w:r>
          </w:p>
        </w:tc>
      </w:tr>
      <w:tr>
        <w:tc>
          <w:tcPr>
            <w:tcW w:type="dxa" w:w="2400"/>
            <w:tcMar>
              <w:top w:type="dxa" w:w="90"/>
              <w:left w:type="dxa" w:w="110"/>
              <w:bottom w:type="dxa" w:w="90"/>
              <w:right w:type="dxa" w:w="110"/>
            </w:tcMar>
          </w:tcPr>
          <w:p>
            <w:r>
              <w:rPr>
                <w:rFonts w:ascii="Arial" w:cs="Arial" w:eastAsia="Arial" w:hAnsi="Arial"/>
                <w:b/>
                <w:bCs/>
                <w:color w:val="1F2937"/>
                <w:sz w:val="18"/>
                <w:szCs w:val="18"/>
              </w:rPr>
              <w:t xml:space="preserve">Klaviyo or Mailchimp — a real account</w:t>
            </w:r>
          </w:p>
        </w:tc>
        <w:tc>
          <w:tcPr>
            <w:tcW w:type="dxa" w:w="1400"/>
            <w:tcMar>
              <w:top w:type="dxa" w:w="90"/>
              <w:left w:type="dxa" w:w="110"/>
              <w:bottom w:type="dxa" w:w="90"/>
              <w:right w:type="dxa" w:w="110"/>
            </w:tcMar>
          </w:tcPr>
          <w:p>
            <w:r>
              <w:rPr>
                <w:rFonts w:ascii="Arial" w:cs="Arial" w:eastAsia="Arial" w:hAnsi="Arial"/>
                <w:b w:val="false"/>
                <w:bCs w:val="false"/>
                <w:color w:val="1F2937"/>
                <w:sz w:val="18"/>
                <w:szCs w:val="18"/>
              </w:rPr>
              <w:t xml:space="preserve">$20–65+/mo</w:t>
            </w:r>
          </w:p>
        </w:tc>
        <w:tc>
          <w:tcPr>
            <w:tcW w:type="dxa" w:w="1300"/>
            <w:tcMar>
              <w:top w:type="dxa" w:w="90"/>
              <w:left w:type="dxa" w:w="110"/>
              <w:bottom w:type="dxa" w:w="90"/>
              <w:right w:type="dxa" w:w="110"/>
            </w:tcMar>
          </w:tcPr>
          <w:p>
            <w:r>
              <w:rPr>
                <w:rFonts w:ascii="Arial" w:cs="Arial" w:eastAsia="Arial" w:hAnsi="Arial"/>
                <w:b w:val="false"/>
                <w:bCs w:val="false"/>
                <w:color w:val="1F2937"/>
                <w:sz w:val="18"/>
                <w:szCs w:val="18"/>
              </w:rPr>
              <w:t xml:space="preserve">Email</w:t>
            </w:r>
          </w:p>
        </w:tc>
        <w:tc>
          <w:tcPr>
            <w:tcW w:type="dxa" w:w="5100"/>
            <w:tcMar>
              <w:top w:type="dxa" w:w="90"/>
              <w:left w:type="dxa" w:w="110"/>
              <w:bottom w:type="dxa" w:w="90"/>
              <w:right w:type="dxa" w:w="110"/>
            </w:tcMar>
          </w:tcPr>
          <w:p>
            <w:r>
              <w:rPr>
                <w:rFonts w:ascii="Arial" w:cs="Arial" w:eastAsia="Arial" w:hAnsi="Arial"/>
                <w:b w:val="false"/>
                <w:bCs w:val="false"/>
                <w:color w:val="1F2937"/>
                <w:sz w:val="18"/>
                <w:szCs w:val="18"/>
              </w:rPr>
              <w:t xml:space="preserve">The Email Marketing services are already in the price catalog, but there's no live account behind them yet.</w:t>
            </w:r>
          </w:p>
        </w:tc>
      </w:tr>
      <w:tr>
        <w:tc>
          <w:tcPr>
            <w:tcW w:type="dxa" w:w="2400"/>
            <w:shd w:fill="F6F5F3" w:val="clear"/>
            <w:tcMar>
              <w:top w:type="dxa" w:w="90"/>
              <w:left w:type="dxa" w:w="110"/>
              <w:bottom w:type="dxa" w:w="90"/>
              <w:right w:type="dxa" w:w="110"/>
            </w:tcMar>
          </w:tcPr>
          <w:p>
            <w:r>
              <w:rPr>
                <w:rFonts w:ascii="Arial" w:cs="Arial" w:eastAsia="Arial" w:hAnsi="Arial"/>
                <w:b/>
                <w:bCs/>
                <w:color w:val="1F2937"/>
                <w:sz w:val="18"/>
                <w:szCs w:val="18"/>
              </w:rPr>
              <w:t xml:space="preserve">HubSpot Marketing Hub — a real account</w:t>
            </w:r>
          </w:p>
        </w:tc>
        <w:tc>
          <w:tcPr>
            <w:tcW w:type="dxa" w:w="14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$20+/seat/mo</w:t>
            </w:r>
          </w:p>
        </w:tc>
        <w:tc>
          <w:tcPr>
            <w:tcW w:type="dxa" w:w="13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CRM / Automation</w:t>
            </w:r>
          </w:p>
        </w:tc>
        <w:tc>
          <w:tcPr>
            <w:tcW w:type="dxa" w:w="51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Same gap as above — it's priced as a sellable line item but not confirmed as a tool actually in use.</w:t>
            </w:r>
          </w:p>
        </w:tc>
      </w:tr>
    </w:tbl>
    <w:p>
      <w:pPr>
        <w:pBdr>
          <w:top w:val="single" w:color="E5E7EB" w:sz="4" w:space="8"/>
        </w:pBdr>
        <w:spacing w:after="0" w:before="280"/>
      </w:pPr>
      <w:r>
        <w:rPr>
          <w:rFonts w:ascii="Arial" w:cs="Arial" w:eastAsia="Arial" w:hAnsi="Arial"/>
          <w:b/>
          <w:bCs/>
          <w:color w:val="F68D5F"/>
          <w:spacing w:val="20"/>
          <w:sz w:val="16"/>
          <w:szCs w:val="16"/>
        </w:rPr>
        <w:t xml:space="preserve">FUTURE LAUNCH</w:t>
      </w:r>
    </w:p>
    <w:p>
      <w:pPr>
        <w:spacing w:after="160" w:before="60"/>
      </w:pPr>
      <w:r>
        <w:rPr>
          <w:rFonts w:ascii="Arial" w:cs="Arial" w:eastAsia="Arial" w:hAnsi="Arial"/>
          <w:b/>
          <w:bCs/>
          <w:color w:val="1F2937"/>
          <w:sz w:val="27"/>
          <w:szCs w:val="27"/>
        </w:rPr>
        <w:t xml:space="preserve">AV / Production Equipment &amp; Software</w:t>
      </w:r>
    </w:p>
    <w:p>
      <w:pPr>
        <w:spacing w:after="180"/>
      </w:pPr>
      <w:r>
        <w:rPr>
          <w:rFonts w:ascii="Arial" w:cs="Arial" w:eastAsia="Arial" w:hAnsi="Arial"/>
          <w:i w:val="false"/>
          <w:iCs w:val="false"/>
          <w:color w:val="374151"/>
          <w:sz w:val="20"/>
          <w:szCs w:val="20"/>
        </w:rPr>
        <w:t xml:space="preserve">Revital's original business, paused while marketing funds the eventual AV/live-events launch. These are the tools and gear that unlock actually running that side again.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00"/>
      </w:tblGrid>
      <w:tr>
        <w:trPr>
          <w:tblHeader/>
        </w:trPr>
        <w:tc>
          <w:tcPr>
            <w:tcW w:type="dxa" w:w="3200"/>
            <w:shd w:fill="1A1A1A" w:val="clear"/>
            <w:tcMar>
              <w:top w:type="dxa" w:w="90"/>
              <w:left w:type="dxa" w:w="110"/>
              <w:bottom w:type="dxa" w:w="90"/>
              <w:right w:type="dxa" w:w="110"/>
            </w:tcMar>
          </w:tcPr>
          <w:p>
            <w:r>
              <w:rPr>
                <w:rFonts w:ascii="Arial" w:cs="Arial" w:eastAsia="Arial" w:hAnsi="Arial"/>
                <w:b/>
                <w:bCs/>
                <w:color w:val="FFFFFF"/>
                <w:sz w:val="17"/>
                <w:szCs w:val="17"/>
              </w:rPr>
              <w:t xml:space="preserve">Item</w:t>
            </w:r>
          </w:p>
        </w:tc>
        <w:tc>
          <w:tcPr>
            <w:tcW w:type="dxa" w:w="18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52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DaVinci Resolve Studio</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$295 one-time</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Video editing — one-time license, no subscription, ready whenever AV/production work resumes.</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Rentman</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$14–39/user/mo</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AV/event rental scheduling — crew assignments, equipment calendar and double-booking prevention, quoting-to-invoicing. Built specifically for AV rental and event production companies; syncs with QuickBooks and Stripe.</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Cheqroom</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From ~$184/mo (unlimited assets, priced per gear manager)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Equipment checkout and asset tracking — QR/barcode check-in/out for cameras, audio and lighting gear, plus maintenance scheduling. Keeps track of what's out, with whom, and what needs servicing.</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Camera / audio / lighting upgrades</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Varies, often $2,000–$10,000+</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Core AV production equipment for shoots.</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Live event AV gear (mixers, PA systems, projectors)</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Varies, often $5,000+</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Needed to actually run live events once that side of the business launches.</w:t>
            </w:r>
          </w:p>
        </w:tc>
      </w:tr>
    </w:tbl>
    <w:p>
      <w:pPr>
        <w:pBdr>
          <w:top w:val="single" w:color="E5E7EB" w:sz="4" w:space="8"/>
        </w:pBdr>
        <w:spacing w:after="0" w:before="280"/>
      </w:pPr>
      <w:r>
        <w:rPr>
          <w:rFonts w:ascii="Arial" w:cs="Arial" w:eastAsia="Arial" w:hAnsi="Arial"/>
          <w:b/>
          <w:bCs/>
          <w:color w:val="F68D5F"/>
          <w:spacing w:val="20"/>
          <w:sz w:val="16"/>
          <w:szCs w:val="16"/>
        </w:rPr>
        <w:t xml:space="preserve">RISK MANAGEMENT</w:t>
      </w:r>
    </w:p>
    <w:p>
      <w:pPr>
        <w:spacing w:after="160" w:before="60"/>
      </w:pPr>
      <w:r>
        <w:rPr>
          <w:rFonts w:ascii="Arial" w:cs="Arial" w:eastAsia="Arial" w:hAnsi="Arial"/>
          <w:b/>
          <w:bCs/>
          <w:color w:val="1F2937"/>
          <w:sz w:val="27"/>
          <w:szCs w:val="27"/>
        </w:rPr>
        <w:t xml:space="preserve">Business Protection</w:t>
      </w:r>
    </w:p>
    <w:p>
      <w:pPr>
        <w:spacing w:after="180"/>
      </w:pPr>
      <w:r>
        <w:rPr>
          <w:rFonts w:ascii="Arial" w:cs="Arial" w:eastAsia="Arial" w:hAnsi="Arial"/>
          <w:i w:val="false"/>
          <w:iCs w:val="false"/>
          <w:color w:val="374151"/>
          <w:sz w:val="20"/>
          <w:szCs w:val="20"/>
        </w:rPr>
        <w:t xml:space="preserve">None of these show up as a line item anywhere else in the Hub, and all three matter once client work involves on-site AV, live events, or paid marketing advice.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200"/>
      </w:tblGrid>
      <w:tr>
        <w:trPr>
          <w:tblHeader/>
        </w:trPr>
        <w:tc>
          <w:tcPr>
            <w:tcW w:type="dxa" w:w="3200"/>
            <w:shd w:fill="1A1A1A" w:val="clear"/>
            <w:tcMar>
              <w:top w:type="dxa" w:w="90"/>
              <w:left w:type="dxa" w:w="110"/>
              <w:bottom w:type="dxa" w:w="90"/>
              <w:right w:type="dxa" w:w="110"/>
            </w:tcMar>
          </w:tcPr>
          <w:p>
            <w:r>
              <w:rPr>
                <w:rFonts w:ascii="Arial" w:cs="Arial" w:eastAsia="Arial" w:hAnsi="Arial"/>
                <w:b/>
                <w:bCs/>
                <w:color w:val="FFFFFF"/>
                <w:sz w:val="17"/>
                <w:szCs w:val="17"/>
              </w:rPr>
              <w:t xml:space="preserve">Coverage</w:t>
            </w:r>
          </w:p>
        </w:tc>
        <w:tc>
          <w:tcPr>
            <w:tcW w:type="dxa" w:w="1800"/>
            <w:shd w:fill="1A1A1A" w:val="clear"/>
            <w:tcMar>
              <w:top w:type="dxa" w:w="90"/>
              <w:left w:type="dxa" w:w="110"/>
              <w:bottom w:type="dxa" w:w="90"/>
              <w:right w:type="dxa" w:w="110"/>
            </w:tcMar>
          </w:tcPr>
          <w:p>
            <w:r>
              <w:rPr>
                <w:rFonts w:ascii="Arial" w:cs="Arial" w:eastAsia="Arial" w:hAnsi="Arial"/>
                <w:b/>
                <w:bCs/>
                <w:color w:val="FFFFFF"/>
                <w:sz w:val="17"/>
                <w:szCs w:val="17"/>
              </w:rPr>
              <w:t xml:space="preserve">Est. Annual Cost</w:t>
            </w:r>
          </w:p>
        </w:tc>
        <w:tc>
          <w:tcPr>
            <w:tcW w:type="dxa" w:w="52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General Liability Insurance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~$400–600/yr</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Needed before any on-site AV or event work — standard for a low-risk service business.</w:t>
            </w:r>
          </w:p>
        </w:tc>
      </w:tr>
      <w:tr>
        <w:tc>
          <w:tcPr>
            <w:tcW w:type="dxa" w:w="3200"/>
            <w:shd w:fill="F6F5F3" w:val="clear"/>
            <w:tcMar>
              <w:top w:type="dxa" w:w="90"/>
              <w:left w:type="dxa" w:w="110"/>
              <w:bottom w:type="dxa" w:w="90"/>
              <w:right w:type="dxa" w:w="110"/>
            </w:tcMar>
          </w:tcPr>
          <w:p>
            <w:r>
              <w:rPr>
                <w:rFonts w:ascii="Arial" w:cs="Arial" w:eastAsia="Arial" w:hAnsi="Arial"/>
                <w:b/>
                <w:bCs/>
                <w:color w:val="1F2937"/>
                <w:sz w:val="18"/>
                <w:szCs w:val="18"/>
              </w:rPr>
              <w:t xml:space="preserve">Errors &amp; Omissions (E&amp;O) Insurance</w:t>
            </w:r>
          </w:p>
        </w:tc>
        <w:tc>
          <w:tcPr>
            <w:tcW w:type="dxa" w:w="18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~$500–1,500/yr</w:t>
            </w:r>
          </w:p>
        </w:tc>
        <w:tc>
          <w:tcPr>
            <w:tcW w:type="dxa" w:w="52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Protects against client disputes over marketing or consulting advice given.</w:t>
            </w:r>
          </w:p>
        </w:tc>
      </w:tr>
      <w:tr>
        <w:tc>
          <w:tcPr>
            <w:tcW w:type="dxa" w:w="3200"/>
            <w:tcMar>
              <w:top w:type="dxa" w:w="90"/>
              <w:left w:type="dxa" w:w="110"/>
              <w:bottom w:type="dxa" w:w="90"/>
              <w:right w:type="dxa" w:w="110"/>
            </w:tcMar>
          </w:tcPr>
          <w:p>
            <w:r>
              <w:rPr>
                <w:rFonts w:ascii="Arial" w:cs="Arial" w:eastAsia="Arial" w:hAnsi="Arial"/>
                <w:b/>
                <w:bCs/>
                <w:color w:val="1F2937"/>
                <w:sz w:val="18"/>
                <w:szCs w:val="18"/>
              </w:rPr>
              <w:t xml:space="preserve">Equipment / Inland Marine Insurance</w:t>
            </w:r>
          </w:p>
        </w:tc>
        <w:tc>
          <w:tcPr>
            <w:tcW w:type="dxa" w:w="1800"/>
            <w:tcMar>
              <w:top w:type="dxa" w:w="90"/>
              <w:left w:type="dxa" w:w="110"/>
              <w:bottom w:type="dxa" w:w="90"/>
              <w:right w:type="dxa" w:w="110"/>
            </w:tcMar>
          </w:tcPr>
          <w:p>
            <w:r>
              <w:rPr>
                <w:rFonts w:ascii="Arial" w:cs="Arial" w:eastAsia="Arial" w:hAnsi="Arial"/>
                <w:b w:val="false"/>
                <w:bCs w:val="false"/>
                <w:color w:val="1F2937"/>
                <w:sz w:val="18"/>
                <w:szCs w:val="18"/>
              </w:rPr>
              <w:t xml:space="preserve">~$500–550/yr (avg. $43/mo)</w:t>
            </w:r>
          </w:p>
        </w:tc>
        <w:tc>
          <w:tcPr>
            <w:tcW w:type="dxa" w:w="5200"/>
            <w:tcMar>
              <w:top w:type="dxa" w:w="90"/>
              <w:left w:type="dxa" w:w="110"/>
              <w:bottom w:type="dxa" w:w="90"/>
              <w:right w:type="dxa" w:w="110"/>
            </w:tcMar>
          </w:tcPr>
          <w:p>
            <w:r>
              <w:rPr>
                <w:rFonts w:ascii="Arial" w:cs="Arial" w:eastAsia="Arial" w:hAnsi="Arial"/>
                <w:b w:val="false"/>
                <w:bCs w:val="false"/>
                <w:color w:val="1F2937"/>
                <w:sz w:val="18"/>
                <w:szCs w:val="18"/>
              </w:rPr>
              <w:t xml:space="preserve">Different from GL and E&amp;O — covers the AV gear itself (cameras, lighting, drones) against loss, theft or damage in transit or on-site. Worth having once real equipment purchases start.</w:t>
            </w:r>
          </w:p>
        </w:tc>
      </w:tr>
    </w:tbl>
    <w:p>
      <w:pPr>
        <w:pBdr>
          <w:top w:val="single" w:color="E5E7EB" w:sz="4" w:space="8"/>
        </w:pBdr>
        <w:spacing w:after="0" w:before="280"/>
      </w:pPr>
      <w:r>
        <w:rPr>
          <w:rFonts w:ascii="Arial" w:cs="Arial" w:eastAsia="Arial" w:hAnsi="Arial"/>
          <w:b/>
          <w:bCs/>
          <w:color w:val="F68D5F"/>
          <w:spacing w:val="20"/>
          <w:sz w:val="16"/>
          <w:szCs w:val="16"/>
        </w:rPr>
        <w:t xml:space="preserve">DAY-TO-DAY OPERATIONS</w:t>
      </w:r>
    </w:p>
    <w:p>
      <w:pPr>
        <w:spacing w:after="160" w:before="60"/>
      </w:pPr>
      <w:r>
        <w:rPr>
          <w:rFonts w:ascii="Arial" w:cs="Arial" w:eastAsia="Arial" w:hAnsi="Arial"/>
          <w:b/>
          <w:bCs/>
          <w:color w:val="1F2937"/>
          <w:sz w:val="27"/>
          <w:szCs w:val="27"/>
        </w:rPr>
        <w:t xml:space="preserve">Business Operations</w:t>
      </w:r>
    </w:p>
    <w:p>
      <w:pPr>
        <w:spacing w:after="180"/>
      </w:pPr>
      <w:r>
        <w:rPr>
          <w:rFonts w:ascii="Arial" w:cs="Arial" w:eastAsia="Arial" w:hAnsi="Arial"/>
          <w:i w:val="false"/>
          <w:iCs w:val="false"/>
          <w:color w:val="374151"/>
          <w:sz w:val="20"/>
          <w:szCs w:val="20"/>
        </w:rPr>
        <w:t xml:space="preserve">A few operational gaps that aren't marketing- or AV-specific, but affect how the business runs day to day.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600"/>
      </w:tblGrid>
      <w:tr>
        <w:trPr>
          <w:tblHeader/>
        </w:trPr>
        <w:tc>
          <w:tcPr>
            <w:tcW w:type="dxa" w:w="2600"/>
            <w:shd w:fill="1A1A1A" w:val="clear"/>
            <w:tcMar>
              <w:top w:type="dxa" w:w="90"/>
              <w:left w:type="dxa" w:w="110"/>
              <w:bottom w:type="dxa" w:w="90"/>
              <w:right w:type="dxa" w:w="110"/>
            </w:tcMar>
          </w:tcPr>
          <w:p>
            <w:r>
              <w:rPr>
                <w:rFonts w:ascii="Arial" w:cs="Arial" w:eastAsia="Arial" w:hAnsi="Arial"/>
                <w:b/>
                <w:bCs/>
                <w:color w:val="FFFFFF"/>
                <w:sz w:val="17"/>
                <w:szCs w:val="17"/>
              </w:rPr>
              <w:t xml:space="preserve">Tool</w:t>
            </w:r>
          </w:p>
        </w:tc>
        <w:tc>
          <w:tcPr>
            <w:tcW w:type="dxa" w:w="3000"/>
            <w:shd w:fill="1A1A1A" w:val="clear"/>
            <w:tcMar>
              <w:top w:type="dxa" w:w="90"/>
              <w:left w:type="dxa" w:w="110"/>
              <w:bottom w:type="dxa" w:w="90"/>
              <w:right w:type="dxa" w:w="110"/>
            </w:tcMar>
          </w:tcPr>
          <w:p>
            <w:r>
              <w:rPr>
                <w:rFonts w:ascii="Arial" w:cs="Arial" w:eastAsia="Arial" w:hAnsi="Arial"/>
                <w:b/>
                <w:bCs/>
                <w:color w:val="FFFFFF"/>
                <w:sz w:val="17"/>
                <w:szCs w:val="17"/>
              </w:rPr>
              <w:t xml:space="preserve">Est. Cost</w:t>
            </w:r>
          </w:p>
        </w:tc>
        <w:tc>
          <w:tcPr>
            <w:tcW w:type="dxa" w:w="4600"/>
            <w:shd w:fill="1A1A1A" w:val="clear"/>
            <w:tcMar>
              <w:top w:type="dxa" w:w="90"/>
              <w:left w:type="dxa" w:w="110"/>
              <w:bottom w:type="dxa" w:w="90"/>
              <w:right w:type="dxa" w:w="110"/>
            </w:tcMar>
          </w:tcPr>
          <w:p>
            <w:r>
              <w:rPr>
                <w:rFonts w:ascii="Arial" w:cs="Arial" w:eastAsia="Arial" w:hAnsi="Arial"/>
                <w:b/>
                <w:bCs/>
                <w:color w:val="FFFFFF"/>
                <w:sz w:val="17"/>
                <w:szCs w:val="17"/>
              </w:rPr>
              <w:t xml:space="preserve">Why It's Needed</w:t>
            </w:r>
          </w:p>
        </w:tc>
      </w:tr>
      <w:tr>
        <w:tc>
          <w:tcPr>
            <w:tcW w:type="dxa" w:w="2600"/>
            <w:tcMar>
              <w:top w:type="dxa" w:w="90"/>
              <w:left w:type="dxa" w:w="110"/>
              <w:bottom w:type="dxa" w:w="90"/>
              <w:right w:type="dxa" w:w="110"/>
            </w:tcMar>
          </w:tcPr>
          <w:p>
            <w:r>
              <w:rPr>
                <w:rFonts w:ascii="Arial" w:cs="Arial" w:eastAsia="Arial" w:hAnsi="Arial"/>
                <w:b/>
                <w:bCs/>
                <w:color w:val="1F2937"/>
                <w:sz w:val="18"/>
                <w:szCs w:val="18"/>
              </w:rPr>
              <w:t xml:space="preserve">Dropbox Sign (HelloSign)</w:t>
            </w:r>
          </w:p>
        </w:tc>
        <w:tc>
          <w:tcPr>
            <w:tcW w:type="dxa" w:w="3000"/>
            <w:tcMar>
              <w:top w:type="dxa" w:w="90"/>
              <w:left w:type="dxa" w:w="110"/>
              <w:bottom w:type="dxa" w:w="90"/>
              <w:right w:type="dxa" w:w="110"/>
            </w:tcMar>
          </w:tcPr>
          <w:p>
            <w:r>
              <w:rPr>
                <w:rFonts w:ascii="Arial" w:cs="Arial" w:eastAsia="Arial" w:hAnsi="Arial"/>
                <w:b w:val="false"/>
                <w:bCs w:val="false"/>
                <w:color w:val="1F2937"/>
                <w:sz w:val="18"/>
                <w:szCs w:val="18"/>
              </w:rPr>
              <w:t xml:space="preserve">$15/mo</w:t>
            </w:r>
          </w:p>
        </w:tc>
        <w:tc>
          <w:tcPr>
            <w:tcW w:type="dxa" w:w="4600"/>
            <w:tcMar>
              <w:top w:type="dxa" w:w="90"/>
              <w:left w:type="dxa" w:w="110"/>
              <w:bottom w:type="dxa" w:w="90"/>
              <w:right w:type="dxa" w:w="110"/>
            </w:tcMar>
          </w:tcPr>
          <w:p>
            <w:r>
              <w:rPr>
                <w:rFonts w:ascii="Arial" w:cs="Arial" w:eastAsia="Arial" w:hAnsi="Arial"/>
                <w:b w:val="false"/>
                <w:bCs w:val="false"/>
                <w:color w:val="1F2937"/>
                <w:sz w:val="18"/>
                <w:szCs w:val="18"/>
              </w:rPr>
              <w:t xml:space="preserve">Legally binding e-signatures on contracts — you already have a full setup guide for this saved ("E-Signature Setup Guide"), just waiting on the $15/mo. Replaces the current print/sign/scan process.</w:t>
            </w:r>
          </w:p>
        </w:tc>
      </w:tr>
      <w:tr>
        <w:tc>
          <w:tcPr>
            <w:tcW w:type="dxa" w:w="2600"/>
            <w:shd w:fill="F6F5F3" w:val="clear"/>
            <w:tcMar>
              <w:top w:type="dxa" w:w="90"/>
              <w:left w:type="dxa" w:w="110"/>
              <w:bottom w:type="dxa" w:w="90"/>
              <w:right w:type="dxa" w:w="110"/>
            </w:tcMar>
          </w:tcPr>
          <w:p>
            <w:r>
              <w:rPr>
                <w:rFonts w:ascii="Arial" w:cs="Arial" w:eastAsia="Arial" w:hAnsi="Arial"/>
                <w:b/>
                <w:bCs/>
                <w:color w:val="1F2937"/>
                <w:sz w:val="18"/>
                <w:szCs w:val="18"/>
              </w:rPr>
              <w:t xml:space="preserve">OpenPhone (or Grasshopper)</w:t>
            </w:r>
          </w:p>
        </w:tc>
        <w:tc>
          <w:tcPr>
            <w:tcW w:type="dxa" w:w="30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$15–23/user/mo + ~$20 one-time registration</w:t>
            </w:r>
          </w:p>
        </w:tc>
        <w:tc>
          <w:tcPr>
            <w:tcW w:type="dxa" w:w="4600"/>
            <w:shd w:fill="F6F5F3" w:val="clear"/>
            <w:tcMar>
              <w:top w:type="dxa" w:w="90"/>
              <w:left w:type="dxa" w:w="110"/>
              <w:bottom w:type="dxa" w:w="90"/>
              <w:right w:type="dxa" w:w="110"/>
            </w:tcMar>
          </w:tcPr>
          <w:p>
            <w:r>
              <w:rPr>
                <w:rFonts w:ascii="Arial" w:cs="Arial" w:eastAsia="Arial" w:hAnsi="Arial"/>
                <w:b w:val="false"/>
                <w:bCs w:val="false"/>
                <w:color w:val="1F2937"/>
                <w:sz w:val="18"/>
                <w:szCs w:val="18"/>
              </w:rPr>
              <w:t xml:space="preserve">A real business phone line, separate from your personal cell — useful right now for calling/texting the leads that only have phone numbers on file, and standard once you're doing business development at any real volume.</w:t>
            </w:r>
          </w:p>
        </w:tc>
      </w:tr>
      <w:tr>
        <w:tc>
          <w:tcPr>
            <w:tcW w:type="dxa" w:w="2600"/>
            <w:tcMar>
              <w:top w:type="dxa" w:w="90"/>
              <w:left w:type="dxa" w:w="110"/>
              <w:bottom w:type="dxa" w:w="90"/>
              <w:right w:type="dxa" w:w="110"/>
            </w:tcMar>
          </w:tcPr>
          <w:p>
            <w:r>
              <w:rPr>
                <w:rFonts w:ascii="Arial" w:cs="Arial" w:eastAsia="Arial" w:hAnsi="Arial"/>
                <w:b/>
                <w:bCs/>
                <w:color w:val="1F2937"/>
                <w:sz w:val="18"/>
                <w:szCs w:val="18"/>
              </w:rPr>
              <w:t xml:space="preserve">Bitwarden Teams (or 1Password)</w:t>
            </w:r>
          </w:p>
        </w:tc>
        <w:tc>
          <w:tcPr>
            <w:tcW w:type="dxa" w:w="3000"/>
            <w:tcMar>
              <w:top w:type="dxa" w:w="90"/>
              <w:left w:type="dxa" w:w="110"/>
              <w:bottom w:type="dxa" w:w="90"/>
              <w:right w:type="dxa" w:w="110"/>
            </w:tcMar>
          </w:tcPr>
          <w:p>
            <w:r>
              <w:rPr>
                <w:rFonts w:ascii="Arial" w:cs="Arial" w:eastAsia="Arial" w:hAnsi="Arial"/>
                <w:b w:val="false"/>
                <w:bCs w:val="false"/>
                <w:color w:val="1F2937"/>
                <w:sz w:val="18"/>
                <w:szCs w:val="18"/>
              </w:rPr>
              <w:t xml:space="preserve">$4/user/mo (Bitwarden) or $19.95/mo flat for up to 10 (1Password Teams Starter)</w:t>
            </w:r>
          </w:p>
        </w:tc>
        <w:tc>
          <w:tcPr>
            <w:tcW w:type="dxa" w:w="4600"/>
            <w:tcMar>
              <w:top w:type="dxa" w:w="90"/>
              <w:left w:type="dxa" w:w="110"/>
              <w:bottom w:type="dxa" w:w="90"/>
              <w:right w:type="dxa" w:w="110"/>
            </w:tcMar>
          </w:tcPr>
          <w:p>
            <w:r>
              <w:rPr>
                <w:rFonts w:ascii="Arial" w:cs="Arial" w:eastAsia="Arial" w:hAnsi="Arial"/>
                <w:b w:val="false"/>
                <w:bCs w:val="false"/>
                <w:color w:val="1F2937"/>
                <w:sz w:val="18"/>
                <w:szCs w:val="18"/>
              </w:rPr>
              <w:t xml:space="preserve">Shared, audited access to logins — ClickUp, Stripe, ad accounts, social accounts — instead of passing passwords around directly. Worth having before the team grows past just you.</w:t>
            </w:r>
          </w:p>
        </w:tc>
      </w:tr>
    </w:tbl>
    <w:p>
      <w:pPr>
        <w:pBdr>
          <w:top w:val="single" w:color="E5E7EB" w:sz="4" w:space="8"/>
        </w:pBdr>
        <w:spacing w:after="0" w:before="280"/>
      </w:pPr>
      <w:r>
        <w:rPr>
          <w:rFonts w:ascii="Arial" w:cs="Arial" w:eastAsia="Arial" w:hAnsi="Arial"/>
          <w:b/>
          <w:bCs/>
          <w:color w:val="F68D5F"/>
          <w:spacing w:val="20"/>
          <w:sz w:val="16"/>
          <w:szCs w:val="16"/>
        </w:rPr>
        <w:t xml:space="preserve">REFERENCE</w:t>
      </w:r>
    </w:p>
    <w:p>
      <w:pPr>
        <w:spacing w:after="160" w:before="60"/>
      </w:pPr>
      <w:r>
        <w:rPr>
          <w:rFonts w:ascii="Arial" w:cs="Arial" w:eastAsia="Arial" w:hAnsi="Arial"/>
          <w:b/>
          <w:bCs/>
          <w:color w:val="1F2937"/>
          <w:sz w:val="27"/>
          <w:szCs w:val="27"/>
        </w:rPr>
        <w:t xml:space="preserve">Note on Sequencing</w:t>
      </w:r>
    </w:p>
    <w:p>
      <w:pPr>
        <w:spacing w:after="180"/>
      </w:pPr>
      <w:r>
        <w:rPr>
          <w:rFonts w:ascii="Arial" w:cs="Arial" w:eastAsia="Arial" w:hAnsi="Arial"/>
          <w:i w:val="false"/>
          <w:iCs w:val="false"/>
          <w:color w:val="374151"/>
          <w:sz w:val="20"/>
          <w:szCs w:val="20"/>
        </w:rPr>
        <w:t xml:space="preserve">None of this needs to happen at once. The Marketing Service Delivery tools are the most immediate gap — they directly affect what you can actually deliver on services already priced and sold today. The AV equipment and insurance matter most right before that side of the business restarts, not before.</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9CA3AF"/>
        <w:spacing w:val="6"/>
        <w:sz w:val="14"/>
        <w:szCs w:val="14"/>
      </w:rPr>
      <w:t xml:space="preserve">REVITAL PRODUCTIONS — SOFTWARE &amp; INSURANCE WISHLIST</w:t>
    </w:r>
    <w:r>
      <w:rPr>
        <w:rFonts w:ascii="Arial" w:cs="Arial" w:eastAsia="Arial" w:hAnsi="Arial"/>
        <w:sz w:val="14"/>
        <w:szCs w:val="14"/>
      </w:rPr>
      <w:t xml:space="preserve">	</w:t>
    </w:r>
    <w:r>
      <w:rPr>
        <w:rFonts w:ascii="Arial" w:cs="Arial" w:eastAsia="Arial" w:hAnsi="Arial"/>
        <w:color w:val="9CA3AF"/>
        <w:sz w:val="14"/>
        <w:szCs w:val="14"/>
      </w:rPr>
      <w:t xml:space="preserve">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db4ee445cdcb6a567be749da4c120e02501c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2026-07-22T21:22:29.336Z</dcterms:created>
  <dcterms:modified xsi:type="dcterms:W3CDTF">2026-07-22T21:22:29.337Z</dcterms:modified>
</cp:coreProperties>
</file>

<file path=docProps/custom.xml><?xml version="1.0" encoding="utf-8"?>
<Properties xmlns="http://schemas.openxmlformats.org/officeDocument/2006/custom-properties" xmlns:vt="http://schemas.openxmlformats.org/officeDocument/2006/docPropsVTypes"/>
</file>