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cantSplit/>
          <w:trHeight w:val="9300" w:hRule="exact"/>
        </w:trPr>
        <w:tc>
          <w:tcPr>
            <w:tcW w:type="dxa" w:w="12240"/>
            <w:shd w:fill="1C1C18" w:val="clear"/>
            <w:tcMar>
              <w:top w:type="dxa" w:w="0"/>
              <w:left w:type="dxa" w:w="1600"/>
              <w:bottom w:type="dxa" w:w="0"/>
              <w:right w:type="dxa" w:w="1600"/>
            </w:tcMar>
            <w:vAlign w:val="center"/>
          </w:tcPr>
          <w:p>
            <w:pPr>
              <w:spacing w:after="500"/>
              <w:jc w:val="center"/>
            </w:pPr>
            <w:r>
              <w:drawing>
                <wp:inline distT="0" distB="0" distL="0" distR="0">
                  <wp:extent cx="2476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800100"/>
                          </a:xfrm>
                          <a:prstGeom prst="rect">
                            <a:avLst/>
                          </a:prstGeom>
                        </pic:spPr>
                      </pic:pic>
                    </a:graphicData>
                  </a:graphic>
                </wp:inline>
              </w:drawing>
            </w:r>
          </w:p>
          <w:p>
            <w:pPr>
              <w:spacing w:after="220"/>
              <w:jc w:val="center"/>
            </w:pPr>
            <w:r>
              <w:rPr>
                <w:rFonts w:ascii="Arial" w:cs="Arial" w:eastAsia="Arial" w:hAnsi="Arial"/>
                <w:b/>
                <w:bCs/>
                <w:color w:val="F68D5F"/>
                <w:spacing w:val="30"/>
                <w:sz w:val="18"/>
                <w:szCs w:val="18"/>
              </w:rPr>
              <w:t xml:space="preserve">REVITAL PRODUCTIONS</w:t>
            </w:r>
          </w:p>
          <w:p>
            <w:pPr>
              <w:spacing w:after="300"/>
              <w:jc w:val="center"/>
            </w:pPr>
            <w:r>
              <w:rPr>
                <w:rFonts w:ascii="Arial" w:cs="Arial" w:eastAsia="Arial" w:hAnsi="Arial"/>
                <w:b/>
                <w:bCs/>
                <w:color w:val="FFFFFF"/>
                <w:sz w:val="44"/>
                <w:szCs w:val="44"/>
              </w:rPr>
              <w:t xml:space="preserve">Software &amp; Insurance Wishlist</w:t>
            </w:r>
          </w:p>
          <w:p>
            <w:pPr>
              <w:spacing w:after="0"/>
              <w:jc w:val="center"/>
            </w:pPr>
            <w:r>
              <w:rPr>
                <w:rFonts w:ascii="Arial" w:cs="Arial" w:eastAsia="Arial" w:hAnsi="Arial"/>
                <w:color w:val="B0B0AA"/>
                <w:sz w:val="21"/>
                <w:szCs w:val="21"/>
              </w:rPr>
              <w:t xml:space="preserve">What Revital needs to fully deliver on the services already being sold — and the tools blocked purely by budget, not by need.</w:t>
            </w:r>
          </w:p>
        </w:tc>
      </w:tr>
      <w:tr>
        <w:trPr>
          <w:cantSplit/>
          <w:trHeight w:val="5800" w:hRule="exact"/>
        </w:trPr>
        <w:tc>
          <w:tcPr>
            <w:tcW w:type="dxa" w:w="12240"/>
            <w:tcBorders>
              <w:bottom w:val="single" w:color="F68D5F" w:sz="140" w:space="0"/>
            </w:tcBorders>
            <w:shd w:fill="1C1C18" w:val="clear"/>
            <w:tcMar>
              <w:top w:type="dxa" w:w="0"/>
              <w:left w:type="dxa" w:w="1600"/>
              <w:bottom w:type="dxa" w:w="260"/>
              <w:right w:type="dxa" w:w="1600"/>
            </w:tcMar>
            <w:vAlign w:val="bottom"/>
          </w:tcPr>
          <w:p>
            <w:pPr>
              <w:spacing w:after="260"/>
              <w:jc w:val="center"/>
            </w:pPr>
            <w:r>
              <w:rPr>
                <w:rFonts w:ascii="Arial" w:cs="Arial" w:eastAsia="Arial" w:hAnsi="Arial"/>
                <w:color w:val="8A8A84"/>
                <w:spacing w:val="10"/>
                <w:sz w:val="15"/>
                <w:szCs w:val="15"/>
              </w:rPr>
              <w:t xml:space="preserve">SAVE FOR WHEN BUDGET ALLOWS  •  INTERNAL REFERENCE  •  JULY 2026</w:t>
            </w:r>
          </w:p>
        </w:tc>
      </w:tr>
    </w:tbl>
    <w:p>
      <w:pPr>
        <w:sectPr>
          <w:pgSz w:w="12240" w:h="15840" w:orient="portrait"/>
          <w:pgMar w:top="0" w:right="0" w:bottom="0" w:left="0" w:header="0" w:footer="0" w:gutter="0"/>
          <w:pgNumType/>
          <w:docGrid w:linePitch="360"/>
        </w:sectPr>
      </w:pPr>
    </w:p>
    <w:p>
      <w:pPr>
        <w:pBdr>
          <w:top w:val="single" w:color="E5E7EB" w:sz="4" w:space="8"/>
        </w:pBdr>
        <w:spacing w:after="0" w:before="280"/>
      </w:pPr>
      <w:r>
        <w:rPr>
          <w:rFonts w:ascii="Arial" w:cs="Arial" w:eastAsia="Arial" w:hAnsi="Arial"/>
          <w:b/>
          <w:bCs/>
          <w:color w:val="F68D5F"/>
          <w:spacing w:val="20"/>
          <w:sz w:val="16"/>
          <w:szCs w:val="16"/>
        </w:rPr>
        <w:t xml:space="preserve">ABOUT THIS DOCUMENT</w:t>
      </w:r>
    </w:p>
    <w:p>
      <w:pPr>
        <w:spacing w:after="160" w:before="60"/>
      </w:pPr>
      <w:r>
        <w:rPr>
          <w:rFonts w:ascii="Arial" w:cs="Arial" w:eastAsia="Arial" w:hAnsi="Arial"/>
          <w:b/>
          <w:bCs/>
          <w:color w:val="1F2937"/>
          <w:sz w:val="27"/>
          <w:szCs w:val="27"/>
        </w:rPr>
        <w:t xml:space="preserve">What This Covers</w:t>
      </w:r>
    </w:p>
    <w:p>
      <w:pPr>
        <w:spacing w:after="180"/>
      </w:pPr>
      <w:r>
        <w:rPr>
          <w:rFonts w:ascii="Arial" w:cs="Arial" w:eastAsia="Arial" w:hAnsi="Arial"/>
          <w:i w:val="false"/>
          <w:iCs w:val="false"/>
          <w:color w:val="374151"/>
          <w:sz w:val="20"/>
          <w:szCs w:val="20"/>
        </w:rPr>
        <w:t xml:space="preserve">This is deliberately separate from the Technology Stack &amp; Future-Proof Growth Plan. That document covers tools triggered by headcount and revenue milestones — QuickBooks upgrades, Gusto, BambooHR, Rippling, Productive. Nothing here duplicates that list. This one covers gaps that exist right now, at 3 people, with active clients — not gaps that show up later as the team grows.</w:t>
      </w:r>
    </w:p>
    <w:p>
      <w:pPr>
        <w:pBdr>
          <w:top w:val="single" w:color="E5E7EB" w:sz="4" w:space="8"/>
        </w:pBdr>
        <w:spacing w:after="0" w:before="280"/>
      </w:pPr>
      <w:r>
        <w:rPr>
          <w:rFonts w:ascii="Arial" w:cs="Arial" w:eastAsia="Arial" w:hAnsi="Arial"/>
          <w:b/>
          <w:bCs/>
          <w:color w:val="F68D5F"/>
          <w:spacing w:val="20"/>
          <w:sz w:val="16"/>
          <w:szCs w:val="16"/>
        </w:rPr>
        <w:t xml:space="preserve">GAPS TODAY</w:t>
      </w:r>
    </w:p>
    <w:p>
      <w:pPr>
        <w:spacing w:after="160" w:before="60"/>
      </w:pPr>
      <w:r>
        <w:rPr>
          <w:rFonts w:ascii="Arial" w:cs="Arial" w:eastAsia="Arial" w:hAnsi="Arial"/>
          <w:b/>
          <w:bCs/>
          <w:color w:val="1F2937"/>
          <w:sz w:val="27"/>
          <w:szCs w:val="27"/>
        </w:rPr>
        <w:t xml:space="preserve">Marketing Service Delivery Tools</w:t>
      </w:r>
    </w:p>
    <w:p>
      <w:pPr>
        <w:spacing w:after="180"/>
      </w:pPr>
      <w:r>
        <w:rPr>
          <w:rFonts w:ascii="Arial" w:cs="Arial" w:eastAsia="Arial" w:hAnsi="Arial"/>
          <w:i w:val="false"/>
          <w:iCs w:val="false"/>
          <w:color w:val="374151"/>
          <w:sz w:val="20"/>
          <w:szCs w:val="20"/>
        </w:rPr>
        <w:t xml:space="preserve">Several services in the Service Pricing Admin catalog — SEO, Email Marketing, Reporting, the new Branding &amp; Design category — are sellable today but don't have a real tool behind them yet.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5100"/>
      </w:tblGrid>
      <w:tr>
        <w:trPr>
          <w:tblHeader/>
        </w:trPr>
        <w:tc>
          <w:tcPr>
            <w:tcW w:type="dxa" w:w="24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14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1300"/>
            <w:shd w:fill="1A1A1A" w:val="clear"/>
            <w:tcMar>
              <w:top w:type="dxa" w:w="90"/>
              <w:left w:type="dxa" w:w="110"/>
              <w:bottom w:type="dxa" w:w="90"/>
              <w:right w:type="dxa" w:w="110"/>
            </w:tcMar>
          </w:tcPr>
          <w:p>
            <w:r>
              <w:rPr>
                <w:rFonts w:ascii="Arial" w:cs="Arial" w:eastAsia="Arial" w:hAnsi="Arial"/>
                <w:b/>
                <w:bCs/>
                <w:color w:val="FFFFFF"/>
                <w:sz w:val="17"/>
                <w:szCs w:val="17"/>
              </w:rPr>
              <w:t xml:space="preserve">Category</w:t>
            </w:r>
          </w:p>
        </w:tc>
        <w:tc>
          <w:tcPr>
            <w:tcW w:type="dxa" w:w="51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Ahrefs or SEMrush</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$129–249/mo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SEO</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Real keyword research, rank tracking and backlink audits for the SEO services already in the price sheet — right now that work is manual or free-tool based.</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Buffer or Sprout Social</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$5–199/mo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Social</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Actual scheduling/publishing for Organic Social &amp; Paid Social instead of posting manually to every platform.</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Adobe Creative Cloud or Canva Pro</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$15–70/mo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Design</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Needed to deliver the new Branding &amp; Design services — logo design, brand guides, social templates.</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AgencyAnalytics</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$59–229/mo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Reporting</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Automates Monthly Report Delivery and the various Reporting line items instead of hand-building client reports.</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Klaviyo or Mailchimp — a real account</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$20–65+/mo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Email</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The Email Marketing services are already in the price catalog, but there's no live account behind them yet.</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HubSpot Marketing Hub — a real account</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$20+/seat/mo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CRM / Automation</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Same gap as above — it's priced as a sellable line item but not confirmed as a tool actually in use.</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Framer</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From ~$15–35/mo per site</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Web Dev</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For client sites where design speed/animation matters most — portfolios, campaign pages, service-based sites without heavy content or e-commerce.</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Webflow</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$19–39/mo per site</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Web Dev</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For client sites needing deeper CMS control, technical SEO, or small-scale native e-commerce that Framer can't handle well.</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Shopify Plus</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~$2,300/mo+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Web Dev / E-commerce</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For a client whose store outgrows small-scale — fastest to launch, biggest app ecosystem, best for high-volume selling without heavy customization. Base fee plus a small % of sales past $800K/mo.</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BigCommerce Enterprise</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$1,000–15,000+/mo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Web Dev / E-commerce</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Alternative to Shopify Plus for a client with a large/complex catalog, B2B pricing rules, or multi-storefront needs — more native features, fewer paid apps required. Custom-quoted by volume.</w:t>
            </w:r>
          </w:p>
        </w:tc>
      </w:tr>
    </w:tbl>
    <w:p>
      <w:pPr>
        <w:pBdr>
          <w:top w:val="single" w:color="E5E7EB" w:sz="4" w:space="8"/>
        </w:pBdr>
        <w:spacing w:after="0" w:before="280"/>
      </w:pPr>
      <w:r>
        <w:rPr>
          <w:rFonts w:ascii="Arial" w:cs="Arial" w:eastAsia="Arial" w:hAnsi="Arial"/>
          <w:b/>
          <w:bCs/>
          <w:color w:val="F68D5F"/>
          <w:spacing w:val="20"/>
          <w:sz w:val="16"/>
          <w:szCs w:val="16"/>
        </w:rPr>
        <w:t xml:space="preserve">FUTURE LAUNCH</w:t>
      </w:r>
    </w:p>
    <w:p>
      <w:pPr>
        <w:spacing w:after="160" w:before="60"/>
      </w:pPr>
      <w:r>
        <w:rPr>
          <w:rFonts w:ascii="Arial" w:cs="Arial" w:eastAsia="Arial" w:hAnsi="Arial"/>
          <w:b/>
          <w:bCs/>
          <w:color w:val="1F2937"/>
          <w:sz w:val="27"/>
          <w:szCs w:val="27"/>
        </w:rPr>
        <w:t xml:space="preserve">AV / Production Equipment &amp; Software</w:t>
      </w:r>
    </w:p>
    <w:p>
      <w:pPr>
        <w:spacing w:after="180"/>
      </w:pPr>
      <w:r>
        <w:rPr>
          <w:rFonts w:ascii="Arial" w:cs="Arial" w:eastAsia="Arial" w:hAnsi="Arial"/>
          <w:i w:val="false"/>
          <w:iCs w:val="false"/>
          <w:color w:val="374151"/>
          <w:sz w:val="20"/>
          <w:szCs w:val="20"/>
        </w:rPr>
        <w:t xml:space="preserve">Revital's original business, paused while marketing funds the eventual AV/live-events launch. These are the tools and gear that unlock actually running that side again.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Item</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DaVinci Resolve Studio (additional seats)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$295 one-time/seat</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You already have a license — this is for when additional editors/team members need their own copy. One-time cost per seat, no subscription.</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Rentman</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$14–39/user/mo</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AV/event rental scheduling — crew assignments, equipment calendar and double-booking prevention, quoting-to-invoicing. Built specifically for AV rental and event production companies; syncs with QuickBooks and Stripe.</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Cheqroom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From ~$184/mo (unlimited assets, priced per gear manager)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Equipment checkout and asset tracking — QR/barcode check-in/out for cameras, audio and lighting gear, plus maintenance scheduling. Keeps track of what's out, with whom, and what needs servicing.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Camera / audio / lighting upgrades</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Varies, often $2,000–$10,000+</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Core AV production equipment for shoots.</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Live event AV gear (mixers, PA systems, projectors)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Varies, often $5,000+</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to actually run live events once that side of the business launches.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Vectorworks Spotlight</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$153/mo or ~$2,530/yr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AV/lighting/rigging technical drawings — precise 2D/3D floor plans, lighting plots, truss and staging diagrams. Pairs with Braceworks for structural rigging calculations. The standard tool for touring and corporate AV production.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Braceworks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~$300–500/yr add-on</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Structural rigging load calculations for hanging speaker arrays and trussing — the actual safety math, not just the drawing. A separate paid add-on to Vectorworks Spotlight; only bundled with a Spotlight or Design Suite subscription, not included by default.</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Allseated (rebranded Prismm)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Custom quote — no published pricing</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Client-facing 3D floor plans, seating charts, and AR/VR walkthroughs for corporate events, weddings and banquets. Real-time collaboration with clients before the event.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SketchUp</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 $820/yr by tier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Fast, low-cost 2D/3D room and staging mockups. Good entry point to start learning the floor-plan workflow now, before investing in Vectorworks once live-event bookings are real.</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QLab</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 (basic) – $299–$999 one-time (Audio/Video/Lighting licenses)</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Cue-based show control for macOS — sequences audio, video and lighting cues into one timeline triggered live during a show. Standard for corporate AV and theatrical show calling.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Shure Wireless Workbench (WWB)</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RF frequency coordination — plans wireless mic/IEM frequencies ahead of a show to avoid interference. Essential once multiple wireless mics are running in the same room as other RF traffic.</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L-Acoustics Soundvision / d&amp;b ArrayCalc</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 (manufacturer-specific)</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Speaker system prediction software — models a venue's dimensions and simulates PA coverage/SPL before load-in, so hang points and box counts are planned, not guessed. Which one to use depends on the PA brand being rented.</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vMix</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(Basic HD, 720p) – from $60 one-time (perpetual license, no subscription)</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Live multi-camera video switching, graphics overlays, recording and streaming for hybrid/livestreamed events. One-time license, no recurring cost.</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Capture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Licensed per fixture count (custom pricing)</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Offline lighting visualizer and console programmer — pre-program and preview lighting cues on a laptop before load-in instead of programming live on-site. Pairs with Vectorworks Spotlight's lighting plots.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Frame.io</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$15–50/user/mo + storage</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Client review &amp; approval on video cuts — timecoded comments directly on the footage and version history, so clients mark up edits precisely instead of over email.</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LucidLink</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$7–32/member/mo by tier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Mounts shared cloud footage as a local drive so editors work directly in Premiere/Resolve off shared raw footage — no more waiting on downloads or juggling physical drives once more than one person touches a project.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Epidemic Sound</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From ~$6–10/mo</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Royalty-free music and SFX licensing for client video deliverables — avoids copyright strikes/takedowns on published content. Larger catalog than most competitors, stems included with every track.</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Final Draft</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$249 one-time</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screenwriting software for script development — proper screenplay formatting, revision tracking, collaboration.</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Logic Pro</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$199 one-time (Mac only)</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Full DAW for music producing, mixing and band recordings — a fraction of Pro Tools' cost for the same core workflow. Pro Tools is the alternative if cross-studio/Windows compatibility is needed, but it's subscription-based and pricier.</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iZotope Ozone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$55–499 by tier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Mastering suite — takes a finished mix to a release-ready final master.</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iZotope RX</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$99–1,399 by tier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Audio repair and cleanup — removes hum, clicks and background noise from band/location recordings.</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Splice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~$10–12/mo</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Sample and loop library subscription for sound design work.</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grandMA3 onPC</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(software only; hardware control surfaces cost extra)</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lighting console software for live production — full-featured for free until a physical control surface is added.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OBS Studio</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Free live streaming/switching software — a no-cost fallback or complement to vMix for live streaming.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Blackmagic ATEM switcher</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$1,095–1,865 (Mini Extreme/Constellation HD) up to $7,995+ (Constellation IP)</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Dedicated hardware video switcher — the actual broadcast-industry standard above the software tier vMix operates at. Worth it once live production volume justifies a physical switcher over a laptop-based workflow.</w:t>
            </w:r>
          </w:p>
        </w:tc>
      </w:tr>
    </w:tbl>
    <w:p>
      <w:pPr>
        <w:pBdr>
          <w:top w:val="single" w:color="E5E7EB" w:sz="4" w:space="8"/>
        </w:pBdr>
        <w:spacing w:after="0" w:before="280"/>
      </w:pPr>
      <w:r>
        <w:rPr>
          <w:rFonts w:ascii="Arial" w:cs="Arial" w:eastAsia="Arial" w:hAnsi="Arial"/>
          <w:b/>
          <w:bCs/>
          <w:color w:val="F68D5F"/>
          <w:spacing w:val="20"/>
          <w:sz w:val="16"/>
          <w:szCs w:val="16"/>
        </w:rPr>
        <w:t xml:space="preserve">RISK MANAGEMENT</w:t>
      </w:r>
    </w:p>
    <w:p>
      <w:pPr>
        <w:spacing w:after="160" w:before="60"/>
      </w:pPr>
      <w:r>
        <w:rPr>
          <w:rFonts w:ascii="Arial" w:cs="Arial" w:eastAsia="Arial" w:hAnsi="Arial"/>
          <w:b/>
          <w:bCs/>
          <w:color w:val="1F2937"/>
          <w:sz w:val="27"/>
          <w:szCs w:val="27"/>
        </w:rPr>
        <w:t xml:space="preserve">Business Protection</w:t>
      </w:r>
    </w:p>
    <w:p>
      <w:pPr>
        <w:spacing w:after="180"/>
      </w:pPr>
      <w:r>
        <w:rPr>
          <w:rFonts w:ascii="Arial" w:cs="Arial" w:eastAsia="Arial" w:hAnsi="Arial"/>
          <w:i w:val="false"/>
          <w:iCs w:val="false"/>
          <w:color w:val="374151"/>
          <w:sz w:val="20"/>
          <w:szCs w:val="20"/>
        </w:rPr>
        <w:t xml:space="preserve">None of these show up as a line item anywhere else in the Hub, and all three matter once client work involves on-site AV, live events, or paid marketing advice.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Coverage</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Annual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General Liability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~$400–600/yr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before any on-site AV or event work — standard for a low-risk service business.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Errors &amp; Omissions (E&amp;O) Insurance</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~$500–1,500/yr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Protects against client disputes over marketing or consulting advice given.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Equipment / Inland Marine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~$500–550/yr (avg. $43/mo)</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Different from GL and E&amp;O — covers the AV gear itself (cameras, lighting, drones) against loss, theft or damage in transit or on-site. Worth having once real equipment purchases start.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Cyber Liability Insurance</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~$400–1,600/yr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Covers data breach/ransomware response — forensics, legal review, client notification. Client data already lives across Firestore, LucidLink, Frame.io, HubSpot, Klaviyo and the Hub itself, none of which GL, E&amp;O or Equipment coverage touches.</w:t>
            </w:r>
          </w:p>
        </w:tc>
      </w:tr>
    </w:tbl>
    <w:p>
      <w:pPr>
        <w:pBdr>
          <w:top w:val="single" w:color="E5E7EB" w:sz="4" w:space="8"/>
        </w:pBdr>
        <w:spacing w:after="0" w:before="280"/>
      </w:pPr>
      <w:r>
        <w:rPr>
          <w:rFonts w:ascii="Arial" w:cs="Arial" w:eastAsia="Arial" w:hAnsi="Arial"/>
          <w:b/>
          <w:bCs/>
          <w:color w:val="F68D5F"/>
          <w:spacing w:val="20"/>
          <w:sz w:val="16"/>
          <w:szCs w:val="16"/>
        </w:rPr>
        <w:t xml:space="preserve">DAY-TO-DAY OPERATIONS</w:t>
      </w:r>
    </w:p>
    <w:p>
      <w:pPr>
        <w:spacing w:after="160" w:before="60"/>
      </w:pPr>
      <w:r>
        <w:rPr>
          <w:rFonts w:ascii="Arial" w:cs="Arial" w:eastAsia="Arial" w:hAnsi="Arial"/>
          <w:b/>
          <w:bCs/>
          <w:color w:val="1F2937"/>
          <w:sz w:val="27"/>
          <w:szCs w:val="27"/>
        </w:rPr>
        <w:t xml:space="preserve">Business Operations</w:t>
      </w:r>
    </w:p>
    <w:p>
      <w:pPr>
        <w:spacing w:after="180"/>
      </w:pPr>
      <w:r>
        <w:rPr>
          <w:rFonts w:ascii="Arial" w:cs="Arial" w:eastAsia="Arial" w:hAnsi="Arial"/>
          <w:i w:val="false"/>
          <w:iCs w:val="false"/>
          <w:color w:val="374151"/>
          <w:sz w:val="20"/>
          <w:szCs w:val="20"/>
        </w:rPr>
        <w:t xml:space="preserve">A few operational gaps that aren't marketing- or AV-specific, but affect how the business runs day to 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600"/>
      </w:tblGrid>
      <w:tr>
        <w:trPr>
          <w:tblHeader/>
        </w:trPr>
        <w:tc>
          <w:tcPr>
            <w:tcW w:type="dxa" w:w="26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30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46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Dropbox Sign (HelloSign)</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$15/mo</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Legally binding e-signatures on contracts — you already have a full setup guide for this saved ("E-Signature Setup Guide"), just waiting on the $15/mo. Replaces the current print/sign/scan process.</w:t>
            </w:r>
          </w:p>
        </w:tc>
      </w:tr>
      <w:tr>
        <w:tc>
          <w:tcPr>
            <w:tcW w:type="dxa" w:w="2600"/>
            <w:shd w:fill="F6F5F3" w:val="clear"/>
            <w:tcMar>
              <w:top w:type="dxa" w:w="90"/>
              <w:left w:type="dxa" w:w="110"/>
              <w:bottom w:type="dxa" w:w="90"/>
              <w:right w:type="dxa" w:w="110"/>
            </w:tcMar>
          </w:tcPr>
          <w:p>
            <w:r>
              <w:rPr>
                <w:rFonts w:ascii="Arial" w:cs="Arial" w:eastAsia="Arial" w:hAnsi="Arial"/>
                <w:b/>
                <w:bCs/>
                <w:color w:val="1F2937"/>
                <w:sz w:val="18"/>
                <w:szCs w:val="18"/>
              </w:rPr>
              <w:t xml:space="preserve">OpenPhone (or Grasshopper)</w:t>
            </w:r>
          </w:p>
        </w:tc>
        <w:tc>
          <w:tcPr>
            <w:tcW w:type="dxa" w:w="30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$15–23/user/mo + ~$20 one-time registration</w:t>
            </w:r>
          </w:p>
        </w:tc>
        <w:tc>
          <w:tcPr>
            <w:tcW w:type="dxa" w:w="4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 real business phone line, separate from your personal cell — useful right now for calling/texting the leads that only have phone numbers on file, and standard once you're doing business development at any real volume.</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Bitwarden Teams (or 1Password)</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$4/user/mo (Bitwarden) or $19.95/mo flat for up to 10 (1Password Teams Starter)</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Shared, audited access to logins — ClickUp, Stripe, ad accounts, social accounts — instead of passing passwords around directly. Worth having before the team grows past just you.</w:t>
            </w:r>
          </w:p>
        </w:tc>
      </w:tr>
      <w:tr>
        <w:tc>
          <w:tcPr>
            <w:tcW w:type="dxa" w:w="2600"/>
            <w:shd w:fill="F6F5F3" w:val="clear"/>
            <w:tcMar>
              <w:top w:type="dxa" w:w="90"/>
              <w:left w:type="dxa" w:w="110"/>
              <w:bottom w:type="dxa" w:w="90"/>
              <w:right w:type="dxa" w:w="110"/>
            </w:tcMar>
          </w:tcPr>
          <w:p>
            <w:r>
              <w:rPr>
                <w:rFonts w:ascii="Arial" w:cs="Arial" w:eastAsia="Arial" w:hAnsi="Arial"/>
                <w:b/>
                <w:bCs/>
                <w:color w:val="1F2937"/>
                <w:sz w:val="18"/>
                <w:szCs w:val="18"/>
              </w:rPr>
              <w:t xml:space="preserve">Ramp or Brex</w:t>
            </w:r>
          </w:p>
        </w:tc>
        <w:tc>
          <w:tcPr>
            <w:tcW w:type="dxa" w:w="30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(revenue from card interchange, not subscription fees)</w:t>
            </w:r>
          </w:p>
        </w:tc>
        <w:tc>
          <w:tcPr>
            <w:tcW w:type="dxa" w:w="4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Business expense cards with automatic transaction-level tracking and receipt capture — catches spend the Subscription Tracker wouldn't (one-off equipment/vendor purchases), on top of the recurring-software view that tracker already covers.</w:t>
            </w:r>
          </w:p>
        </w:tc>
      </w:tr>
    </w:tbl>
    <w:p>
      <w:pPr>
        <w:pBdr>
          <w:top w:val="single" w:color="E5E7EB" w:sz="4" w:space="8"/>
        </w:pBdr>
        <w:spacing w:after="0" w:before="280"/>
      </w:pPr>
      <w:r>
        <w:rPr>
          <w:rFonts w:ascii="Arial" w:cs="Arial" w:eastAsia="Arial" w:hAnsi="Arial"/>
          <w:b/>
          <w:bCs/>
          <w:color w:val="F68D5F"/>
          <w:spacing w:val="20"/>
          <w:sz w:val="16"/>
          <w:szCs w:val="16"/>
        </w:rPr>
        <w:t xml:space="preserve">REFERENCE</w:t>
      </w:r>
    </w:p>
    <w:p>
      <w:pPr>
        <w:spacing w:after="160" w:before="60"/>
      </w:pPr>
      <w:r>
        <w:rPr>
          <w:rFonts w:ascii="Arial" w:cs="Arial" w:eastAsia="Arial" w:hAnsi="Arial"/>
          <w:b/>
          <w:bCs/>
          <w:color w:val="1F2937"/>
          <w:sz w:val="27"/>
          <w:szCs w:val="27"/>
        </w:rPr>
        <w:t xml:space="preserve">Alternative Options</w:t>
      </w:r>
    </w:p>
    <w:p>
      <w:pPr>
        <w:spacing w:after="180"/>
      </w:pPr>
      <w:r>
        <w:rPr>
          <w:rFonts w:ascii="Arial" w:cs="Arial" w:eastAsia="Arial" w:hAnsi="Arial"/>
          <w:i w:val="false"/>
          <w:iCs w:val="false"/>
          <w:color w:val="374151"/>
          <w:sz w:val="20"/>
          <w:szCs w:val="20"/>
        </w:rPr>
        <w:t xml:space="preserve">Where a strong alternative came up in discussion for a tool already on this list, it's noted here rather than duplicating a full line item above.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00"/>
      </w:tblGrid>
      <w:tr>
        <w:trPr>
          <w:tblHeader/>
        </w:trPr>
        <w:tc>
          <w:tcPr>
            <w:tcW w:type="dxa" w:w="2300"/>
            <w:shd w:fill="1A1A1A" w:val="clear"/>
            <w:tcMar>
              <w:top w:type="dxa" w:w="90"/>
              <w:left w:type="dxa" w:w="110"/>
              <w:bottom w:type="dxa" w:w="90"/>
              <w:right w:type="dxa" w:w="110"/>
            </w:tcMar>
          </w:tcPr>
          <w:p>
            <w:r>
              <w:rPr>
                <w:rFonts w:ascii="Arial" w:cs="Arial" w:eastAsia="Arial" w:hAnsi="Arial"/>
                <w:b/>
                <w:bCs/>
                <w:color w:val="FFFFFF"/>
                <w:sz w:val="17"/>
                <w:szCs w:val="17"/>
              </w:rPr>
              <w:t xml:space="preserve">Primary Pick</w:t>
            </w:r>
          </w:p>
        </w:tc>
        <w:tc>
          <w:tcPr>
            <w:tcW w:type="dxa" w:w="2600"/>
            <w:shd w:fill="1A1A1A" w:val="clear"/>
            <w:tcMar>
              <w:top w:type="dxa" w:w="90"/>
              <w:left w:type="dxa" w:w="110"/>
              <w:bottom w:type="dxa" w:w="90"/>
              <w:right w:type="dxa" w:w="110"/>
            </w:tcMar>
          </w:tcPr>
          <w:p>
            <w:r>
              <w:rPr>
                <w:rFonts w:ascii="Arial" w:cs="Arial" w:eastAsia="Arial" w:hAnsi="Arial"/>
                <w:b/>
                <w:bCs/>
                <w:color w:val="FFFFFF"/>
                <w:sz w:val="17"/>
                <w:szCs w:val="17"/>
              </w:rPr>
              <w:t xml:space="preserve">Alternative(s)</w:t>
            </w:r>
          </w:p>
        </w:tc>
        <w:tc>
          <w:tcPr>
            <w:tcW w:type="dxa" w:w="4900"/>
            <w:shd w:fill="1A1A1A" w:val="clear"/>
            <w:tcMar>
              <w:top w:type="dxa" w:w="90"/>
              <w:left w:type="dxa" w:w="110"/>
              <w:bottom w:type="dxa" w:w="90"/>
              <w:right w:type="dxa" w:w="110"/>
            </w:tcMar>
          </w:tcPr>
          <w:p>
            <w:r>
              <w:rPr>
                <w:rFonts w:ascii="Arial" w:cs="Arial" w:eastAsia="Arial" w:hAnsi="Arial"/>
                <w:b/>
                <w:bCs/>
                <w:color w:val="FFFFFF"/>
                <w:sz w:val="17"/>
                <w:szCs w:val="17"/>
              </w:rPr>
              <w:t xml:space="preserve">When to Consider It Instead</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OpenPhone (or Quo)</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Grasshopper; Dialpad; RingCentral</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Grasshopper is simpler/cheaper with no frills. Dialpad leans harder into AI call transcription. RingCentral is built for scaling well past a small team — likely overkill right now.</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Bitwarden Teams</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1Password Teams</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Nearly identical feature set — 1Password costs more per seat but has a slightly more polished interface.</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Logic Pro</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Pro Tools</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Pro Tools is the true industry standard and works cross-platform (Windows + Mac), but it's subscription-based and pricier than Logic's one-time fee.</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Epidemic Sound</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Artlist</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Artlist has a smaller music catalog but bundles in stock footage, video templates and LUTs — worth a look if footage/templates matter as much as music.</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vMix</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OBS Studio (free); Blackmagic ATEM (hardware)</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OBS is the free software-only fallback; Blackmagic ATEM is the physical-switcher step up once volume justifies it — both already have their own line items above.</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Shopify Plus</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BigCommerce Enterprise</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Shopify Plus is faster to launch with the bigger app ecosystem; BigCommerce is stronger for large/complex catalogs and B2B pricing rules with fewer paid add-ons needed.</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Ahrefs or SEMrush</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Moz Pro</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A third SEO option if neither Ahrefs nor SEMrush fits — generally considered a notch behind both on data depth, but cheaper.</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Dropbox Sign</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DocuSign; PandaDoc</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DocuSign is the more recognizable brand name to clients; PandaDoc adds proposal/quote building on top of e-signatures.</w:t>
            </w:r>
          </w:p>
        </w:tc>
      </w:tr>
    </w:tbl>
    <w:p>
      <w:pPr>
        <w:pBdr>
          <w:top w:val="single" w:color="E5E7EB" w:sz="4" w:space="8"/>
        </w:pBdr>
        <w:spacing w:after="0" w:before="280"/>
      </w:pPr>
      <w:r>
        <w:rPr>
          <w:rFonts w:ascii="Arial" w:cs="Arial" w:eastAsia="Arial" w:hAnsi="Arial"/>
          <w:b/>
          <w:bCs/>
          <w:color w:val="F68D5F"/>
          <w:spacing w:val="20"/>
          <w:sz w:val="16"/>
          <w:szCs w:val="16"/>
        </w:rPr>
        <w:t xml:space="preserve">REFERENCE</w:t>
      </w:r>
    </w:p>
    <w:p>
      <w:pPr>
        <w:spacing w:after="160" w:before="60"/>
      </w:pPr>
      <w:r>
        <w:rPr>
          <w:rFonts w:ascii="Arial" w:cs="Arial" w:eastAsia="Arial" w:hAnsi="Arial"/>
          <w:b/>
          <w:bCs/>
          <w:color w:val="1F2937"/>
          <w:sz w:val="27"/>
          <w:szCs w:val="27"/>
        </w:rPr>
        <w:t xml:space="preserve">Note on Sequencing</w:t>
      </w:r>
    </w:p>
    <w:p>
      <w:pPr>
        <w:spacing w:after="180"/>
      </w:pPr>
      <w:r>
        <w:rPr>
          <w:rFonts w:ascii="Arial" w:cs="Arial" w:eastAsia="Arial" w:hAnsi="Arial"/>
          <w:i w:val="false"/>
          <w:iCs w:val="false"/>
          <w:color w:val="374151"/>
          <w:sz w:val="20"/>
          <w:szCs w:val="20"/>
        </w:rPr>
        <w:t xml:space="preserve">None of this needs to happen at once. The Marketing Service Delivery tools are the most immediate gap — they directly affect what you can actually deliver on services already priced and sold today. The AV equipment and insurance matter most right before that side of the business restarts, not before.</w:t>
      </w:r>
    </w:p>
    <w:sectPr>
      <w:footerReference w:type="default" r:id="rId7"/>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6"/>
      </w:pBdr>
      <w:tabs>
        <w:tab w:val="right" w:pos="9026"/>
      </w:tabs>
    </w:pPr>
    <w:r>
      <w:rPr>
        <w:rFonts w:ascii="Arial" w:cs="Arial" w:eastAsia="Arial" w:hAnsi="Arial"/>
        <w:color w:val="9CA3AF"/>
        <w:spacing w:val="6"/>
        <w:sz w:val="14"/>
        <w:szCs w:val="14"/>
      </w:rPr>
      <w:t xml:space="preserve">REVITAL PRODUCTIONS — SOFTWARE &amp; INSURANCE WISHLIST</w:t>
    </w:r>
    <w:r>
      <w:rPr>
        <w:rFonts w:ascii="Arial" w:cs="Arial" w:eastAsia="Arial" w:hAnsi="Arial"/>
        <w:sz w:val="14"/>
        <w:szCs w:val="14"/>
      </w:rPr>
      <w:t xml:space="preserve">	</w:t>
    </w:r>
    <w:r>
      <w:rPr>
        <w:rFonts w:ascii="Arial" w:cs="Arial" w:eastAsia="Arial" w:hAnsi="Arial"/>
        <w:color w:val="9CA3AF"/>
        <w:sz w:val="14"/>
        <w:szCs w:val="14"/>
      </w:rPr>
      <w:t xml:space="preserve">Page </w:t>
    </w:r>
    <w:r>
      <w:rPr>
        <w:rFonts w:ascii="Arial" w:cs="Arial" w:eastAsia="Arial" w:hAnsi="Arial"/>
        <w:color w:val="9CA3A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db4ee445cdcb6a567be749da4c120e02501ce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2026-07-24T16:26:27.771Z</dcterms:created>
  <dcterms:modified xsi:type="dcterms:W3CDTF">2026-07-24T16:26:27.771Z</dcterms:modified>
</cp:coreProperties>
</file>

<file path=docProps/custom.xml><?xml version="1.0" encoding="utf-8"?>
<Properties xmlns="http://schemas.openxmlformats.org/officeDocument/2006/custom-properties" xmlns:vt="http://schemas.openxmlformats.org/officeDocument/2006/docPropsVTypes"/>
</file>