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240"/>
      </w:tblGrid>
      <w:tr>
        <w:trPr>
          <w:cantSplit/>
          <w:trHeight w:val="2600" w:hRule="exact"/>
        </w:trPr>
        <w:tc>
          <w:tcPr>
            <w:tcW w:type="dxa" w:w="12240"/>
            <w:tcBorders>
              <w:bottom w:val="single" w:color="F68D5F" w:sz="100" w:space="0"/>
            </w:tcBorders>
            <w:shd w:fill="1C1C18" w:val="clear"/>
            <w:tcMar>
              <w:top w:type="dxa" w:w="0"/>
              <w:left w:type="dxa" w:w="1000"/>
              <w:bottom w:type="dxa" w:w="0"/>
              <w:right w:type="dxa" w:w="1000"/>
            </w:tcMar>
            <w:vAlign w:val="center"/>
          </w:tcPr>
          <w:p>
            <w:pPr>
              <w:spacing w:after="160"/>
            </w:pPr>
            <w:r>
              <w:drawing>
                <wp:inline distT="0" distB="0" distL="0" distR="0">
                  <wp:extent cx="1428750" cy="457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REPORT ARCHIVE — FIELD GUIDE</w:t>
            </w:r>
          </w:p>
          <w:p>
            <w:r>
              <w:rPr>
                <w:rFonts w:ascii="Arial" w:cs="Arial" w:eastAsia="Arial" w:hAnsi="Arial"/>
                <w:color w:val="B0B0AA"/>
                <w:sz w:val="18"/>
                <w:szCs w:val="18"/>
              </w:rPr>
              <w:t xml:space="preserve">What goes in each field, and how it reaches the client. July 2026.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374151"/>
          <w:sz w:val="20"/>
          <w:szCs w:val="20"/>
        </w:rPr>
        <w:t xml:space="preserve">The Report Archive tool (Core section of the Hub) publishes directly to the Client Portal — whatever is saved here is exactly what the client sees on their end, with no extra editing step in between. It has three fields, and that's the entire data model.</w:t>
      </w:r>
    </w:p>
    <w:p>
      <w:pPr>
        <w:pBdr>
          <w:top w:val="single" w:color="E5E7EB" w:sz="4" w:space="8"/>
        </w:pBdr>
        <w:spacing w:after="0" w:before="320"/>
      </w:pPr>
      <w:r>
        <w:rPr>
          <w:rFonts w:ascii="Arial" w:cs="Arial" w:eastAsia="Arial" w:hAnsi="Arial"/>
          <w:b/>
          <w:bCs/>
          <w:color w:val="F68D5F"/>
          <w:spacing w:val="20"/>
          <w:sz w:val="16"/>
          <w:szCs w:val="16"/>
        </w:rPr>
        <w:t xml:space="preserve">THE FIELDS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1F2937"/>
          <w:sz w:val="27"/>
          <w:szCs w:val="27"/>
        </w:rPr>
        <w:t xml:space="preserve">What goes in each one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1.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Month / Year</w:t>
      </w:r>
      <w:r>
        <w:rPr>
          <w:rFonts w:ascii="Arial" w:cs="Arial" w:eastAsia="Arial" w:hAnsi="Arial"/>
          <w:b/>
          <w:bCs/>
          <w:color w:val="F68D5F"/>
          <w:sz w:val="18"/>
          <w:szCs w:val="18"/>
        </w:rPr>
        <w:t xml:space="preserve">   —   Free text</w:t>
      </w:r>
    </w:p>
    <w:p>
      <w:pPr>
        <w:spacing w:after="60"/>
        <w:ind w:left="3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The label the client sees on their portal timeline, and what it's sorted by. Keep it consistent month to month so the timeline reads cleanly — don't mix formats like "Oct 2024" and "November 2024" for the same client.</w:t>
      </w:r>
    </w:p>
    <w:p>
      <w:pPr>
        <w:spacing w:after="40"/>
        <w:ind w:left="340"/>
      </w:pPr>
      <w:r>
        <w:rPr>
          <w:rFonts w:ascii="Arial" w:cs="Arial" w:eastAsia="Arial" w:hAnsi="Arial"/>
          <w:b/>
          <w:bCs/>
          <w:i/>
          <w:iCs/>
          <w:color w:val="9CA3AF"/>
          <w:sz w:val="18"/>
          <w:szCs w:val="18"/>
        </w:rPr>
        <w:t xml:space="preserve">Example: </w:t>
      </w: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October 2024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2.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Report URL</w:t>
      </w:r>
      <w:r>
        <w:rPr>
          <w:rFonts w:ascii="Arial" w:cs="Arial" w:eastAsia="Arial" w:hAnsi="Arial"/>
          <w:b/>
          <w:bCs/>
          <w:color w:val="F68D5F"/>
          <w:sz w:val="18"/>
          <w:szCs w:val="18"/>
        </w:rPr>
        <w:t xml:space="preserve">   —   Link</w:t>
      </w:r>
    </w:p>
    <w:p>
      <w:pPr>
        <w:spacing w:after="60"/>
        <w:ind w:left="3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Wherever the actual report lives — Looker Studio dashboard, a PDF, a Google Drive file, etc. This is what the client clicks through to. Sharing permissions have to already be set so the client can open it without requesting access.</w:t>
      </w:r>
    </w:p>
    <w:p>
      <w:pPr>
        <w:spacing w:after="40"/>
        <w:ind w:left="340"/>
      </w:pPr>
      <w:r>
        <w:rPr>
          <w:rFonts w:ascii="Arial" w:cs="Arial" w:eastAsia="Arial" w:hAnsi="Arial"/>
          <w:b/>
          <w:bCs/>
          <w:i/>
          <w:iCs/>
          <w:color w:val="9CA3AF"/>
          <w:sz w:val="18"/>
          <w:szCs w:val="18"/>
        </w:rPr>
        <w:t xml:space="preserve">Example: </w:t>
      </w: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https://lookerstudio.google.com/reporting/...</w:t>
      </w:r>
    </w:p>
    <w:p>
      <w:pPr>
        <w:spacing w:after="40" w:before="200"/>
      </w:pP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3.  </w:t>
      </w:r>
      <w:r>
        <w:rPr>
          <w:rFonts w:ascii="Arial" w:cs="Arial" w:eastAsia="Arial" w:hAnsi="Arial"/>
          <w:b/>
          <w:bCs/>
          <w:color w:val="1F2937"/>
          <w:sz w:val="22"/>
          <w:szCs w:val="22"/>
        </w:rPr>
        <w:t xml:space="preserve">Executive Summary / Notes</w:t>
      </w:r>
      <w:r>
        <w:rPr>
          <w:rFonts w:ascii="Arial" w:cs="Arial" w:eastAsia="Arial" w:hAnsi="Arial"/>
          <w:b/>
          <w:bCs/>
          <w:color w:val="F68D5F"/>
          <w:sz w:val="18"/>
          <w:szCs w:val="18"/>
        </w:rPr>
        <w:t xml:space="preserve">   —   Short text, client-facing</w:t>
      </w:r>
    </w:p>
    <w:p>
      <w:pPr>
        <w:spacing w:after="60"/>
        <w:ind w:left="340"/>
      </w:pPr>
      <w:r>
        <w:rPr>
          <w:rFonts w:ascii="Arial" w:cs="Arial" w:eastAsia="Arial" w:hAnsi="Arial"/>
          <w:color w:val="374151"/>
          <w:sz w:val="19"/>
          <w:szCs w:val="19"/>
        </w:rPr>
        <w:t xml:space="preserve">A plain-language summary shown directly on the portal alongside the link — this is the only written context the client gets without opening the report itself. No internal jargon, no mentions of other clients or internal tooling.</w:t>
      </w:r>
    </w:p>
    <w:p>
      <w:pPr>
        <w:spacing w:after="40"/>
        <w:ind w:left="340"/>
      </w:pPr>
      <w:r>
        <w:rPr>
          <w:rFonts w:ascii="Arial" w:cs="Arial" w:eastAsia="Arial" w:hAnsi="Arial"/>
          <w:b/>
          <w:bCs/>
          <w:i/>
          <w:iCs/>
          <w:color w:val="9CA3AF"/>
          <w:sz w:val="18"/>
          <w:szCs w:val="18"/>
        </w:rPr>
        <w:t xml:space="preserve">Example: </w:t>
      </w:r>
      <w:r>
        <w:rPr>
          <w:rFonts w:ascii="Arial" w:cs="Arial" w:eastAsia="Arial" w:hAnsi="Arial"/>
          <w:i/>
          <w:iCs/>
          <w:color w:val="9CA3AF"/>
          <w:sz w:val="18"/>
          <w:szCs w:val="18"/>
        </w:rPr>
        <w:t xml:space="preserve">"Strong month for organic reach — up 22% MoM. Paid spend held flat while CPL dropped. Full breakdown in the linked dashboard."</w:t>
      </w:r>
    </w:p>
    <w:p>
      <w:pPr>
        <w:pBdr>
          <w:top w:val="single" w:color="E5E7EB" w:sz="4" w:space="8"/>
        </w:pBdr>
        <w:spacing w:after="0" w:before="320"/>
      </w:pPr>
      <w:r>
        <w:rPr>
          <w:rFonts w:ascii="Arial" w:cs="Arial" w:eastAsia="Arial" w:hAnsi="Arial"/>
          <w:b/>
          <w:bCs/>
          <w:color w:val="F68D5F"/>
          <w:spacing w:val="20"/>
          <w:sz w:val="16"/>
          <w:szCs w:val="16"/>
        </w:rPr>
        <w:t xml:space="preserve">WHERE IT FITS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1F2937"/>
          <w:sz w:val="27"/>
          <w:szCs w:val="27"/>
        </w:rPr>
        <w:t xml:space="preserve">How this connects to the Monthly Reporting SOP</w:t>
      </w:r>
    </w:p>
    <w:p>
      <w:pPr>
        <w:spacing w:after="160"/>
      </w:pPr>
      <w:r>
        <w:rPr>
          <w:rFonts w:ascii="Arial" w:cs="Arial" w:eastAsia="Arial" w:hAnsi="Arial"/>
          <w:i w:val="false"/>
          <w:iCs w:val="false"/>
          <w:color w:val="374151"/>
          <w:sz w:val="20"/>
          <w:szCs w:val="20"/>
        </w:rPr>
        <w:t xml:space="preserve">The wiki's separate "Monthly Reporting SOP" article defines which report types go out to which clients and how often — that SOP governs production and QC. The Report Archive tool is the last step in that process: once a report is built and has passed QC (Universal QC + the Monthly Report section of the QC Checklist), the finished link and a short summary get published here.</w:t>
      </w:r>
    </w:p>
    <w:tbl>
      <w:tblPr>
        <w:tblW w:type="dxa" w:w="102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200"/>
        <w:gridCol w:w="1700"/>
      </w:tblGrid>
      <w:tr>
        <w:trPr>
          <w:tblHeader/>
        </w:trPr>
        <w:tc>
          <w:tcPr>
            <w:tcW w:type="dxa" w:w="3600"/>
            <w:shd w:fill="1F293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REPORT TYPE</w:t>
            </w:r>
          </w:p>
        </w:tc>
        <w:tc>
          <w:tcPr>
            <w:tcW w:type="dxa" w:w="3200"/>
            <w:shd w:fill="1F293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WHO GETS IT</w:t>
            </w:r>
          </w:p>
        </w:tc>
        <w:tc>
          <w:tcPr>
            <w:tcW w:type="dxa" w:w="1700"/>
            <w:shd w:fill="1F293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CADENCE</w:t>
            </w:r>
          </w:p>
        </w:tc>
      </w:tr>
      <w:tr>
        <w:tc>
          <w:tcPr>
            <w:tcW w:type="dxa" w:w="3600"/>
            <w:shd w:fill="F6F5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Monthly Performance Report</w:t>
            </w:r>
          </w:p>
        </w:tc>
        <w:tc>
          <w:tcPr>
            <w:tcW w:type="dxa" w:w="3200"/>
            <w:shd w:fill="F6F5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All clients</w:t>
            </w:r>
          </w:p>
        </w:tc>
        <w:tc>
          <w:tcPr>
            <w:tcW w:type="dxa" w:w="1700"/>
            <w:shd w:fill="F6F5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Monthly Paid Social Report</w:t>
            </w:r>
          </w:p>
        </w:tc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Paid Social clients</w:t>
            </w:r>
          </w:p>
        </w:tc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3600"/>
            <w:shd w:fill="F6F5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Monthly Google Ads Report</w:t>
            </w:r>
          </w:p>
        </w:tc>
        <w:tc>
          <w:tcPr>
            <w:tcW w:type="dxa" w:w="3200"/>
            <w:shd w:fill="F6F5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Paid Search clients</w:t>
            </w:r>
          </w:p>
        </w:tc>
        <w:tc>
          <w:tcPr>
            <w:tcW w:type="dxa" w:w="1700"/>
            <w:shd w:fill="F6F5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Monthly SEO Report</w:t>
            </w:r>
          </w:p>
        </w:tc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SEO clients</w:t>
            </w:r>
          </w:p>
        </w:tc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3600"/>
            <w:shd w:fill="F6F5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Monthly Email Report</w:t>
            </w:r>
          </w:p>
        </w:tc>
        <w:tc>
          <w:tcPr>
            <w:tcW w:type="dxa" w:w="3200"/>
            <w:shd w:fill="F6F5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 Marketing clients</w:t>
            </w:r>
          </w:p>
        </w:tc>
        <w:tc>
          <w:tcPr>
            <w:tcW w:type="dxa" w:w="1700"/>
            <w:shd w:fill="F6F5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Monthly Website Report</w:t>
            </w:r>
          </w:p>
        </w:tc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Website / SEO clients</w:t>
            </w:r>
          </w:p>
        </w:tc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3600"/>
            <w:shd w:fill="F6F5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Monthly Inbound Report</w:t>
            </w:r>
          </w:p>
        </w:tc>
        <w:tc>
          <w:tcPr>
            <w:tcW w:type="dxa" w:w="3200"/>
            <w:shd w:fill="F6F5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Inbound clients</w:t>
            </w:r>
          </w:p>
        </w:tc>
        <w:tc>
          <w:tcPr>
            <w:tcW w:type="dxa" w:w="1700"/>
            <w:shd w:fill="F6F5F3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Monthly</w:t>
            </w:r>
          </w:p>
        </w:tc>
      </w:tr>
      <w:tr>
        <w:tc>
          <w:tcPr>
            <w:tcW w:type="dxa" w:w="36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Monthly Strategy Report</w:t>
            </w:r>
          </w:p>
        </w:tc>
        <w:tc>
          <w:tcPr>
            <w:tcW w:type="dxa" w:w="32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Strategy clients</w:t>
            </w:r>
          </w:p>
        </w:tc>
        <w:tc>
          <w:tcPr>
            <w:tcW w:type="dxa" w:w="1700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Monthly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9CA3AF"/>
          <w:sz w:val="20"/>
          <w:szCs w:val="20"/>
        </w:rPr>
        <w:t xml:space="preserve">Full detail on producing each report type (owner, template, QC section, email template) lives in the Monthly Reporting SOP itself — this table is just to confirm what should eventually show up as an entry in the Archive.</w:t>
      </w:r>
    </w:p>
    <w:p>
      <w:pPr>
        <w:pBdr>
          <w:top w:val="single" w:color="E5E7EB" w:sz="4" w:space="8"/>
        </w:pBdr>
        <w:spacing w:after="0" w:before="320"/>
      </w:pPr>
      <w:r>
        <w:rPr>
          <w:rFonts w:ascii="Arial" w:cs="Arial" w:eastAsia="Arial" w:hAnsi="Arial"/>
          <w:b/>
          <w:bCs/>
          <w:color w:val="F68D5F"/>
          <w:spacing w:val="20"/>
          <w:sz w:val="16"/>
          <w:szCs w:val="16"/>
        </w:rPr>
        <w:t xml:space="preserve">BEFORE YOU PUBLISH</w:t>
      </w:r>
    </w:p>
    <w:p>
      <w:pPr>
        <w:spacing w:after="120" w:before="60"/>
      </w:pPr>
      <w:r>
        <w:rPr>
          <w:rFonts w:ascii="Arial" w:cs="Arial" w:eastAsia="Arial" w:hAnsi="Arial"/>
          <w:b/>
          <w:bCs/>
          <w:color w:val="1F2937"/>
          <w:sz w:val="27"/>
          <w:szCs w:val="27"/>
        </w:rPr>
        <w:t xml:space="preserve">Quick checklist</w:t>
      </w:r>
    </w:p>
    <w:p>
      <w:pPr>
        <w:spacing w:after="9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Correct client is selected in the left panel before saving — entries can't be moved between clients afterward.</w:t>
      </w:r>
    </w:p>
    <w:p>
      <w:pPr>
        <w:spacing w:after="9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Report link opens for the client without requesting access (test the sharing permissions, not just that the link loads for you).</w:t>
      </w:r>
    </w:p>
    <w:p>
      <w:pPr>
        <w:spacing w:after="9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Month / Year matches the format already used for this client's prior entries.</w:t>
      </w:r>
    </w:p>
    <w:p>
      <w:pPr>
        <w:spacing w:after="9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Report has already passed QC per the Monthly Reporting SOP / QC Checklist — the Archive is a publishing step, not a QC step.</w:t>
      </w:r>
    </w:p>
    <w:p>
      <w:pPr>
        <w:spacing w:after="90"/>
        <w:ind w:left="260"/>
      </w:pPr>
      <w:r>
        <w:rPr>
          <w:rFonts w:ascii="Arial" w:cs="Arial" w:eastAsia="Arial" w:hAnsi="Arial"/>
          <w:b/>
          <w:bCs/>
          <w:color w:val="F68D5F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374151"/>
          <w:sz w:val="19"/>
          <w:szCs w:val="19"/>
        </w:rPr>
        <w:t xml:space="preserve">Executive Summary is client-safe: no internal jargon, no other-client references, no unfinished thoughts.</w:t>
      </w:r>
    </w:p>
    <w:sectPr>
      <w:footerReference w:type="default" r:id="rId7"/>
      <w:pgSz w:w="12240" w:h="15840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"/>
      </w:pBdr>
      <w:tabs>
        <w:tab w:val="right" w:pos="9026"/>
      </w:tabs>
    </w:pPr>
    <w:r>
      <w:rPr>
        <w:rFonts w:ascii="Arial" w:cs="Arial" w:eastAsia="Arial" w:hAnsi="Arial"/>
        <w:color w:val="9CA3AF"/>
        <w:spacing w:val="6"/>
        <w:sz w:val="14"/>
        <w:szCs w:val="14"/>
      </w:rPr>
      <w:t xml:space="preserve">REVITAL PRODUCTIONS — REPORT ARCHIVE FIELD GUIDE</w:t>
    </w:r>
    <w:r>
      <w:rPr>
        <w:rFonts w:ascii="Arial" w:cs="Arial" w:eastAsia="Arial" w:hAnsi="Arial"/>
        <w:sz w:val="14"/>
        <w:szCs w:val="14"/>
      </w:rPr>
      <w:t xml:space="preserve">	</w:t>
    </w:r>
    <w:r>
      <w:rPr>
        <w:rFonts w:ascii="Arial" w:cs="Arial" w:eastAsia="Arial" w:hAnsi="Arial"/>
        <w:color w:val="9CA3AF"/>
        <w:sz w:val="14"/>
        <w:szCs w:val="14"/>
      </w:rPr>
      <w:t xml:space="preserve">Page </w:t>
    </w:r>
    <w:r>
      <w:rPr>
        <w:rFonts w:ascii="Arial" w:cs="Arial" w:eastAsia="Arial" w:hAnsi="Arial"/>
        <w:color w:val="9CA3AF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6329e262d2c8672b0ead02ff7c3af279fb1e4f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2026-07-25T02:42:08.438Z</dcterms:created>
  <dcterms:modified xsi:type="dcterms:W3CDTF">2026-07-25T02:42:08.438Z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