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cantSplit/>
          <w:trHeight w:val="9300" w:hRule="exact"/>
        </w:trPr>
        <w:tc>
          <w:tcPr>
            <w:tcW w:type="dxa" w:w="12240"/>
            <w:shd w:fill="1C1C18" w:val="clear"/>
            <w:tcMar>
              <w:top w:type="dxa" w:w="0"/>
              <w:left w:type="dxa" w:w="1600"/>
              <w:bottom w:type="dxa" w:w="0"/>
              <w:right w:type="dxa" w:w="1600"/>
            </w:tcMar>
            <w:vAlign w:val="center"/>
          </w:tcPr>
          <w:p>
            <w:pPr>
              <w:spacing w:after="500"/>
              <w:jc w:val="center"/>
            </w:pPr>
            <w:r>
              <w:drawing>
                <wp:inline distT="0" distB="0" distL="0" distR="0">
                  <wp:extent cx="24765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800100"/>
                          </a:xfrm>
                          <a:prstGeom prst="rect">
                            <a:avLst/>
                          </a:prstGeom>
                        </pic:spPr>
                      </pic:pic>
                    </a:graphicData>
                  </a:graphic>
                </wp:inline>
              </w:drawing>
            </w:r>
          </w:p>
          <w:p>
            <w:pPr>
              <w:spacing w:after="220"/>
              <w:jc w:val="center"/>
            </w:pPr>
            <w:r>
              <w:rPr>
                <w:rFonts w:ascii="Arial" w:cs="Arial" w:eastAsia="Arial" w:hAnsi="Arial"/>
                <w:b/>
                <w:bCs/>
                <w:color w:val="F68D5F"/>
                <w:spacing w:val="30"/>
                <w:sz w:val="18"/>
                <w:szCs w:val="18"/>
              </w:rPr>
              <w:t xml:space="preserve">REVITAL PRODUCTIONS</w:t>
            </w:r>
          </w:p>
          <w:p>
            <w:pPr>
              <w:spacing w:after="300"/>
              <w:jc w:val="center"/>
            </w:pPr>
            <w:r>
              <w:rPr>
                <w:rFonts w:ascii="Arial" w:cs="Arial" w:eastAsia="Arial" w:hAnsi="Arial"/>
                <w:b/>
                <w:bCs/>
                <w:color w:val="FFFFFF"/>
                <w:sz w:val="44"/>
                <w:szCs w:val="44"/>
              </w:rPr>
              <w:t xml:space="preserve">Software &amp; Insurance Wishlist</w:t>
            </w:r>
          </w:p>
          <w:p>
            <w:pPr>
              <w:spacing w:after="0"/>
              <w:jc w:val="center"/>
            </w:pPr>
            <w:r>
              <w:rPr>
                <w:rFonts w:ascii="Arial" w:cs="Arial" w:eastAsia="Arial" w:hAnsi="Arial"/>
                <w:color w:val="B0B0AA"/>
                <w:sz w:val="21"/>
                <w:szCs w:val="21"/>
              </w:rPr>
              <w:t xml:space="preserve">What Revital needs to fully deliver on the services already being sold — and the tools blocked purely by budget, not by need.</w:t>
            </w:r>
          </w:p>
        </w:tc>
      </w:tr>
      <w:tr>
        <w:trPr>
          <w:cantSplit/>
          <w:trHeight w:val="5800" w:hRule="exact"/>
        </w:trPr>
        <w:tc>
          <w:tcPr>
            <w:tcW w:type="dxa" w:w="12240"/>
            <w:tcBorders>
              <w:bottom w:val="single" w:color="F68D5F" w:sz="140" w:space="0"/>
            </w:tcBorders>
            <w:shd w:fill="1C1C18" w:val="clear"/>
            <w:tcMar>
              <w:top w:type="dxa" w:w="0"/>
              <w:left w:type="dxa" w:w="1600"/>
              <w:bottom w:type="dxa" w:w="260"/>
              <w:right w:type="dxa" w:w="1600"/>
            </w:tcMar>
            <w:vAlign w:val="bottom"/>
          </w:tcPr>
          <w:p>
            <w:pPr>
              <w:spacing w:after="260"/>
              <w:jc w:val="center"/>
            </w:pPr>
            <w:r>
              <w:rPr>
                <w:rFonts w:ascii="Arial" w:cs="Arial" w:eastAsia="Arial" w:hAnsi="Arial"/>
                <w:color w:val="8A8A84"/>
                <w:spacing w:val="10"/>
                <w:sz w:val="15"/>
                <w:szCs w:val="15"/>
              </w:rPr>
              <w:t xml:space="preserve">SAVE FOR WHEN BUDGET ALLOWS  •  INTERNAL REFERENCE  •  JULY 2026</w:t>
            </w:r>
          </w:p>
        </w:tc>
      </w:tr>
    </w:tbl>
    <w:p>
      <w:pPr>
        <w:sectPr>
          <w:pgSz w:w="12240" w:h="15840" w:orient="portrait"/>
          <w:pgMar w:top="0" w:right="0" w:bottom="0" w:left="0" w:header="0" w:footer="0" w:gutter="0"/>
          <w:pgNumType/>
          <w:docGrid w:linePitch="360"/>
        </w:sectPr>
      </w:pPr>
    </w:p>
    <w:p>
      <w:pPr>
        <w:pBdr>
          <w:top w:val="single" w:color="E5E7EB" w:sz="4" w:space="8"/>
        </w:pBdr>
        <w:spacing w:after="0" w:before="280"/>
      </w:pPr>
      <w:r>
        <w:rPr>
          <w:rFonts w:ascii="Arial" w:cs="Arial" w:eastAsia="Arial" w:hAnsi="Arial"/>
          <w:b/>
          <w:bCs/>
          <w:color w:val="F68D5F"/>
          <w:spacing w:val="20"/>
          <w:sz w:val="16"/>
          <w:szCs w:val="16"/>
        </w:rPr>
        <w:t xml:space="preserve">ABOUT THIS DOCUMENT</w:t>
      </w:r>
    </w:p>
    <w:p>
      <w:pPr>
        <w:spacing w:after="160" w:before="60"/>
      </w:pPr>
      <w:r>
        <w:rPr>
          <w:rFonts w:ascii="Arial" w:cs="Arial" w:eastAsia="Arial" w:hAnsi="Arial"/>
          <w:b/>
          <w:bCs/>
          <w:color w:val="1F2937"/>
          <w:sz w:val="27"/>
          <w:szCs w:val="27"/>
        </w:rPr>
        <w:t xml:space="preserve">What This Covers</w:t>
      </w:r>
    </w:p>
    <w:p>
      <w:pPr>
        <w:spacing w:after="180"/>
      </w:pPr>
      <w:r>
        <w:rPr>
          <w:rFonts w:ascii="Arial" w:cs="Arial" w:eastAsia="Arial" w:hAnsi="Arial"/>
          <w:i w:val="false"/>
          <w:iCs w:val="false"/>
          <w:color w:val="374151"/>
          <w:sz w:val="20"/>
          <w:szCs w:val="20"/>
        </w:rPr>
        <w:t xml:space="preserve">This is deliberately separate from the Technology Stack &amp; Future-Proof Growth Plan. That document covers tools triggered by headcount and revenue milestones — QuickBooks upgrades, Gusto, BambooHR, Rippling, Productive. Nothing here duplicates that list. This one covers gaps that exist right now, at 3 people, with active clients — not gaps that show up later as the team grows.</w:t>
      </w:r>
    </w:p>
    <w:p>
      <w:pPr>
        <w:pBdr>
          <w:top w:val="single" w:color="E5E7EB" w:sz="4" w:space="8"/>
        </w:pBdr>
        <w:spacing w:after="0" w:before="280"/>
      </w:pPr>
      <w:r>
        <w:rPr>
          <w:rFonts w:ascii="Arial" w:cs="Arial" w:eastAsia="Arial" w:hAnsi="Arial"/>
          <w:b/>
          <w:bCs/>
          <w:color w:val="F68D5F"/>
          <w:spacing w:val="20"/>
          <w:sz w:val="16"/>
          <w:szCs w:val="16"/>
        </w:rPr>
        <w:t xml:space="preserve">GAPS TODAY</w:t>
      </w:r>
    </w:p>
    <w:p>
      <w:pPr>
        <w:spacing w:after="160" w:before="60"/>
      </w:pPr>
      <w:r>
        <w:rPr>
          <w:rFonts w:ascii="Arial" w:cs="Arial" w:eastAsia="Arial" w:hAnsi="Arial"/>
          <w:b/>
          <w:bCs/>
          <w:color w:val="1F2937"/>
          <w:sz w:val="27"/>
          <w:szCs w:val="27"/>
        </w:rPr>
        <w:t xml:space="preserve">Marketing Service Delivery Tools</w:t>
      </w:r>
    </w:p>
    <w:p>
      <w:pPr>
        <w:spacing w:after="180"/>
      </w:pPr>
      <w:r>
        <w:rPr>
          <w:rFonts w:ascii="Arial" w:cs="Arial" w:eastAsia="Arial" w:hAnsi="Arial"/>
          <w:i w:val="false"/>
          <w:iCs w:val="false"/>
          <w:color w:val="374151"/>
          <w:sz w:val="20"/>
          <w:szCs w:val="20"/>
        </w:rPr>
        <w:t xml:space="preserve">Several services in the Service Pricing Admin catalog — SEO, Email Marketing, Reporting, the new Branding &amp; Design category — are sellable today but don't have a real tool behind them yet.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300"/>
        <w:gridCol w:w="5100"/>
      </w:tblGrid>
      <w:tr>
        <w:trPr>
          <w:tblHeader/>
        </w:trPr>
        <w:tc>
          <w:tcPr>
            <w:tcW w:type="dxa" w:w="2400"/>
            <w:shd w:fill="1A1A1A" w:val="clear"/>
            <w:tcMar>
              <w:top w:type="dxa" w:w="90"/>
              <w:left w:type="dxa" w:w="110"/>
              <w:bottom w:type="dxa" w:w="90"/>
              <w:right w:type="dxa" w:w="110"/>
            </w:tcMar>
          </w:tcPr>
          <w:p>
            <w:r>
              <w:rPr>
                <w:rFonts w:ascii="Arial" w:cs="Arial" w:eastAsia="Arial" w:hAnsi="Arial"/>
                <w:b/>
                <w:bCs/>
                <w:color w:val="FFFFFF"/>
                <w:sz w:val="17"/>
                <w:szCs w:val="17"/>
              </w:rPr>
              <w:t xml:space="preserve">Tool</w:t>
            </w:r>
          </w:p>
        </w:tc>
        <w:tc>
          <w:tcPr>
            <w:tcW w:type="dxa" w:w="1400"/>
            <w:shd w:fill="1A1A1A" w:val="clear"/>
            <w:tcMar>
              <w:top w:type="dxa" w:w="90"/>
              <w:left w:type="dxa" w:w="110"/>
              <w:bottom w:type="dxa" w:w="90"/>
              <w:right w:type="dxa" w:w="110"/>
            </w:tcMar>
          </w:tcPr>
          <w:p>
            <w:r>
              <w:rPr>
                <w:rFonts w:ascii="Arial" w:cs="Arial" w:eastAsia="Arial" w:hAnsi="Arial"/>
                <w:b/>
                <w:bCs/>
                <w:color w:val="FFFFFF"/>
                <w:sz w:val="17"/>
                <w:szCs w:val="17"/>
              </w:rPr>
              <w:t xml:space="preserve">Est. Cost</w:t>
            </w:r>
          </w:p>
        </w:tc>
        <w:tc>
          <w:tcPr>
            <w:tcW w:type="dxa" w:w="1300"/>
            <w:shd w:fill="1A1A1A" w:val="clear"/>
            <w:tcMar>
              <w:top w:type="dxa" w:w="90"/>
              <w:left w:type="dxa" w:w="110"/>
              <w:bottom w:type="dxa" w:w="90"/>
              <w:right w:type="dxa" w:w="110"/>
            </w:tcMar>
          </w:tcPr>
          <w:p>
            <w:r>
              <w:rPr>
                <w:rFonts w:ascii="Arial" w:cs="Arial" w:eastAsia="Arial" w:hAnsi="Arial"/>
                <w:b/>
                <w:bCs/>
                <w:color w:val="FFFFFF"/>
                <w:sz w:val="17"/>
                <w:szCs w:val="17"/>
              </w:rPr>
              <w:t xml:space="preserve">Category</w:t>
            </w:r>
          </w:p>
        </w:tc>
        <w:tc>
          <w:tcPr>
            <w:tcW w:type="dxa" w:w="5100"/>
            <w:shd w:fill="1A1A1A" w:val="clear"/>
            <w:tcMar>
              <w:top w:type="dxa" w:w="90"/>
              <w:left w:type="dxa" w:w="110"/>
              <w:bottom w:type="dxa" w:w="90"/>
              <w:right w:type="dxa" w:w="110"/>
            </w:tcMar>
          </w:tcPr>
          <w:p>
            <w:r>
              <w:rPr>
                <w:rFonts w:ascii="Arial" w:cs="Arial" w:eastAsia="Arial" w:hAnsi="Arial"/>
                <w:b/>
                <w:bCs/>
                <w:color w:val="FFFFFF"/>
                <w:sz w:val="17"/>
                <w:szCs w:val="17"/>
              </w:rPr>
              <w:t xml:space="preserve">Why It's Needed</w:t>
            </w:r>
          </w:p>
        </w:tc>
      </w:tr>
      <w:tr>
        <w:tc>
          <w:tcPr>
            <w:tcW w:type="dxa" w:w="2400"/>
            <w:tcMar>
              <w:top w:type="dxa" w:w="90"/>
              <w:left w:type="dxa" w:w="110"/>
              <w:bottom w:type="dxa" w:w="90"/>
              <w:right w:type="dxa" w:w="110"/>
            </w:tcMar>
          </w:tcPr>
          <w:p>
            <w:r>
              <w:rPr>
                <w:rFonts w:ascii="Arial" w:cs="Arial" w:eastAsia="Arial" w:hAnsi="Arial"/>
                <w:b/>
                <w:bCs/>
                <w:color w:val="1F2937"/>
                <w:sz w:val="18"/>
                <w:szCs w:val="18"/>
              </w:rPr>
              <w:t xml:space="preserve">Ahrefs or SEMrush</w:t>
            </w:r>
          </w:p>
        </w:tc>
        <w:tc>
          <w:tcPr>
            <w:tcW w:type="dxa" w:w="1400"/>
            <w:tcMar>
              <w:top w:type="dxa" w:w="90"/>
              <w:left w:type="dxa" w:w="110"/>
              <w:bottom w:type="dxa" w:w="90"/>
              <w:right w:type="dxa" w:w="110"/>
            </w:tcMar>
          </w:tcPr>
          <w:p>
            <w:r>
              <w:rPr>
                <w:rFonts w:ascii="Arial" w:cs="Arial" w:eastAsia="Arial" w:hAnsi="Arial"/>
                <w:b w:val="false"/>
                <w:bCs w:val="false"/>
                <w:color w:val="1F2937"/>
                <w:sz w:val="18"/>
                <w:szCs w:val="18"/>
              </w:rPr>
              <w:t xml:space="preserve">$129–249/mo</w:t>
            </w:r>
          </w:p>
        </w:tc>
        <w:tc>
          <w:tcPr>
            <w:tcW w:type="dxa" w:w="1300"/>
            <w:tcMar>
              <w:top w:type="dxa" w:w="90"/>
              <w:left w:type="dxa" w:w="110"/>
              <w:bottom w:type="dxa" w:w="90"/>
              <w:right w:type="dxa" w:w="110"/>
            </w:tcMar>
          </w:tcPr>
          <w:p>
            <w:r>
              <w:rPr>
                <w:rFonts w:ascii="Arial" w:cs="Arial" w:eastAsia="Arial" w:hAnsi="Arial"/>
                <w:b w:val="false"/>
                <w:bCs w:val="false"/>
                <w:color w:val="1F2937"/>
                <w:sz w:val="18"/>
                <w:szCs w:val="18"/>
              </w:rPr>
              <w:t xml:space="preserve">SEO</w:t>
            </w:r>
          </w:p>
        </w:tc>
        <w:tc>
          <w:tcPr>
            <w:tcW w:type="dxa" w:w="5100"/>
            <w:tcMar>
              <w:top w:type="dxa" w:w="90"/>
              <w:left w:type="dxa" w:w="110"/>
              <w:bottom w:type="dxa" w:w="90"/>
              <w:right w:type="dxa" w:w="110"/>
            </w:tcMar>
          </w:tcPr>
          <w:p>
            <w:r>
              <w:rPr>
                <w:rFonts w:ascii="Arial" w:cs="Arial" w:eastAsia="Arial" w:hAnsi="Arial"/>
                <w:b w:val="false"/>
                <w:bCs w:val="false"/>
                <w:color w:val="1F2937"/>
                <w:sz w:val="18"/>
                <w:szCs w:val="18"/>
              </w:rPr>
              <w:t xml:space="preserve">Real keyword research, rank tracking and backlink audits for the SEO services already in the price sheet — right now that work is manual or free-tool based.</w:t>
            </w:r>
          </w:p>
        </w:tc>
      </w:tr>
      <w:tr>
        <w:tc>
          <w:tcPr>
            <w:tcW w:type="dxa" w:w="2400"/>
            <w:shd w:fill="F6F5F3" w:val="clear"/>
            <w:tcMar>
              <w:top w:type="dxa" w:w="90"/>
              <w:left w:type="dxa" w:w="110"/>
              <w:bottom w:type="dxa" w:w="90"/>
              <w:right w:type="dxa" w:w="110"/>
            </w:tcMar>
          </w:tcPr>
          <w:p>
            <w:r>
              <w:rPr>
                <w:rFonts w:ascii="Arial" w:cs="Arial" w:eastAsia="Arial" w:hAnsi="Arial"/>
                <w:b/>
                <w:bCs/>
                <w:color w:val="1F2937"/>
                <w:sz w:val="18"/>
                <w:szCs w:val="18"/>
              </w:rPr>
              <w:t xml:space="preserve">Buffer or Sprout Social</w:t>
            </w:r>
          </w:p>
        </w:tc>
        <w:tc>
          <w:tcPr>
            <w:tcW w:type="dxa" w:w="14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$5–199/mo</w:t>
            </w:r>
          </w:p>
        </w:tc>
        <w:tc>
          <w:tcPr>
            <w:tcW w:type="dxa" w:w="13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Social</w:t>
            </w:r>
          </w:p>
        </w:tc>
        <w:tc>
          <w:tcPr>
            <w:tcW w:type="dxa" w:w="51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Actual scheduling/publishing for Organic Social &amp; Paid Social instead of posting manually to every platform.</w:t>
            </w:r>
          </w:p>
        </w:tc>
      </w:tr>
      <w:tr>
        <w:tc>
          <w:tcPr>
            <w:tcW w:type="dxa" w:w="2400"/>
            <w:tcMar>
              <w:top w:type="dxa" w:w="90"/>
              <w:left w:type="dxa" w:w="110"/>
              <w:bottom w:type="dxa" w:w="90"/>
              <w:right w:type="dxa" w:w="110"/>
            </w:tcMar>
          </w:tcPr>
          <w:p>
            <w:r>
              <w:rPr>
                <w:rFonts w:ascii="Arial" w:cs="Arial" w:eastAsia="Arial" w:hAnsi="Arial"/>
                <w:b/>
                <w:bCs/>
                <w:color w:val="1F2937"/>
                <w:sz w:val="18"/>
                <w:szCs w:val="18"/>
              </w:rPr>
              <w:t xml:space="preserve">Adobe Creative Cloud or Canva Pro</w:t>
            </w:r>
          </w:p>
        </w:tc>
        <w:tc>
          <w:tcPr>
            <w:tcW w:type="dxa" w:w="1400"/>
            <w:tcMar>
              <w:top w:type="dxa" w:w="90"/>
              <w:left w:type="dxa" w:w="110"/>
              <w:bottom w:type="dxa" w:w="90"/>
              <w:right w:type="dxa" w:w="110"/>
            </w:tcMar>
          </w:tcPr>
          <w:p>
            <w:r>
              <w:rPr>
                <w:rFonts w:ascii="Arial" w:cs="Arial" w:eastAsia="Arial" w:hAnsi="Arial"/>
                <w:b w:val="false"/>
                <w:bCs w:val="false"/>
                <w:color w:val="1F2937"/>
                <w:sz w:val="18"/>
                <w:szCs w:val="18"/>
              </w:rPr>
              <w:t xml:space="preserve">$15–70/mo</w:t>
            </w:r>
          </w:p>
        </w:tc>
        <w:tc>
          <w:tcPr>
            <w:tcW w:type="dxa" w:w="1300"/>
            <w:tcMar>
              <w:top w:type="dxa" w:w="90"/>
              <w:left w:type="dxa" w:w="110"/>
              <w:bottom w:type="dxa" w:w="90"/>
              <w:right w:type="dxa" w:w="110"/>
            </w:tcMar>
          </w:tcPr>
          <w:p>
            <w:r>
              <w:rPr>
                <w:rFonts w:ascii="Arial" w:cs="Arial" w:eastAsia="Arial" w:hAnsi="Arial"/>
                <w:b w:val="false"/>
                <w:bCs w:val="false"/>
                <w:color w:val="1F2937"/>
                <w:sz w:val="18"/>
                <w:szCs w:val="18"/>
              </w:rPr>
              <w:t xml:space="preserve">Design</w:t>
            </w:r>
          </w:p>
        </w:tc>
        <w:tc>
          <w:tcPr>
            <w:tcW w:type="dxa" w:w="5100"/>
            <w:tcMar>
              <w:top w:type="dxa" w:w="90"/>
              <w:left w:type="dxa" w:w="110"/>
              <w:bottom w:type="dxa" w:w="90"/>
              <w:right w:type="dxa" w:w="110"/>
            </w:tcMar>
          </w:tcPr>
          <w:p>
            <w:r>
              <w:rPr>
                <w:rFonts w:ascii="Arial" w:cs="Arial" w:eastAsia="Arial" w:hAnsi="Arial"/>
                <w:b w:val="false"/>
                <w:bCs w:val="false"/>
                <w:color w:val="1F2937"/>
                <w:sz w:val="18"/>
                <w:szCs w:val="18"/>
              </w:rPr>
              <w:t xml:space="preserve">Needed to deliver the new Branding &amp; Design services — logo design, brand guides, social templates.</w:t>
            </w:r>
          </w:p>
        </w:tc>
      </w:tr>
      <w:tr>
        <w:tc>
          <w:tcPr>
            <w:tcW w:type="dxa" w:w="2400"/>
            <w:shd w:fill="F6F5F3" w:val="clear"/>
            <w:tcMar>
              <w:top w:type="dxa" w:w="90"/>
              <w:left w:type="dxa" w:w="110"/>
              <w:bottom w:type="dxa" w:w="90"/>
              <w:right w:type="dxa" w:w="110"/>
            </w:tcMar>
          </w:tcPr>
          <w:p>
            <w:r>
              <w:rPr>
                <w:rFonts w:ascii="Arial" w:cs="Arial" w:eastAsia="Arial" w:hAnsi="Arial"/>
                <w:b/>
                <w:bCs/>
                <w:color w:val="1F2937"/>
                <w:sz w:val="18"/>
                <w:szCs w:val="18"/>
              </w:rPr>
              <w:t xml:space="preserve">AgencyAnalytics</w:t>
            </w:r>
          </w:p>
        </w:tc>
        <w:tc>
          <w:tcPr>
            <w:tcW w:type="dxa" w:w="14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$59–229/mo</w:t>
            </w:r>
          </w:p>
        </w:tc>
        <w:tc>
          <w:tcPr>
            <w:tcW w:type="dxa" w:w="13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Reporting</w:t>
            </w:r>
          </w:p>
        </w:tc>
        <w:tc>
          <w:tcPr>
            <w:tcW w:type="dxa" w:w="51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Automates Monthly Report Delivery and the various Reporting line items instead of hand-building client reports.</w:t>
            </w:r>
          </w:p>
        </w:tc>
      </w:tr>
      <w:tr>
        <w:tc>
          <w:tcPr>
            <w:tcW w:type="dxa" w:w="2400"/>
            <w:tcMar>
              <w:top w:type="dxa" w:w="90"/>
              <w:left w:type="dxa" w:w="110"/>
              <w:bottom w:type="dxa" w:w="90"/>
              <w:right w:type="dxa" w:w="110"/>
            </w:tcMar>
          </w:tcPr>
          <w:p>
            <w:r>
              <w:rPr>
                <w:rFonts w:ascii="Arial" w:cs="Arial" w:eastAsia="Arial" w:hAnsi="Arial"/>
                <w:b/>
                <w:bCs/>
                <w:color w:val="1F2937"/>
                <w:sz w:val="18"/>
                <w:szCs w:val="18"/>
              </w:rPr>
              <w:t xml:space="preserve">Klaviyo or Mailchimp — a real account</w:t>
            </w:r>
          </w:p>
        </w:tc>
        <w:tc>
          <w:tcPr>
            <w:tcW w:type="dxa" w:w="1400"/>
            <w:tcMar>
              <w:top w:type="dxa" w:w="90"/>
              <w:left w:type="dxa" w:w="110"/>
              <w:bottom w:type="dxa" w:w="90"/>
              <w:right w:type="dxa" w:w="110"/>
            </w:tcMar>
          </w:tcPr>
          <w:p>
            <w:r>
              <w:rPr>
                <w:rFonts w:ascii="Arial" w:cs="Arial" w:eastAsia="Arial" w:hAnsi="Arial"/>
                <w:b w:val="false"/>
                <w:bCs w:val="false"/>
                <w:color w:val="1F2937"/>
                <w:sz w:val="18"/>
                <w:szCs w:val="18"/>
              </w:rPr>
              <w:t xml:space="preserve">$20–65+/mo</w:t>
            </w:r>
          </w:p>
        </w:tc>
        <w:tc>
          <w:tcPr>
            <w:tcW w:type="dxa" w:w="1300"/>
            <w:tcMar>
              <w:top w:type="dxa" w:w="90"/>
              <w:left w:type="dxa" w:w="110"/>
              <w:bottom w:type="dxa" w:w="90"/>
              <w:right w:type="dxa" w:w="110"/>
            </w:tcMar>
          </w:tcPr>
          <w:p>
            <w:r>
              <w:rPr>
                <w:rFonts w:ascii="Arial" w:cs="Arial" w:eastAsia="Arial" w:hAnsi="Arial"/>
                <w:b w:val="false"/>
                <w:bCs w:val="false"/>
                <w:color w:val="1F2937"/>
                <w:sz w:val="18"/>
                <w:szCs w:val="18"/>
              </w:rPr>
              <w:t xml:space="preserve">Email</w:t>
            </w:r>
          </w:p>
        </w:tc>
        <w:tc>
          <w:tcPr>
            <w:tcW w:type="dxa" w:w="5100"/>
            <w:tcMar>
              <w:top w:type="dxa" w:w="90"/>
              <w:left w:type="dxa" w:w="110"/>
              <w:bottom w:type="dxa" w:w="90"/>
              <w:right w:type="dxa" w:w="110"/>
            </w:tcMar>
          </w:tcPr>
          <w:p>
            <w:r>
              <w:rPr>
                <w:rFonts w:ascii="Arial" w:cs="Arial" w:eastAsia="Arial" w:hAnsi="Arial"/>
                <w:b w:val="false"/>
                <w:bCs w:val="false"/>
                <w:color w:val="1F2937"/>
                <w:sz w:val="18"/>
                <w:szCs w:val="18"/>
              </w:rPr>
              <w:t xml:space="preserve">The Email Marketing services are already in the price catalog, but there's no live account behind them yet.</w:t>
            </w:r>
          </w:p>
        </w:tc>
      </w:tr>
      <w:tr>
        <w:tc>
          <w:tcPr>
            <w:tcW w:type="dxa" w:w="2400"/>
            <w:shd w:fill="F6F5F3" w:val="clear"/>
            <w:tcMar>
              <w:top w:type="dxa" w:w="90"/>
              <w:left w:type="dxa" w:w="110"/>
              <w:bottom w:type="dxa" w:w="90"/>
              <w:right w:type="dxa" w:w="110"/>
            </w:tcMar>
          </w:tcPr>
          <w:p>
            <w:r>
              <w:rPr>
                <w:rFonts w:ascii="Arial" w:cs="Arial" w:eastAsia="Arial" w:hAnsi="Arial"/>
                <w:b/>
                <w:bCs/>
                <w:color w:val="1F2937"/>
                <w:sz w:val="18"/>
                <w:szCs w:val="18"/>
              </w:rPr>
              <w:t xml:space="preserve">HubSpot Marketing Hub — a real account</w:t>
            </w:r>
          </w:p>
        </w:tc>
        <w:tc>
          <w:tcPr>
            <w:tcW w:type="dxa" w:w="14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$20+/seat/mo</w:t>
            </w:r>
          </w:p>
        </w:tc>
        <w:tc>
          <w:tcPr>
            <w:tcW w:type="dxa" w:w="13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CRM / Automation</w:t>
            </w:r>
          </w:p>
        </w:tc>
        <w:tc>
          <w:tcPr>
            <w:tcW w:type="dxa" w:w="51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Same gap as above — it's priced as a sellable line item but not confirmed as a tool actually in use.</w:t>
            </w:r>
          </w:p>
        </w:tc>
      </w:tr>
      <w:tr>
        <w:tc>
          <w:tcPr>
            <w:tcW w:type="dxa" w:w="2400"/>
            <w:tcMar>
              <w:top w:type="dxa" w:w="90"/>
              <w:left w:type="dxa" w:w="110"/>
              <w:bottom w:type="dxa" w:w="90"/>
              <w:right w:type="dxa" w:w="110"/>
            </w:tcMar>
          </w:tcPr>
          <w:p>
            <w:r>
              <w:rPr>
                <w:rFonts w:ascii="Arial" w:cs="Arial" w:eastAsia="Arial" w:hAnsi="Arial"/>
                <w:b/>
                <w:bCs/>
                <w:color w:val="1F2937"/>
                <w:sz w:val="18"/>
                <w:szCs w:val="18"/>
              </w:rPr>
              <w:t xml:space="preserve">Framer</w:t>
            </w:r>
          </w:p>
        </w:tc>
        <w:tc>
          <w:tcPr>
            <w:tcW w:type="dxa" w:w="1400"/>
            <w:tcMar>
              <w:top w:type="dxa" w:w="90"/>
              <w:left w:type="dxa" w:w="110"/>
              <w:bottom w:type="dxa" w:w="90"/>
              <w:right w:type="dxa" w:w="110"/>
            </w:tcMar>
          </w:tcPr>
          <w:p>
            <w:r>
              <w:rPr>
                <w:rFonts w:ascii="Arial" w:cs="Arial" w:eastAsia="Arial" w:hAnsi="Arial"/>
                <w:b w:val="false"/>
                <w:bCs w:val="false"/>
                <w:color w:val="1F2937"/>
                <w:sz w:val="18"/>
                <w:szCs w:val="18"/>
              </w:rPr>
              <w:t xml:space="preserve">From ~$15–35/mo per site</w:t>
            </w:r>
          </w:p>
        </w:tc>
        <w:tc>
          <w:tcPr>
            <w:tcW w:type="dxa" w:w="1300"/>
            <w:tcMar>
              <w:top w:type="dxa" w:w="90"/>
              <w:left w:type="dxa" w:w="110"/>
              <w:bottom w:type="dxa" w:w="90"/>
              <w:right w:type="dxa" w:w="110"/>
            </w:tcMar>
          </w:tcPr>
          <w:p>
            <w:r>
              <w:rPr>
                <w:rFonts w:ascii="Arial" w:cs="Arial" w:eastAsia="Arial" w:hAnsi="Arial"/>
                <w:b w:val="false"/>
                <w:bCs w:val="false"/>
                <w:color w:val="1F2937"/>
                <w:sz w:val="18"/>
                <w:szCs w:val="18"/>
              </w:rPr>
              <w:t xml:space="preserve">Web Dev</w:t>
            </w:r>
          </w:p>
        </w:tc>
        <w:tc>
          <w:tcPr>
            <w:tcW w:type="dxa" w:w="5100"/>
            <w:tcMar>
              <w:top w:type="dxa" w:w="90"/>
              <w:left w:type="dxa" w:w="110"/>
              <w:bottom w:type="dxa" w:w="90"/>
              <w:right w:type="dxa" w:w="110"/>
            </w:tcMar>
          </w:tcPr>
          <w:p>
            <w:r>
              <w:rPr>
                <w:rFonts w:ascii="Arial" w:cs="Arial" w:eastAsia="Arial" w:hAnsi="Arial"/>
                <w:b w:val="false"/>
                <w:bCs w:val="false"/>
                <w:color w:val="1F2937"/>
                <w:sz w:val="18"/>
                <w:szCs w:val="18"/>
              </w:rPr>
              <w:t xml:space="preserve">For client sites where design speed/animation matters most — portfolios, campaign pages, service-based sites without heavy content or e-commerce.</w:t>
            </w:r>
          </w:p>
        </w:tc>
      </w:tr>
      <w:tr>
        <w:tc>
          <w:tcPr>
            <w:tcW w:type="dxa" w:w="2400"/>
            <w:shd w:fill="F6F5F3" w:val="clear"/>
            <w:tcMar>
              <w:top w:type="dxa" w:w="90"/>
              <w:left w:type="dxa" w:w="110"/>
              <w:bottom w:type="dxa" w:w="90"/>
              <w:right w:type="dxa" w:w="110"/>
            </w:tcMar>
          </w:tcPr>
          <w:p>
            <w:r>
              <w:rPr>
                <w:rFonts w:ascii="Arial" w:cs="Arial" w:eastAsia="Arial" w:hAnsi="Arial"/>
                <w:b/>
                <w:bCs/>
                <w:color w:val="1F2937"/>
                <w:sz w:val="18"/>
                <w:szCs w:val="18"/>
              </w:rPr>
              <w:t xml:space="preserve">Webflow</w:t>
            </w:r>
          </w:p>
        </w:tc>
        <w:tc>
          <w:tcPr>
            <w:tcW w:type="dxa" w:w="14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$19–39/mo per site</w:t>
            </w:r>
          </w:p>
        </w:tc>
        <w:tc>
          <w:tcPr>
            <w:tcW w:type="dxa" w:w="13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Web Dev</w:t>
            </w:r>
          </w:p>
        </w:tc>
        <w:tc>
          <w:tcPr>
            <w:tcW w:type="dxa" w:w="51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For client sites needing deeper CMS control, technical SEO, or small-scale native e-commerce that Framer can't handle well.</w:t>
            </w:r>
          </w:p>
        </w:tc>
      </w:tr>
      <w:tr>
        <w:tc>
          <w:tcPr>
            <w:tcW w:type="dxa" w:w="2400"/>
            <w:tcMar>
              <w:top w:type="dxa" w:w="90"/>
              <w:left w:type="dxa" w:w="110"/>
              <w:bottom w:type="dxa" w:w="90"/>
              <w:right w:type="dxa" w:w="110"/>
            </w:tcMar>
          </w:tcPr>
          <w:p>
            <w:r>
              <w:rPr>
                <w:rFonts w:ascii="Arial" w:cs="Arial" w:eastAsia="Arial" w:hAnsi="Arial"/>
                <w:b/>
                <w:bCs/>
                <w:color w:val="1F2937"/>
                <w:sz w:val="18"/>
                <w:szCs w:val="18"/>
              </w:rPr>
              <w:t xml:space="preserve">Shopify Plus</w:t>
            </w:r>
          </w:p>
        </w:tc>
        <w:tc>
          <w:tcPr>
            <w:tcW w:type="dxa" w:w="1400"/>
            <w:tcMar>
              <w:top w:type="dxa" w:w="90"/>
              <w:left w:type="dxa" w:w="110"/>
              <w:bottom w:type="dxa" w:w="90"/>
              <w:right w:type="dxa" w:w="110"/>
            </w:tcMar>
          </w:tcPr>
          <w:p>
            <w:r>
              <w:rPr>
                <w:rFonts w:ascii="Arial" w:cs="Arial" w:eastAsia="Arial" w:hAnsi="Arial"/>
                <w:b w:val="false"/>
                <w:bCs w:val="false"/>
                <w:color w:val="1F2937"/>
                <w:sz w:val="18"/>
                <w:szCs w:val="18"/>
              </w:rPr>
              <w:t xml:space="preserve">~$2,300/mo+</w:t>
            </w:r>
          </w:p>
        </w:tc>
        <w:tc>
          <w:tcPr>
            <w:tcW w:type="dxa" w:w="1300"/>
            <w:tcMar>
              <w:top w:type="dxa" w:w="90"/>
              <w:left w:type="dxa" w:w="110"/>
              <w:bottom w:type="dxa" w:w="90"/>
              <w:right w:type="dxa" w:w="110"/>
            </w:tcMar>
          </w:tcPr>
          <w:p>
            <w:r>
              <w:rPr>
                <w:rFonts w:ascii="Arial" w:cs="Arial" w:eastAsia="Arial" w:hAnsi="Arial"/>
                <w:b w:val="false"/>
                <w:bCs w:val="false"/>
                <w:color w:val="1F2937"/>
                <w:sz w:val="18"/>
                <w:szCs w:val="18"/>
              </w:rPr>
              <w:t xml:space="preserve">Web Dev / E-commerce</w:t>
            </w:r>
          </w:p>
        </w:tc>
        <w:tc>
          <w:tcPr>
            <w:tcW w:type="dxa" w:w="5100"/>
            <w:tcMar>
              <w:top w:type="dxa" w:w="90"/>
              <w:left w:type="dxa" w:w="110"/>
              <w:bottom w:type="dxa" w:w="90"/>
              <w:right w:type="dxa" w:w="110"/>
            </w:tcMar>
          </w:tcPr>
          <w:p>
            <w:r>
              <w:rPr>
                <w:rFonts w:ascii="Arial" w:cs="Arial" w:eastAsia="Arial" w:hAnsi="Arial"/>
                <w:b w:val="false"/>
                <w:bCs w:val="false"/>
                <w:color w:val="1F2937"/>
                <w:sz w:val="18"/>
                <w:szCs w:val="18"/>
              </w:rPr>
              <w:t xml:space="preserve">For a client whose store outgrows small-scale — fastest to launch, biggest app ecosystem, best for high-volume selling without heavy customization. Base fee plus a small % of sales past $800K/mo.</w:t>
            </w:r>
          </w:p>
        </w:tc>
      </w:tr>
      <w:tr>
        <w:tc>
          <w:tcPr>
            <w:tcW w:type="dxa" w:w="2400"/>
            <w:shd w:fill="F6F5F3" w:val="clear"/>
            <w:tcMar>
              <w:top w:type="dxa" w:w="90"/>
              <w:left w:type="dxa" w:w="110"/>
              <w:bottom w:type="dxa" w:w="90"/>
              <w:right w:type="dxa" w:w="110"/>
            </w:tcMar>
          </w:tcPr>
          <w:p>
            <w:r>
              <w:rPr>
                <w:rFonts w:ascii="Arial" w:cs="Arial" w:eastAsia="Arial" w:hAnsi="Arial"/>
                <w:b/>
                <w:bCs/>
                <w:color w:val="1F2937"/>
                <w:sz w:val="18"/>
                <w:szCs w:val="18"/>
              </w:rPr>
              <w:t xml:space="preserve">BigCommerce Enterprise</w:t>
            </w:r>
          </w:p>
        </w:tc>
        <w:tc>
          <w:tcPr>
            <w:tcW w:type="dxa" w:w="14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$1,000–15,000+/mo</w:t>
            </w:r>
          </w:p>
        </w:tc>
        <w:tc>
          <w:tcPr>
            <w:tcW w:type="dxa" w:w="13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Web Dev / E-commerce</w:t>
            </w:r>
          </w:p>
        </w:tc>
        <w:tc>
          <w:tcPr>
            <w:tcW w:type="dxa" w:w="51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Alternative to Shopify Plus for a client with a large/complex catalog, B2B pricing rules, or multi-storefront needs — more native features, fewer paid apps required. Custom-quoted by volume.</w:t>
            </w:r>
          </w:p>
        </w:tc>
      </w:tr>
    </w:tbl>
    <w:p>
      <w:pPr>
        <w:pBdr>
          <w:top w:val="single" w:color="E5E7EB" w:sz="4" w:space="8"/>
        </w:pBdr>
        <w:spacing w:after="0" w:before="280"/>
      </w:pPr>
      <w:r>
        <w:rPr>
          <w:rFonts w:ascii="Arial" w:cs="Arial" w:eastAsia="Arial" w:hAnsi="Arial"/>
          <w:b/>
          <w:bCs/>
          <w:color w:val="F68D5F"/>
          <w:spacing w:val="20"/>
          <w:sz w:val="16"/>
          <w:szCs w:val="16"/>
        </w:rPr>
        <w:t xml:space="preserve">FUTURE LAUNCH</w:t>
      </w:r>
    </w:p>
    <w:p>
      <w:pPr>
        <w:spacing w:after="160" w:before="60"/>
      </w:pPr>
      <w:r>
        <w:rPr>
          <w:rFonts w:ascii="Arial" w:cs="Arial" w:eastAsia="Arial" w:hAnsi="Arial"/>
          <w:b/>
          <w:bCs/>
          <w:color w:val="1F2937"/>
          <w:sz w:val="27"/>
          <w:szCs w:val="27"/>
        </w:rPr>
        <w:t xml:space="preserve">AV / Production Equipment &amp; Software</w:t>
      </w:r>
    </w:p>
    <w:p>
      <w:pPr>
        <w:spacing w:after="180"/>
      </w:pPr>
      <w:r>
        <w:rPr>
          <w:rFonts w:ascii="Arial" w:cs="Arial" w:eastAsia="Arial" w:hAnsi="Arial"/>
          <w:i w:val="false"/>
          <w:iCs w:val="false"/>
          <w:color w:val="374151"/>
          <w:sz w:val="20"/>
          <w:szCs w:val="20"/>
        </w:rPr>
        <w:t xml:space="preserve">Revital's original business, paused while marketing funds the eventual AV/live-events launch. These are the tools and gear that unlock actually running that side again.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5200"/>
      </w:tblGrid>
      <w:tr>
        <w:trPr>
          <w:tblHeader/>
        </w:trPr>
        <w:tc>
          <w:tcPr>
            <w:tcW w:type="dxa" w:w="3200"/>
            <w:shd w:fill="1A1A1A" w:val="clear"/>
            <w:tcMar>
              <w:top w:type="dxa" w:w="90"/>
              <w:left w:type="dxa" w:w="110"/>
              <w:bottom w:type="dxa" w:w="90"/>
              <w:right w:type="dxa" w:w="110"/>
            </w:tcMar>
          </w:tcPr>
          <w:p>
            <w:r>
              <w:rPr>
                <w:rFonts w:ascii="Arial" w:cs="Arial" w:eastAsia="Arial" w:hAnsi="Arial"/>
                <w:b/>
                <w:bCs/>
                <w:color w:val="FFFFFF"/>
                <w:sz w:val="17"/>
                <w:szCs w:val="17"/>
              </w:rPr>
              <w:t xml:space="preserve">Item</w:t>
            </w:r>
          </w:p>
        </w:tc>
        <w:tc>
          <w:tcPr>
            <w:tcW w:type="dxa" w:w="1800"/>
            <w:shd w:fill="1A1A1A" w:val="clear"/>
            <w:tcMar>
              <w:top w:type="dxa" w:w="90"/>
              <w:left w:type="dxa" w:w="110"/>
              <w:bottom w:type="dxa" w:w="90"/>
              <w:right w:type="dxa" w:w="110"/>
            </w:tcMar>
          </w:tcPr>
          <w:p>
            <w:r>
              <w:rPr>
                <w:rFonts w:ascii="Arial" w:cs="Arial" w:eastAsia="Arial" w:hAnsi="Arial"/>
                <w:b/>
                <w:bCs/>
                <w:color w:val="FFFFFF"/>
                <w:sz w:val="17"/>
                <w:szCs w:val="17"/>
              </w:rPr>
              <w:t xml:space="preserve">Est. Cost</w:t>
            </w:r>
          </w:p>
        </w:tc>
        <w:tc>
          <w:tcPr>
            <w:tcW w:type="dxa" w:w="5200"/>
            <w:shd w:fill="1A1A1A" w:val="clear"/>
            <w:tcMar>
              <w:top w:type="dxa" w:w="90"/>
              <w:left w:type="dxa" w:w="110"/>
              <w:bottom w:type="dxa" w:w="90"/>
              <w:right w:type="dxa" w:w="110"/>
            </w:tcMar>
          </w:tcPr>
          <w:p>
            <w:r>
              <w:rPr>
                <w:rFonts w:ascii="Arial" w:cs="Arial" w:eastAsia="Arial" w:hAnsi="Arial"/>
                <w:b/>
                <w:bCs/>
                <w:color w:val="FFFFFF"/>
                <w:sz w:val="17"/>
                <w:szCs w:val="17"/>
              </w:rPr>
              <w:t xml:space="preserve">Why It's Needed</w:t>
            </w:r>
          </w:p>
        </w:tc>
      </w:tr>
      <w:tr>
        <w:tc>
          <w:tcPr>
            <w:tcW w:type="dxa" w:w="3200"/>
            <w:tcMar>
              <w:top w:type="dxa" w:w="90"/>
              <w:left w:type="dxa" w:w="110"/>
              <w:bottom w:type="dxa" w:w="90"/>
              <w:right w:type="dxa" w:w="110"/>
            </w:tcMar>
          </w:tcPr>
          <w:p>
            <w:r>
              <w:rPr>
                <w:rFonts w:ascii="Arial" w:cs="Arial" w:eastAsia="Arial" w:hAnsi="Arial"/>
                <w:b/>
                <w:bCs/>
                <w:color w:val="1F2937"/>
                <w:sz w:val="18"/>
                <w:szCs w:val="18"/>
              </w:rPr>
              <w:t xml:space="preserve">DaVinci Resolve Studio (additional seats)</w:t>
            </w:r>
          </w:p>
        </w:tc>
        <w:tc>
          <w:tcPr>
            <w:tcW w:type="dxa" w:w="1800"/>
            <w:tcMar>
              <w:top w:type="dxa" w:w="90"/>
              <w:left w:type="dxa" w:w="110"/>
              <w:bottom w:type="dxa" w:w="90"/>
              <w:right w:type="dxa" w:w="110"/>
            </w:tcMar>
          </w:tcPr>
          <w:p>
            <w:r>
              <w:rPr>
                <w:rFonts w:ascii="Arial" w:cs="Arial" w:eastAsia="Arial" w:hAnsi="Arial"/>
                <w:b w:val="false"/>
                <w:bCs w:val="false"/>
                <w:color w:val="1F2937"/>
                <w:sz w:val="18"/>
                <w:szCs w:val="18"/>
              </w:rPr>
              <w:t xml:space="preserve">$295 one-time/seat</w:t>
            </w:r>
          </w:p>
        </w:tc>
        <w:tc>
          <w:tcPr>
            <w:tcW w:type="dxa" w:w="5200"/>
            <w:tcMar>
              <w:top w:type="dxa" w:w="90"/>
              <w:left w:type="dxa" w:w="110"/>
              <w:bottom w:type="dxa" w:w="90"/>
              <w:right w:type="dxa" w:w="110"/>
            </w:tcMar>
          </w:tcPr>
          <w:p>
            <w:r>
              <w:rPr>
                <w:rFonts w:ascii="Arial" w:cs="Arial" w:eastAsia="Arial" w:hAnsi="Arial"/>
                <w:b w:val="false"/>
                <w:bCs w:val="false"/>
                <w:color w:val="1F2937"/>
                <w:sz w:val="18"/>
                <w:szCs w:val="18"/>
              </w:rPr>
              <w:t xml:space="preserve">You already have a license — this is for when additional editors/team members need their own copy. One-time cost per seat, no subscription.</w:t>
            </w:r>
          </w:p>
        </w:tc>
      </w:tr>
      <w:tr>
        <w:tc>
          <w:tcPr>
            <w:tcW w:type="dxa" w:w="3200"/>
            <w:shd w:fill="F6F5F3" w:val="clear"/>
            <w:tcMar>
              <w:top w:type="dxa" w:w="90"/>
              <w:left w:type="dxa" w:w="110"/>
              <w:bottom w:type="dxa" w:w="90"/>
              <w:right w:type="dxa" w:w="110"/>
            </w:tcMar>
          </w:tcPr>
          <w:p>
            <w:r>
              <w:rPr>
                <w:rFonts w:ascii="Arial" w:cs="Arial" w:eastAsia="Arial" w:hAnsi="Arial"/>
                <w:b/>
                <w:bCs/>
                <w:color w:val="1F2937"/>
                <w:sz w:val="18"/>
                <w:szCs w:val="18"/>
              </w:rPr>
              <w:t xml:space="preserve">Rentman</w:t>
            </w:r>
          </w:p>
        </w:tc>
        <w:tc>
          <w:tcPr>
            <w:tcW w:type="dxa" w:w="18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$14–39/user/mo</w:t>
            </w:r>
          </w:p>
        </w:tc>
        <w:tc>
          <w:tcPr>
            <w:tcW w:type="dxa" w:w="52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AV/event rental scheduling — crew assignments, equipment calendar and double-booking prevention, quoting-to-invoicing. Built specifically for AV rental and event production companies; syncs with QuickBooks and Stripe.</w:t>
            </w:r>
          </w:p>
        </w:tc>
      </w:tr>
      <w:tr>
        <w:tc>
          <w:tcPr>
            <w:tcW w:type="dxa" w:w="3200"/>
            <w:tcMar>
              <w:top w:type="dxa" w:w="90"/>
              <w:left w:type="dxa" w:w="110"/>
              <w:bottom w:type="dxa" w:w="90"/>
              <w:right w:type="dxa" w:w="110"/>
            </w:tcMar>
          </w:tcPr>
          <w:p>
            <w:r>
              <w:rPr>
                <w:rFonts w:ascii="Arial" w:cs="Arial" w:eastAsia="Arial" w:hAnsi="Arial"/>
                <w:b/>
                <w:bCs/>
                <w:color w:val="1F2937"/>
                <w:sz w:val="18"/>
                <w:szCs w:val="18"/>
              </w:rPr>
              <w:t xml:space="preserve">Cheqroom</w:t>
            </w:r>
          </w:p>
        </w:tc>
        <w:tc>
          <w:tcPr>
            <w:tcW w:type="dxa" w:w="1800"/>
            <w:tcMar>
              <w:top w:type="dxa" w:w="90"/>
              <w:left w:type="dxa" w:w="110"/>
              <w:bottom w:type="dxa" w:w="90"/>
              <w:right w:type="dxa" w:w="110"/>
            </w:tcMar>
          </w:tcPr>
          <w:p>
            <w:r>
              <w:rPr>
                <w:rFonts w:ascii="Arial" w:cs="Arial" w:eastAsia="Arial" w:hAnsi="Arial"/>
                <w:b w:val="false"/>
                <w:bCs w:val="false"/>
                <w:color w:val="1F2937"/>
                <w:sz w:val="18"/>
                <w:szCs w:val="18"/>
              </w:rPr>
              <w:t xml:space="preserve">From ~$184/mo (unlimited assets, priced per gear manager)</w:t>
            </w:r>
          </w:p>
        </w:tc>
        <w:tc>
          <w:tcPr>
            <w:tcW w:type="dxa" w:w="5200"/>
            <w:tcMar>
              <w:top w:type="dxa" w:w="90"/>
              <w:left w:type="dxa" w:w="110"/>
              <w:bottom w:type="dxa" w:w="90"/>
              <w:right w:type="dxa" w:w="110"/>
            </w:tcMar>
          </w:tcPr>
          <w:p>
            <w:r>
              <w:rPr>
                <w:rFonts w:ascii="Arial" w:cs="Arial" w:eastAsia="Arial" w:hAnsi="Arial"/>
                <w:b w:val="false"/>
                <w:bCs w:val="false"/>
                <w:color w:val="1F2937"/>
                <w:sz w:val="18"/>
                <w:szCs w:val="18"/>
              </w:rPr>
              <w:t xml:space="preserve">Equipment checkout and asset tracking — QR/barcode check-in/out for cameras, audio and lighting gear, plus maintenance scheduling. Keeps track of what's out, with whom, and what needs servicing.</w:t>
            </w:r>
          </w:p>
        </w:tc>
      </w:tr>
      <w:tr>
        <w:tc>
          <w:tcPr>
            <w:tcW w:type="dxa" w:w="3200"/>
            <w:shd w:fill="F6F5F3" w:val="clear"/>
            <w:tcMar>
              <w:top w:type="dxa" w:w="90"/>
              <w:left w:type="dxa" w:w="110"/>
              <w:bottom w:type="dxa" w:w="90"/>
              <w:right w:type="dxa" w:w="110"/>
            </w:tcMar>
          </w:tcPr>
          <w:p>
            <w:r>
              <w:rPr>
                <w:rFonts w:ascii="Arial" w:cs="Arial" w:eastAsia="Arial" w:hAnsi="Arial"/>
                <w:b/>
                <w:bCs/>
                <w:color w:val="1F2937"/>
                <w:sz w:val="18"/>
                <w:szCs w:val="18"/>
              </w:rPr>
              <w:t xml:space="preserve">Camera / audio / lighting upgrades</w:t>
            </w:r>
          </w:p>
        </w:tc>
        <w:tc>
          <w:tcPr>
            <w:tcW w:type="dxa" w:w="18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Varies, often $2,000–$10,000+</w:t>
            </w:r>
          </w:p>
        </w:tc>
        <w:tc>
          <w:tcPr>
            <w:tcW w:type="dxa" w:w="52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Core AV production equipment for shoots.</w:t>
            </w:r>
          </w:p>
        </w:tc>
      </w:tr>
      <w:tr>
        <w:tc>
          <w:tcPr>
            <w:tcW w:type="dxa" w:w="3200"/>
            <w:tcMar>
              <w:top w:type="dxa" w:w="90"/>
              <w:left w:type="dxa" w:w="110"/>
              <w:bottom w:type="dxa" w:w="90"/>
              <w:right w:type="dxa" w:w="110"/>
            </w:tcMar>
          </w:tcPr>
          <w:p>
            <w:r>
              <w:rPr>
                <w:rFonts w:ascii="Arial" w:cs="Arial" w:eastAsia="Arial" w:hAnsi="Arial"/>
                <w:b/>
                <w:bCs/>
                <w:color w:val="1F2937"/>
                <w:sz w:val="18"/>
                <w:szCs w:val="18"/>
              </w:rPr>
              <w:t xml:space="preserve">Live event AV gear (mixers, PA systems, projectors)</w:t>
            </w:r>
          </w:p>
        </w:tc>
        <w:tc>
          <w:tcPr>
            <w:tcW w:type="dxa" w:w="1800"/>
            <w:tcMar>
              <w:top w:type="dxa" w:w="90"/>
              <w:left w:type="dxa" w:w="110"/>
              <w:bottom w:type="dxa" w:w="90"/>
              <w:right w:type="dxa" w:w="110"/>
            </w:tcMar>
          </w:tcPr>
          <w:p>
            <w:r>
              <w:rPr>
                <w:rFonts w:ascii="Arial" w:cs="Arial" w:eastAsia="Arial" w:hAnsi="Arial"/>
                <w:b w:val="false"/>
                <w:bCs w:val="false"/>
                <w:color w:val="1F2937"/>
                <w:sz w:val="18"/>
                <w:szCs w:val="18"/>
              </w:rPr>
              <w:t xml:space="preserve">Varies, often $5,000+</w:t>
            </w:r>
          </w:p>
        </w:tc>
        <w:tc>
          <w:tcPr>
            <w:tcW w:type="dxa" w:w="5200"/>
            <w:tcMar>
              <w:top w:type="dxa" w:w="90"/>
              <w:left w:type="dxa" w:w="110"/>
              <w:bottom w:type="dxa" w:w="90"/>
              <w:right w:type="dxa" w:w="110"/>
            </w:tcMar>
          </w:tcPr>
          <w:p>
            <w:r>
              <w:rPr>
                <w:rFonts w:ascii="Arial" w:cs="Arial" w:eastAsia="Arial" w:hAnsi="Arial"/>
                <w:b w:val="false"/>
                <w:bCs w:val="false"/>
                <w:color w:val="1F2937"/>
                <w:sz w:val="18"/>
                <w:szCs w:val="18"/>
              </w:rPr>
              <w:t xml:space="preserve">Needed to actually run live events once that side of the business launches.</w:t>
            </w:r>
          </w:p>
        </w:tc>
      </w:tr>
      <w:tr>
        <w:tc>
          <w:tcPr>
            <w:tcW w:type="dxa" w:w="3200"/>
            <w:shd w:fill="F6F5F3" w:val="clear"/>
            <w:tcMar>
              <w:top w:type="dxa" w:w="90"/>
              <w:left w:type="dxa" w:w="110"/>
              <w:bottom w:type="dxa" w:w="90"/>
              <w:right w:type="dxa" w:w="110"/>
            </w:tcMar>
          </w:tcPr>
          <w:p>
            <w:r>
              <w:rPr>
                <w:rFonts w:ascii="Arial" w:cs="Arial" w:eastAsia="Arial" w:hAnsi="Arial"/>
                <w:b/>
                <w:bCs/>
                <w:color w:val="1F2937"/>
                <w:sz w:val="18"/>
                <w:szCs w:val="18"/>
              </w:rPr>
              <w:t xml:space="preserve">Vectorworks Spotlight</w:t>
            </w:r>
          </w:p>
        </w:tc>
        <w:tc>
          <w:tcPr>
            <w:tcW w:type="dxa" w:w="18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$153/mo or ~$2,530/yr</w:t>
            </w:r>
          </w:p>
        </w:tc>
        <w:tc>
          <w:tcPr>
            <w:tcW w:type="dxa" w:w="52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Industry-standard AV/lighting/rigging technical drawings — precise 2D/3D floor plans, lighting plots, truss and staging diagrams. Pairs with Braceworks for structural rigging calculations. The standard tool for touring and corporate AV production.</w:t>
            </w:r>
          </w:p>
        </w:tc>
      </w:tr>
      <w:tr>
        <w:tc>
          <w:tcPr>
            <w:tcW w:type="dxa" w:w="3200"/>
            <w:tcMar>
              <w:top w:type="dxa" w:w="90"/>
              <w:left w:type="dxa" w:w="110"/>
              <w:bottom w:type="dxa" w:w="90"/>
              <w:right w:type="dxa" w:w="110"/>
            </w:tcMar>
          </w:tcPr>
          <w:p>
            <w:r>
              <w:rPr>
                <w:rFonts w:ascii="Arial" w:cs="Arial" w:eastAsia="Arial" w:hAnsi="Arial"/>
                <w:b/>
                <w:bCs/>
                <w:color w:val="1F2937"/>
                <w:sz w:val="18"/>
                <w:szCs w:val="18"/>
              </w:rPr>
              <w:t xml:space="preserve">Allseated (rebranded Prismm)</w:t>
            </w:r>
          </w:p>
        </w:tc>
        <w:tc>
          <w:tcPr>
            <w:tcW w:type="dxa" w:w="1800"/>
            <w:tcMar>
              <w:top w:type="dxa" w:w="90"/>
              <w:left w:type="dxa" w:w="110"/>
              <w:bottom w:type="dxa" w:w="90"/>
              <w:right w:type="dxa" w:w="110"/>
            </w:tcMar>
          </w:tcPr>
          <w:p>
            <w:r>
              <w:rPr>
                <w:rFonts w:ascii="Arial" w:cs="Arial" w:eastAsia="Arial" w:hAnsi="Arial"/>
                <w:b w:val="false"/>
                <w:bCs w:val="false"/>
                <w:color w:val="1F2937"/>
                <w:sz w:val="18"/>
                <w:szCs w:val="18"/>
              </w:rPr>
              <w:t xml:space="preserve">Custom quote — no published pricing</w:t>
            </w:r>
          </w:p>
        </w:tc>
        <w:tc>
          <w:tcPr>
            <w:tcW w:type="dxa" w:w="5200"/>
            <w:tcMar>
              <w:top w:type="dxa" w:w="90"/>
              <w:left w:type="dxa" w:w="110"/>
              <w:bottom w:type="dxa" w:w="90"/>
              <w:right w:type="dxa" w:w="110"/>
            </w:tcMar>
          </w:tcPr>
          <w:p>
            <w:r>
              <w:rPr>
                <w:rFonts w:ascii="Arial" w:cs="Arial" w:eastAsia="Arial" w:hAnsi="Arial"/>
                <w:b w:val="false"/>
                <w:bCs w:val="false"/>
                <w:color w:val="1F2937"/>
                <w:sz w:val="18"/>
                <w:szCs w:val="18"/>
              </w:rPr>
              <w:t xml:space="preserve">Client-facing 3D floor plans, seating charts, and AR/VR walkthroughs for corporate events, weddings and banquets. Real-time collaboration with clients before the event.</w:t>
            </w:r>
          </w:p>
        </w:tc>
      </w:tr>
      <w:tr>
        <w:tc>
          <w:tcPr>
            <w:tcW w:type="dxa" w:w="3200"/>
            <w:shd w:fill="F6F5F3" w:val="clear"/>
            <w:tcMar>
              <w:top w:type="dxa" w:w="90"/>
              <w:left w:type="dxa" w:w="110"/>
              <w:bottom w:type="dxa" w:w="90"/>
              <w:right w:type="dxa" w:w="110"/>
            </w:tcMar>
          </w:tcPr>
          <w:p>
            <w:r>
              <w:rPr>
                <w:rFonts w:ascii="Arial" w:cs="Arial" w:eastAsia="Arial" w:hAnsi="Arial"/>
                <w:b/>
                <w:bCs/>
                <w:color w:val="1F2937"/>
                <w:sz w:val="18"/>
                <w:szCs w:val="18"/>
              </w:rPr>
              <w:t xml:space="preserve">SketchUp</w:t>
            </w:r>
          </w:p>
        </w:tc>
        <w:tc>
          <w:tcPr>
            <w:tcW w:type="dxa" w:w="18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Free – $820/yr by tier</w:t>
            </w:r>
          </w:p>
        </w:tc>
        <w:tc>
          <w:tcPr>
            <w:tcW w:type="dxa" w:w="52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Fast, low-cost 2D/3D room and staging mockups. Good entry point to start learning the floor-plan workflow now, before investing in Vectorworks once live-event bookings are real.</w:t>
            </w:r>
          </w:p>
        </w:tc>
      </w:tr>
      <w:tr>
        <w:tc>
          <w:tcPr>
            <w:tcW w:type="dxa" w:w="3200"/>
            <w:tcMar>
              <w:top w:type="dxa" w:w="90"/>
              <w:left w:type="dxa" w:w="110"/>
              <w:bottom w:type="dxa" w:w="90"/>
              <w:right w:type="dxa" w:w="110"/>
            </w:tcMar>
          </w:tcPr>
          <w:p>
            <w:r>
              <w:rPr>
                <w:rFonts w:ascii="Arial" w:cs="Arial" w:eastAsia="Arial" w:hAnsi="Arial"/>
                <w:b/>
                <w:bCs/>
                <w:color w:val="1F2937"/>
                <w:sz w:val="18"/>
                <w:szCs w:val="18"/>
              </w:rPr>
              <w:t xml:space="preserve">QLab</w:t>
            </w:r>
          </w:p>
        </w:tc>
        <w:tc>
          <w:tcPr>
            <w:tcW w:type="dxa" w:w="1800"/>
            <w:tcMar>
              <w:top w:type="dxa" w:w="90"/>
              <w:left w:type="dxa" w:w="110"/>
              <w:bottom w:type="dxa" w:w="90"/>
              <w:right w:type="dxa" w:w="110"/>
            </w:tcMar>
          </w:tcPr>
          <w:p>
            <w:r>
              <w:rPr>
                <w:rFonts w:ascii="Arial" w:cs="Arial" w:eastAsia="Arial" w:hAnsi="Arial"/>
                <w:b w:val="false"/>
                <w:bCs w:val="false"/>
                <w:color w:val="1F2937"/>
                <w:sz w:val="18"/>
                <w:szCs w:val="18"/>
              </w:rPr>
              <w:t xml:space="preserve">Free (basic) – $299–$999 one-time (Audio/Video/Lighting licenses)</w:t>
            </w:r>
          </w:p>
        </w:tc>
        <w:tc>
          <w:tcPr>
            <w:tcW w:type="dxa" w:w="5200"/>
            <w:tcMar>
              <w:top w:type="dxa" w:w="90"/>
              <w:left w:type="dxa" w:w="110"/>
              <w:bottom w:type="dxa" w:w="90"/>
              <w:right w:type="dxa" w:w="110"/>
            </w:tcMar>
          </w:tcPr>
          <w:p>
            <w:r>
              <w:rPr>
                <w:rFonts w:ascii="Arial" w:cs="Arial" w:eastAsia="Arial" w:hAnsi="Arial"/>
                <w:b w:val="false"/>
                <w:bCs w:val="false"/>
                <w:color w:val="1F2937"/>
                <w:sz w:val="18"/>
                <w:szCs w:val="18"/>
              </w:rPr>
              <w:t xml:space="preserve">Cue-based show control for macOS — sequences audio, video and lighting cues into one timeline triggered live during a show. Standard for corporate AV and theatrical show calling.</w:t>
            </w:r>
          </w:p>
        </w:tc>
      </w:tr>
      <w:tr>
        <w:tc>
          <w:tcPr>
            <w:tcW w:type="dxa" w:w="3200"/>
            <w:shd w:fill="F6F5F3" w:val="clear"/>
            <w:tcMar>
              <w:top w:type="dxa" w:w="90"/>
              <w:left w:type="dxa" w:w="110"/>
              <w:bottom w:type="dxa" w:w="90"/>
              <w:right w:type="dxa" w:w="110"/>
            </w:tcMar>
          </w:tcPr>
          <w:p>
            <w:r>
              <w:rPr>
                <w:rFonts w:ascii="Arial" w:cs="Arial" w:eastAsia="Arial" w:hAnsi="Arial"/>
                <w:b/>
                <w:bCs/>
                <w:color w:val="1F2937"/>
                <w:sz w:val="18"/>
                <w:szCs w:val="18"/>
              </w:rPr>
              <w:t xml:space="preserve">Shure Wireless Workbench (WWB)</w:t>
            </w:r>
          </w:p>
        </w:tc>
        <w:tc>
          <w:tcPr>
            <w:tcW w:type="dxa" w:w="18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Free</w:t>
            </w:r>
          </w:p>
        </w:tc>
        <w:tc>
          <w:tcPr>
            <w:tcW w:type="dxa" w:w="52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RF frequency coordination — plans wireless mic/IEM frequencies ahead of a show to avoid interference. Essential once multiple wireless mics are running in the same room as other RF traffic.</w:t>
            </w:r>
          </w:p>
        </w:tc>
      </w:tr>
      <w:tr>
        <w:tc>
          <w:tcPr>
            <w:tcW w:type="dxa" w:w="3200"/>
            <w:tcMar>
              <w:top w:type="dxa" w:w="90"/>
              <w:left w:type="dxa" w:w="110"/>
              <w:bottom w:type="dxa" w:w="90"/>
              <w:right w:type="dxa" w:w="110"/>
            </w:tcMar>
          </w:tcPr>
          <w:p>
            <w:r>
              <w:rPr>
                <w:rFonts w:ascii="Arial" w:cs="Arial" w:eastAsia="Arial" w:hAnsi="Arial"/>
                <w:b/>
                <w:bCs/>
                <w:color w:val="1F2937"/>
                <w:sz w:val="18"/>
                <w:szCs w:val="18"/>
              </w:rPr>
              <w:t xml:space="preserve">L-Acoustics Soundvision / d&amp;b ArrayCalc</w:t>
            </w:r>
          </w:p>
        </w:tc>
        <w:tc>
          <w:tcPr>
            <w:tcW w:type="dxa" w:w="1800"/>
            <w:tcMar>
              <w:top w:type="dxa" w:w="90"/>
              <w:left w:type="dxa" w:w="110"/>
              <w:bottom w:type="dxa" w:w="90"/>
              <w:right w:type="dxa" w:w="110"/>
            </w:tcMar>
          </w:tcPr>
          <w:p>
            <w:r>
              <w:rPr>
                <w:rFonts w:ascii="Arial" w:cs="Arial" w:eastAsia="Arial" w:hAnsi="Arial"/>
                <w:b w:val="false"/>
                <w:bCs w:val="false"/>
                <w:color w:val="1F2937"/>
                <w:sz w:val="18"/>
                <w:szCs w:val="18"/>
              </w:rPr>
              <w:t xml:space="preserve">Free (manufacturer-specific)</w:t>
            </w:r>
          </w:p>
        </w:tc>
        <w:tc>
          <w:tcPr>
            <w:tcW w:type="dxa" w:w="5200"/>
            <w:tcMar>
              <w:top w:type="dxa" w:w="90"/>
              <w:left w:type="dxa" w:w="110"/>
              <w:bottom w:type="dxa" w:w="90"/>
              <w:right w:type="dxa" w:w="110"/>
            </w:tcMar>
          </w:tcPr>
          <w:p>
            <w:r>
              <w:rPr>
                <w:rFonts w:ascii="Arial" w:cs="Arial" w:eastAsia="Arial" w:hAnsi="Arial"/>
                <w:b w:val="false"/>
                <w:bCs w:val="false"/>
                <w:color w:val="1F2937"/>
                <w:sz w:val="18"/>
                <w:szCs w:val="18"/>
              </w:rPr>
              <w:t xml:space="preserve">Speaker system prediction software — models a venue's dimensions and simulates PA coverage/SPL before load-in, so hang points and box counts are planned, not guessed. Which one to use depends on the PA brand being rented.</w:t>
            </w:r>
          </w:p>
        </w:tc>
      </w:tr>
      <w:tr>
        <w:tc>
          <w:tcPr>
            <w:tcW w:type="dxa" w:w="3200"/>
            <w:shd w:fill="F6F5F3" w:val="clear"/>
            <w:tcMar>
              <w:top w:type="dxa" w:w="90"/>
              <w:left w:type="dxa" w:w="110"/>
              <w:bottom w:type="dxa" w:w="90"/>
              <w:right w:type="dxa" w:w="110"/>
            </w:tcMar>
          </w:tcPr>
          <w:p>
            <w:r>
              <w:rPr>
                <w:rFonts w:ascii="Arial" w:cs="Arial" w:eastAsia="Arial" w:hAnsi="Arial"/>
                <w:b/>
                <w:bCs/>
                <w:color w:val="1F2937"/>
                <w:sz w:val="18"/>
                <w:szCs w:val="18"/>
              </w:rPr>
              <w:t xml:space="preserve">vMix</w:t>
            </w:r>
          </w:p>
        </w:tc>
        <w:tc>
          <w:tcPr>
            <w:tcW w:type="dxa" w:w="18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Free (Basic HD, 720p) – from $60 one-time (perpetual license, no subscription)</w:t>
            </w:r>
          </w:p>
        </w:tc>
        <w:tc>
          <w:tcPr>
            <w:tcW w:type="dxa" w:w="52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Live multi-camera video switching, graphics overlays, recording and streaming for hybrid/livestreamed events. One-time license, no recurring cost.</w:t>
            </w:r>
          </w:p>
        </w:tc>
      </w:tr>
      <w:tr>
        <w:tc>
          <w:tcPr>
            <w:tcW w:type="dxa" w:w="3200"/>
            <w:tcMar>
              <w:top w:type="dxa" w:w="90"/>
              <w:left w:type="dxa" w:w="110"/>
              <w:bottom w:type="dxa" w:w="90"/>
              <w:right w:type="dxa" w:w="110"/>
            </w:tcMar>
          </w:tcPr>
          <w:p>
            <w:r>
              <w:rPr>
                <w:rFonts w:ascii="Arial" w:cs="Arial" w:eastAsia="Arial" w:hAnsi="Arial"/>
                <w:b/>
                <w:bCs/>
                <w:color w:val="1F2937"/>
                <w:sz w:val="18"/>
                <w:szCs w:val="18"/>
              </w:rPr>
              <w:t xml:space="preserve">Capture</w:t>
            </w:r>
          </w:p>
        </w:tc>
        <w:tc>
          <w:tcPr>
            <w:tcW w:type="dxa" w:w="1800"/>
            <w:tcMar>
              <w:top w:type="dxa" w:w="90"/>
              <w:left w:type="dxa" w:w="110"/>
              <w:bottom w:type="dxa" w:w="90"/>
              <w:right w:type="dxa" w:w="110"/>
            </w:tcMar>
          </w:tcPr>
          <w:p>
            <w:r>
              <w:rPr>
                <w:rFonts w:ascii="Arial" w:cs="Arial" w:eastAsia="Arial" w:hAnsi="Arial"/>
                <w:b w:val="false"/>
                <w:bCs w:val="false"/>
                <w:color w:val="1F2937"/>
                <w:sz w:val="18"/>
                <w:szCs w:val="18"/>
              </w:rPr>
              <w:t xml:space="preserve">Licensed per fixture count (custom pricing)</w:t>
            </w:r>
          </w:p>
        </w:tc>
        <w:tc>
          <w:tcPr>
            <w:tcW w:type="dxa" w:w="5200"/>
            <w:tcMar>
              <w:top w:type="dxa" w:w="90"/>
              <w:left w:type="dxa" w:w="110"/>
              <w:bottom w:type="dxa" w:w="90"/>
              <w:right w:type="dxa" w:w="110"/>
            </w:tcMar>
          </w:tcPr>
          <w:p>
            <w:r>
              <w:rPr>
                <w:rFonts w:ascii="Arial" w:cs="Arial" w:eastAsia="Arial" w:hAnsi="Arial"/>
                <w:b w:val="false"/>
                <w:bCs w:val="false"/>
                <w:color w:val="1F2937"/>
                <w:sz w:val="18"/>
                <w:szCs w:val="18"/>
              </w:rPr>
              <w:t xml:space="preserve">Offline lighting visualizer and console programmer — pre-program and preview lighting cues on a laptop before load-in instead of programming live on-site. Pairs with Vectorworks Spotlight's lighting plots.</w:t>
            </w:r>
          </w:p>
        </w:tc>
      </w:tr>
      <w:tr>
        <w:tc>
          <w:tcPr>
            <w:tcW w:type="dxa" w:w="3200"/>
            <w:shd w:fill="F6F5F3" w:val="clear"/>
            <w:tcMar>
              <w:top w:type="dxa" w:w="90"/>
              <w:left w:type="dxa" w:w="110"/>
              <w:bottom w:type="dxa" w:w="90"/>
              <w:right w:type="dxa" w:w="110"/>
            </w:tcMar>
          </w:tcPr>
          <w:p>
            <w:r>
              <w:rPr>
                <w:rFonts w:ascii="Arial" w:cs="Arial" w:eastAsia="Arial" w:hAnsi="Arial"/>
                <w:b/>
                <w:bCs/>
                <w:color w:val="1F2937"/>
                <w:sz w:val="18"/>
                <w:szCs w:val="18"/>
              </w:rPr>
              <w:t xml:space="preserve">Frame.io</w:t>
            </w:r>
          </w:p>
        </w:tc>
        <w:tc>
          <w:tcPr>
            <w:tcW w:type="dxa" w:w="18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$15–50/user/mo + storage</w:t>
            </w:r>
          </w:p>
        </w:tc>
        <w:tc>
          <w:tcPr>
            <w:tcW w:type="dxa" w:w="52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Client review &amp; approval on video cuts — timecoded comments directly on the footage and version history, so clients mark up edits precisely instead of over email.</w:t>
            </w:r>
          </w:p>
        </w:tc>
      </w:tr>
      <w:tr>
        <w:tc>
          <w:tcPr>
            <w:tcW w:type="dxa" w:w="3200"/>
            <w:tcMar>
              <w:top w:type="dxa" w:w="90"/>
              <w:left w:type="dxa" w:w="110"/>
              <w:bottom w:type="dxa" w:w="90"/>
              <w:right w:type="dxa" w:w="110"/>
            </w:tcMar>
          </w:tcPr>
          <w:p>
            <w:r>
              <w:rPr>
                <w:rFonts w:ascii="Arial" w:cs="Arial" w:eastAsia="Arial" w:hAnsi="Arial"/>
                <w:b/>
                <w:bCs/>
                <w:color w:val="1F2937"/>
                <w:sz w:val="18"/>
                <w:szCs w:val="18"/>
              </w:rPr>
              <w:t xml:space="preserve">LucidLink</w:t>
            </w:r>
          </w:p>
        </w:tc>
        <w:tc>
          <w:tcPr>
            <w:tcW w:type="dxa" w:w="1800"/>
            <w:tcMar>
              <w:top w:type="dxa" w:w="90"/>
              <w:left w:type="dxa" w:w="110"/>
              <w:bottom w:type="dxa" w:w="90"/>
              <w:right w:type="dxa" w:w="110"/>
            </w:tcMar>
          </w:tcPr>
          <w:p>
            <w:r>
              <w:rPr>
                <w:rFonts w:ascii="Arial" w:cs="Arial" w:eastAsia="Arial" w:hAnsi="Arial"/>
                <w:b w:val="false"/>
                <w:bCs w:val="false"/>
                <w:color w:val="1F2937"/>
                <w:sz w:val="18"/>
                <w:szCs w:val="18"/>
              </w:rPr>
              <w:t xml:space="preserve">$7–32/member/mo by tier</w:t>
            </w:r>
          </w:p>
        </w:tc>
        <w:tc>
          <w:tcPr>
            <w:tcW w:type="dxa" w:w="5200"/>
            <w:tcMar>
              <w:top w:type="dxa" w:w="90"/>
              <w:left w:type="dxa" w:w="110"/>
              <w:bottom w:type="dxa" w:w="90"/>
              <w:right w:type="dxa" w:w="110"/>
            </w:tcMar>
          </w:tcPr>
          <w:p>
            <w:r>
              <w:rPr>
                <w:rFonts w:ascii="Arial" w:cs="Arial" w:eastAsia="Arial" w:hAnsi="Arial"/>
                <w:b w:val="false"/>
                <w:bCs w:val="false"/>
                <w:color w:val="1F2937"/>
                <w:sz w:val="18"/>
                <w:szCs w:val="18"/>
              </w:rPr>
              <w:t xml:space="preserve">Mounts shared cloud footage as a local drive so editors work directly in Premiere/Resolve off shared raw footage — no more waiting on downloads or juggling physical drives once more than one person touches a project.</w:t>
            </w:r>
          </w:p>
        </w:tc>
      </w:tr>
      <w:tr>
        <w:tc>
          <w:tcPr>
            <w:tcW w:type="dxa" w:w="3200"/>
            <w:shd w:fill="F6F5F3" w:val="clear"/>
            <w:tcMar>
              <w:top w:type="dxa" w:w="90"/>
              <w:left w:type="dxa" w:w="110"/>
              <w:bottom w:type="dxa" w:w="90"/>
              <w:right w:type="dxa" w:w="110"/>
            </w:tcMar>
          </w:tcPr>
          <w:p>
            <w:r>
              <w:rPr>
                <w:rFonts w:ascii="Arial" w:cs="Arial" w:eastAsia="Arial" w:hAnsi="Arial"/>
                <w:b/>
                <w:bCs/>
                <w:color w:val="1F2937"/>
                <w:sz w:val="18"/>
                <w:szCs w:val="18"/>
              </w:rPr>
              <w:t xml:space="preserve">Epidemic Sound</w:t>
            </w:r>
          </w:p>
        </w:tc>
        <w:tc>
          <w:tcPr>
            <w:tcW w:type="dxa" w:w="18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From ~$6–10/mo</w:t>
            </w:r>
          </w:p>
        </w:tc>
        <w:tc>
          <w:tcPr>
            <w:tcW w:type="dxa" w:w="52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Royalty-free music and SFX licensing for client video deliverables — avoids copyright strikes/takedowns on published content. Larger catalog than most competitors, stems included with every track.</w:t>
            </w:r>
          </w:p>
        </w:tc>
      </w:tr>
      <w:tr>
        <w:tc>
          <w:tcPr>
            <w:tcW w:type="dxa" w:w="3200"/>
            <w:tcMar>
              <w:top w:type="dxa" w:w="90"/>
              <w:left w:type="dxa" w:w="110"/>
              <w:bottom w:type="dxa" w:w="90"/>
              <w:right w:type="dxa" w:w="110"/>
            </w:tcMar>
          </w:tcPr>
          <w:p>
            <w:r>
              <w:rPr>
                <w:rFonts w:ascii="Arial" w:cs="Arial" w:eastAsia="Arial" w:hAnsi="Arial"/>
                <w:b/>
                <w:bCs/>
                <w:color w:val="1F2937"/>
                <w:sz w:val="18"/>
                <w:szCs w:val="18"/>
              </w:rPr>
              <w:t xml:space="preserve">Final Draft</w:t>
            </w:r>
          </w:p>
        </w:tc>
        <w:tc>
          <w:tcPr>
            <w:tcW w:type="dxa" w:w="1800"/>
            <w:tcMar>
              <w:top w:type="dxa" w:w="90"/>
              <w:left w:type="dxa" w:w="110"/>
              <w:bottom w:type="dxa" w:w="90"/>
              <w:right w:type="dxa" w:w="110"/>
            </w:tcMar>
          </w:tcPr>
          <w:p>
            <w:r>
              <w:rPr>
                <w:rFonts w:ascii="Arial" w:cs="Arial" w:eastAsia="Arial" w:hAnsi="Arial"/>
                <w:b w:val="false"/>
                <w:bCs w:val="false"/>
                <w:color w:val="1F2937"/>
                <w:sz w:val="18"/>
                <w:szCs w:val="18"/>
              </w:rPr>
              <w:t xml:space="preserve">$249 one-time</w:t>
            </w:r>
          </w:p>
        </w:tc>
        <w:tc>
          <w:tcPr>
            <w:tcW w:type="dxa" w:w="5200"/>
            <w:tcMar>
              <w:top w:type="dxa" w:w="90"/>
              <w:left w:type="dxa" w:w="110"/>
              <w:bottom w:type="dxa" w:w="90"/>
              <w:right w:type="dxa" w:w="110"/>
            </w:tcMar>
          </w:tcPr>
          <w:p>
            <w:r>
              <w:rPr>
                <w:rFonts w:ascii="Arial" w:cs="Arial" w:eastAsia="Arial" w:hAnsi="Arial"/>
                <w:b w:val="false"/>
                <w:bCs w:val="false"/>
                <w:color w:val="1F2937"/>
                <w:sz w:val="18"/>
                <w:szCs w:val="18"/>
              </w:rPr>
              <w:t xml:space="preserve">Industry-standard screenwriting software for script development — proper screenplay formatting, revision tracking, collaboration.</w:t>
            </w:r>
          </w:p>
        </w:tc>
      </w:tr>
      <w:tr>
        <w:tc>
          <w:tcPr>
            <w:tcW w:type="dxa" w:w="3200"/>
            <w:shd w:fill="F6F5F3" w:val="clear"/>
            <w:tcMar>
              <w:top w:type="dxa" w:w="90"/>
              <w:left w:type="dxa" w:w="110"/>
              <w:bottom w:type="dxa" w:w="90"/>
              <w:right w:type="dxa" w:w="110"/>
            </w:tcMar>
          </w:tcPr>
          <w:p>
            <w:r>
              <w:rPr>
                <w:rFonts w:ascii="Arial" w:cs="Arial" w:eastAsia="Arial" w:hAnsi="Arial"/>
                <w:b/>
                <w:bCs/>
                <w:color w:val="1F2937"/>
                <w:sz w:val="18"/>
                <w:szCs w:val="18"/>
              </w:rPr>
              <w:t xml:space="preserve">Logic Pro</w:t>
            </w:r>
          </w:p>
        </w:tc>
        <w:tc>
          <w:tcPr>
            <w:tcW w:type="dxa" w:w="18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$199 one-time (Mac only)</w:t>
            </w:r>
          </w:p>
        </w:tc>
        <w:tc>
          <w:tcPr>
            <w:tcW w:type="dxa" w:w="52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Full DAW for music producing, mixing and band recordings — a fraction of Pro Tools' cost for the same core workflow. Pro Tools is the alternative if cross-studio/Windows compatibility is needed, but it's subscription-based and pricier.</w:t>
            </w:r>
          </w:p>
        </w:tc>
      </w:tr>
      <w:tr>
        <w:tc>
          <w:tcPr>
            <w:tcW w:type="dxa" w:w="3200"/>
            <w:tcMar>
              <w:top w:type="dxa" w:w="90"/>
              <w:left w:type="dxa" w:w="110"/>
              <w:bottom w:type="dxa" w:w="90"/>
              <w:right w:type="dxa" w:w="110"/>
            </w:tcMar>
          </w:tcPr>
          <w:p>
            <w:r>
              <w:rPr>
                <w:rFonts w:ascii="Arial" w:cs="Arial" w:eastAsia="Arial" w:hAnsi="Arial"/>
                <w:b/>
                <w:bCs/>
                <w:color w:val="1F2937"/>
                <w:sz w:val="18"/>
                <w:szCs w:val="18"/>
              </w:rPr>
              <w:t xml:space="preserve">iZotope Ozone</w:t>
            </w:r>
          </w:p>
        </w:tc>
        <w:tc>
          <w:tcPr>
            <w:tcW w:type="dxa" w:w="1800"/>
            <w:tcMar>
              <w:top w:type="dxa" w:w="90"/>
              <w:left w:type="dxa" w:w="110"/>
              <w:bottom w:type="dxa" w:w="90"/>
              <w:right w:type="dxa" w:w="110"/>
            </w:tcMar>
          </w:tcPr>
          <w:p>
            <w:r>
              <w:rPr>
                <w:rFonts w:ascii="Arial" w:cs="Arial" w:eastAsia="Arial" w:hAnsi="Arial"/>
                <w:b w:val="false"/>
                <w:bCs w:val="false"/>
                <w:color w:val="1F2937"/>
                <w:sz w:val="18"/>
                <w:szCs w:val="18"/>
              </w:rPr>
              <w:t xml:space="preserve">$55–499 by tier</w:t>
            </w:r>
          </w:p>
        </w:tc>
        <w:tc>
          <w:tcPr>
            <w:tcW w:type="dxa" w:w="5200"/>
            <w:tcMar>
              <w:top w:type="dxa" w:w="90"/>
              <w:left w:type="dxa" w:w="110"/>
              <w:bottom w:type="dxa" w:w="90"/>
              <w:right w:type="dxa" w:w="110"/>
            </w:tcMar>
          </w:tcPr>
          <w:p>
            <w:r>
              <w:rPr>
                <w:rFonts w:ascii="Arial" w:cs="Arial" w:eastAsia="Arial" w:hAnsi="Arial"/>
                <w:b w:val="false"/>
                <w:bCs w:val="false"/>
                <w:color w:val="1F2937"/>
                <w:sz w:val="18"/>
                <w:szCs w:val="18"/>
              </w:rPr>
              <w:t xml:space="preserve">Mastering suite — takes a finished mix to a release-ready final master.</w:t>
            </w:r>
          </w:p>
        </w:tc>
      </w:tr>
      <w:tr>
        <w:tc>
          <w:tcPr>
            <w:tcW w:type="dxa" w:w="3200"/>
            <w:shd w:fill="F6F5F3" w:val="clear"/>
            <w:tcMar>
              <w:top w:type="dxa" w:w="90"/>
              <w:left w:type="dxa" w:w="110"/>
              <w:bottom w:type="dxa" w:w="90"/>
              <w:right w:type="dxa" w:w="110"/>
            </w:tcMar>
          </w:tcPr>
          <w:p>
            <w:r>
              <w:rPr>
                <w:rFonts w:ascii="Arial" w:cs="Arial" w:eastAsia="Arial" w:hAnsi="Arial"/>
                <w:b/>
                <w:bCs/>
                <w:color w:val="1F2937"/>
                <w:sz w:val="18"/>
                <w:szCs w:val="18"/>
              </w:rPr>
              <w:t xml:space="preserve">iZotope RX</w:t>
            </w:r>
          </w:p>
        </w:tc>
        <w:tc>
          <w:tcPr>
            <w:tcW w:type="dxa" w:w="18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$99–1,399 by tier</w:t>
            </w:r>
          </w:p>
        </w:tc>
        <w:tc>
          <w:tcPr>
            <w:tcW w:type="dxa" w:w="52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Audio repair and cleanup — removes hum, clicks and background noise from band/location recordings.</w:t>
            </w:r>
          </w:p>
        </w:tc>
      </w:tr>
      <w:tr>
        <w:tc>
          <w:tcPr>
            <w:tcW w:type="dxa" w:w="3200"/>
            <w:tcMar>
              <w:top w:type="dxa" w:w="90"/>
              <w:left w:type="dxa" w:w="110"/>
              <w:bottom w:type="dxa" w:w="90"/>
              <w:right w:type="dxa" w:w="110"/>
            </w:tcMar>
          </w:tcPr>
          <w:p>
            <w:r>
              <w:rPr>
                <w:rFonts w:ascii="Arial" w:cs="Arial" w:eastAsia="Arial" w:hAnsi="Arial"/>
                <w:b/>
                <w:bCs/>
                <w:color w:val="1F2937"/>
                <w:sz w:val="18"/>
                <w:szCs w:val="18"/>
              </w:rPr>
              <w:t xml:space="preserve">Splice</w:t>
            </w:r>
          </w:p>
        </w:tc>
        <w:tc>
          <w:tcPr>
            <w:tcW w:type="dxa" w:w="1800"/>
            <w:tcMar>
              <w:top w:type="dxa" w:w="90"/>
              <w:left w:type="dxa" w:w="110"/>
              <w:bottom w:type="dxa" w:w="90"/>
              <w:right w:type="dxa" w:w="110"/>
            </w:tcMar>
          </w:tcPr>
          <w:p>
            <w:r>
              <w:rPr>
                <w:rFonts w:ascii="Arial" w:cs="Arial" w:eastAsia="Arial" w:hAnsi="Arial"/>
                <w:b w:val="false"/>
                <w:bCs w:val="false"/>
                <w:color w:val="1F2937"/>
                <w:sz w:val="18"/>
                <w:szCs w:val="18"/>
              </w:rPr>
              <w:t xml:space="preserve">~$10–12/mo</w:t>
            </w:r>
          </w:p>
        </w:tc>
        <w:tc>
          <w:tcPr>
            <w:tcW w:type="dxa" w:w="5200"/>
            <w:tcMar>
              <w:top w:type="dxa" w:w="90"/>
              <w:left w:type="dxa" w:w="110"/>
              <w:bottom w:type="dxa" w:w="90"/>
              <w:right w:type="dxa" w:w="110"/>
            </w:tcMar>
          </w:tcPr>
          <w:p>
            <w:r>
              <w:rPr>
                <w:rFonts w:ascii="Arial" w:cs="Arial" w:eastAsia="Arial" w:hAnsi="Arial"/>
                <w:b w:val="false"/>
                <w:bCs w:val="false"/>
                <w:color w:val="1F2937"/>
                <w:sz w:val="18"/>
                <w:szCs w:val="18"/>
              </w:rPr>
              <w:t xml:space="preserve">Sample and loop library subscription for sound design work.</w:t>
            </w:r>
          </w:p>
        </w:tc>
      </w:tr>
      <w:tr>
        <w:tc>
          <w:tcPr>
            <w:tcW w:type="dxa" w:w="3200"/>
            <w:shd w:fill="F6F5F3" w:val="clear"/>
            <w:tcMar>
              <w:top w:type="dxa" w:w="90"/>
              <w:left w:type="dxa" w:w="110"/>
              <w:bottom w:type="dxa" w:w="90"/>
              <w:right w:type="dxa" w:w="110"/>
            </w:tcMar>
          </w:tcPr>
          <w:p>
            <w:r>
              <w:rPr>
                <w:rFonts w:ascii="Arial" w:cs="Arial" w:eastAsia="Arial" w:hAnsi="Arial"/>
                <w:b/>
                <w:bCs/>
                <w:color w:val="1F2937"/>
                <w:sz w:val="18"/>
                <w:szCs w:val="18"/>
              </w:rPr>
              <w:t xml:space="preserve">grandMA3 onPC</w:t>
            </w:r>
          </w:p>
        </w:tc>
        <w:tc>
          <w:tcPr>
            <w:tcW w:type="dxa" w:w="18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Free (software only; hardware control surfaces cost extra)</w:t>
            </w:r>
          </w:p>
        </w:tc>
        <w:tc>
          <w:tcPr>
            <w:tcW w:type="dxa" w:w="52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Industry-standard lighting console software for live production — full-featured for free until a physical control surface is added.</w:t>
            </w:r>
          </w:p>
        </w:tc>
      </w:tr>
      <w:tr>
        <w:tc>
          <w:tcPr>
            <w:tcW w:type="dxa" w:w="3200"/>
            <w:tcMar>
              <w:top w:type="dxa" w:w="90"/>
              <w:left w:type="dxa" w:w="110"/>
              <w:bottom w:type="dxa" w:w="90"/>
              <w:right w:type="dxa" w:w="110"/>
            </w:tcMar>
          </w:tcPr>
          <w:p>
            <w:r>
              <w:rPr>
                <w:rFonts w:ascii="Arial" w:cs="Arial" w:eastAsia="Arial" w:hAnsi="Arial"/>
                <w:b/>
                <w:bCs/>
                <w:color w:val="1F2937"/>
                <w:sz w:val="18"/>
                <w:szCs w:val="18"/>
              </w:rPr>
              <w:t xml:space="preserve">OBS Studio</w:t>
            </w:r>
          </w:p>
        </w:tc>
        <w:tc>
          <w:tcPr>
            <w:tcW w:type="dxa" w:w="1800"/>
            <w:tcMar>
              <w:top w:type="dxa" w:w="90"/>
              <w:left w:type="dxa" w:w="110"/>
              <w:bottom w:type="dxa" w:w="90"/>
              <w:right w:type="dxa" w:w="110"/>
            </w:tcMar>
          </w:tcPr>
          <w:p>
            <w:r>
              <w:rPr>
                <w:rFonts w:ascii="Arial" w:cs="Arial" w:eastAsia="Arial" w:hAnsi="Arial"/>
                <w:b w:val="false"/>
                <w:bCs w:val="false"/>
                <w:color w:val="1F2937"/>
                <w:sz w:val="18"/>
                <w:szCs w:val="18"/>
              </w:rPr>
              <w:t xml:space="preserve">Free</w:t>
            </w:r>
          </w:p>
        </w:tc>
        <w:tc>
          <w:tcPr>
            <w:tcW w:type="dxa" w:w="5200"/>
            <w:tcMar>
              <w:top w:type="dxa" w:w="90"/>
              <w:left w:type="dxa" w:w="110"/>
              <w:bottom w:type="dxa" w:w="90"/>
              <w:right w:type="dxa" w:w="110"/>
            </w:tcMar>
          </w:tcPr>
          <w:p>
            <w:r>
              <w:rPr>
                <w:rFonts w:ascii="Arial" w:cs="Arial" w:eastAsia="Arial" w:hAnsi="Arial"/>
                <w:b w:val="false"/>
                <w:bCs w:val="false"/>
                <w:color w:val="1F2937"/>
                <w:sz w:val="18"/>
                <w:szCs w:val="18"/>
              </w:rPr>
              <w:t xml:space="preserve">Free live streaming/switching software — a no-cost fallback or complement to vMix for live streaming.</w:t>
            </w:r>
          </w:p>
        </w:tc>
      </w:tr>
      <w:tr>
        <w:tc>
          <w:tcPr>
            <w:tcW w:type="dxa" w:w="3200"/>
            <w:shd w:fill="F6F5F3" w:val="clear"/>
            <w:tcMar>
              <w:top w:type="dxa" w:w="90"/>
              <w:left w:type="dxa" w:w="110"/>
              <w:bottom w:type="dxa" w:w="90"/>
              <w:right w:type="dxa" w:w="110"/>
            </w:tcMar>
          </w:tcPr>
          <w:p>
            <w:r>
              <w:rPr>
                <w:rFonts w:ascii="Arial" w:cs="Arial" w:eastAsia="Arial" w:hAnsi="Arial"/>
                <w:b/>
                <w:bCs/>
                <w:color w:val="1F2937"/>
                <w:sz w:val="18"/>
                <w:szCs w:val="18"/>
              </w:rPr>
              <w:t xml:space="preserve">Blackmagic ATEM switcher</w:t>
            </w:r>
          </w:p>
        </w:tc>
        <w:tc>
          <w:tcPr>
            <w:tcW w:type="dxa" w:w="18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$1,095–1,865 (Mini Extreme/Constellation HD) up to $7,995+ (Constellation IP)</w:t>
            </w:r>
          </w:p>
        </w:tc>
        <w:tc>
          <w:tcPr>
            <w:tcW w:type="dxa" w:w="52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Dedicated hardware video switcher — the actual broadcast-industry standard above the software tier vMix operates at. Worth it once live production volume justifies a physical switcher over a laptop-based workflow.</w:t>
            </w:r>
          </w:p>
        </w:tc>
      </w:tr>
    </w:tbl>
    <w:p>
      <w:pPr>
        <w:pBdr>
          <w:top w:val="single" w:color="E5E7EB" w:sz="4" w:space="8"/>
        </w:pBdr>
        <w:spacing w:after="0" w:before="280"/>
      </w:pPr>
      <w:r>
        <w:rPr>
          <w:rFonts w:ascii="Arial" w:cs="Arial" w:eastAsia="Arial" w:hAnsi="Arial"/>
          <w:b/>
          <w:bCs/>
          <w:color w:val="F68D5F"/>
          <w:spacing w:val="20"/>
          <w:sz w:val="16"/>
          <w:szCs w:val="16"/>
        </w:rPr>
        <w:t xml:space="preserve">RISK MANAGEMENT</w:t>
      </w:r>
    </w:p>
    <w:p>
      <w:pPr>
        <w:spacing w:after="160" w:before="60"/>
      </w:pPr>
      <w:r>
        <w:rPr>
          <w:rFonts w:ascii="Arial" w:cs="Arial" w:eastAsia="Arial" w:hAnsi="Arial"/>
          <w:b/>
          <w:bCs/>
          <w:color w:val="1F2937"/>
          <w:sz w:val="27"/>
          <w:szCs w:val="27"/>
        </w:rPr>
        <w:t xml:space="preserve">Business Protection</w:t>
      </w:r>
    </w:p>
    <w:p>
      <w:pPr>
        <w:spacing w:after="180"/>
      </w:pPr>
      <w:r>
        <w:rPr>
          <w:rFonts w:ascii="Arial" w:cs="Arial" w:eastAsia="Arial" w:hAnsi="Arial"/>
          <w:i w:val="false"/>
          <w:iCs w:val="false"/>
          <w:color w:val="374151"/>
          <w:sz w:val="20"/>
          <w:szCs w:val="20"/>
        </w:rPr>
        <w:t xml:space="preserve">None of these show up as a line item anywhere else in the Hub, and all three matter once client work involves on-site AV, live events, or paid marketing advice.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5200"/>
      </w:tblGrid>
      <w:tr>
        <w:trPr>
          <w:tblHeader/>
        </w:trPr>
        <w:tc>
          <w:tcPr>
            <w:tcW w:type="dxa" w:w="3200"/>
            <w:shd w:fill="1A1A1A" w:val="clear"/>
            <w:tcMar>
              <w:top w:type="dxa" w:w="90"/>
              <w:left w:type="dxa" w:w="110"/>
              <w:bottom w:type="dxa" w:w="90"/>
              <w:right w:type="dxa" w:w="110"/>
            </w:tcMar>
          </w:tcPr>
          <w:p>
            <w:r>
              <w:rPr>
                <w:rFonts w:ascii="Arial" w:cs="Arial" w:eastAsia="Arial" w:hAnsi="Arial"/>
                <w:b/>
                <w:bCs/>
                <w:color w:val="FFFFFF"/>
                <w:sz w:val="17"/>
                <w:szCs w:val="17"/>
              </w:rPr>
              <w:t xml:space="preserve">Coverage</w:t>
            </w:r>
          </w:p>
        </w:tc>
        <w:tc>
          <w:tcPr>
            <w:tcW w:type="dxa" w:w="1800"/>
            <w:shd w:fill="1A1A1A" w:val="clear"/>
            <w:tcMar>
              <w:top w:type="dxa" w:w="90"/>
              <w:left w:type="dxa" w:w="110"/>
              <w:bottom w:type="dxa" w:w="90"/>
              <w:right w:type="dxa" w:w="110"/>
            </w:tcMar>
          </w:tcPr>
          <w:p>
            <w:r>
              <w:rPr>
                <w:rFonts w:ascii="Arial" w:cs="Arial" w:eastAsia="Arial" w:hAnsi="Arial"/>
                <w:b/>
                <w:bCs/>
                <w:color w:val="FFFFFF"/>
                <w:sz w:val="17"/>
                <w:szCs w:val="17"/>
              </w:rPr>
              <w:t xml:space="preserve">Est. Annual Cost</w:t>
            </w:r>
          </w:p>
        </w:tc>
        <w:tc>
          <w:tcPr>
            <w:tcW w:type="dxa" w:w="5200"/>
            <w:shd w:fill="1A1A1A" w:val="clear"/>
            <w:tcMar>
              <w:top w:type="dxa" w:w="90"/>
              <w:left w:type="dxa" w:w="110"/>
              <w:bottom w:type="dxa" w:w="90"/>
              <w:right w:type="dxa" w:w="110"/>
            </w:tcMar>
          </w:tcPr>
          <w:p>
            <w:r>
              <w:rPr>
                <w:rFonts w:ascii="Arial" w:cs="Arial" w:eastAsia="Arial" w:hAnsi="Arial"/>
                <w:b/>
                <w:bCs/>
                <w:color w:val="FFFFFF"/>
                <w:sz w:val="17"/>
                <w:szCs w:val="17"/>
              </w:rPr>
              <w:t xml:space="preserve">Why It's Needed</w:t>
            </w:r>
          </w:p>
        </w:tc>
      </w:tr>
      <w:tr>
        <w:tc>
          <w:tcPr>
            <w:tcW w:type="dxa" w:w="3200"/>
            <w:tcMar>
              <w:top w:type="dxa" w:w="90"/>
              <w:left w:type="dxa" w:w="110"/>
              <w:bottom w:type="dxa" w:w="90"/>
              <w:right w:type="dxa" w:w="110"/>
            </w:tcMar>
          </w:tcPr>
          <w:p>
            <w:r>
              <w:rPr>
                <w:rFonts w:ascii="Arial" w:cs="Arial" w:eastAsia="Arial" w:hAnsi="Arial"/>
                <w:b/>
                <w:bCs/>
                <w:color w:val="1F2937"/>
                <w:sz w:val="18"/>
                <w:szCs w:val="18"/>
              </w:rPr>
              <w:t xml:space="preserve">General Liability Insurance</w:t>
            </w:r>
          </w:p>
        </w:tc>
        <w:tc>
          <w:tcPr>
            <w:tcW w:type="dxa" w:w="1800"/>
            <w:tcMar>
              <w:top w:type="dxa" w:w="90"/>
              <w:left w:type="dxa" w:w="110"/>
              <w:bottom w:type="dxa" w:w="90"/>
              <w:right w:type="dxa" w:w="110"/>
            </w:tcMar>
          </w:tcPr>
          <w:p>
            <w:r>
              <w:rPr>
                <w:rFonts w:ascii="Arial" w:cs="Arial" w:eastAsia="Arial" w:hAnsi="Arial"/>
                <w:b w:val="false"/>
                <w:bCs w:val="false"/>
                <w:color w:val="1F2937"/>
                <w:sz w:val="18"/>
                <w:szCs w:val="18"/>
              </w:rPr>
              <w:t xml:space="preserve">~$400–600/yr</w:t>
            </w:r>
          </w:p>
        </w:tc>
        <w:tc>
          <w:tcPr>
            <w:tcW w:type="dxa" w:w="5200"/>
            <w:tcMar>
              <w:top w:type="dxa" w:w="90"/>
              <w:left w:type="dxa" w:w="110"/>
              <w:bottom w:type="dxa" w:w="90"/>
              <w:right w:type="dxa" w:w="110"/>
            </w:tcMar>
          </w:tcPr>
          <w:p>
            <w:r>
              <w:rPr>
                <w:rFonts w:ascii="Arial" w:cs="Arial" w:eastAsia="Arial" w:hAnsi="Arial"/>
                <w:b w:val="false"/>
                <w:bCs w:val="false"/>
                <w:color w:val="1F2937"/>
                <w:sz w:val="18"/>
                <w:szCs w:val="18"/>
              </w:rPr>
              <w:t xml:space="preserve">Needed before any on-site AV or event work — standard for a low-risk service business.</w:t>
            </w:r>
          </w:p>
        </w:tc>
      </w:tr>
      <w:tr>
        <w:tc>
          <w:tcPr>
            <w:tcW w:type="dxa" w:w="3200"/>
            <w:shd w:fill="F6F5F3" w:val="clear"/>
            <w:tcMar>
              <w:top w:type="dxa" w:w="90"/>
              <w:left w:type="dxa" w:w="110"/>
              <w:bottom w:type="dxa" w:w="90"/>
              <w:right w:type="dxa" w:w="110"/>
            </w:tcMar>
          </w:tcPr>
          <w:p>
            <w:r>
              <w:rPr>
                <w:rFonts w:ascii="Arial" w:cs="Arial" w:eastAsia="Arial" w:hAnsi="Arial"/>
                <w:b/>
                <w:bCs/>
                <w:color w:val="1F2937"/>
                <w:sz w:val="18"/>
                <w:szCs w:val="18"/>
              </w:rPr>
              <w:t xml:space="preserve">Errors &amp; Omissions (E&amp;O) Insurance</w:t>
            </w:r>
          </w:p>
        </w:tc>
        <w:tc>
          <w:tcPr>
            <w:tcW w:type="dxa" w:w="18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~$500–1,500/yr</w:t>
            </w:r>
          </w:p>
        </w:tc>
        <w:tc>
          <w:tcPr>
            <w:tcW w:type="dxa" w:w="52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Protects against client disputes over marketing or consulting advice given.</w:t>
            </w:r>
          </w:p>
        </w:tc>
      </w:tr>
      <w:tr>
        <w:tc>
          <w:tcPr>
            <w:tcW w:type="dxa" w:w="3200"/>
            <w:tcMar>
              <w:top w:type="dxa" w:w="90"/>
              <w:left w:type="dxa" w:w="110"/>
              <w:bottom w:type="dxa" w:w="90"/>
              <w:right w:type="dxa" w:w="110"/>
            </w:tcMar>
          </w:tcPr>
          <w:p>
            <w:r>
              <w:rPr>
                <w:rFonts w:ascii="Arial" w:cs="Arial" w:eastAsia="Arial" w:hAnsi="Arial"/>
                <w:b/>
                <w:bCs/>
                <w:color w:val="1F2937"/>
                <w:sz w:val="18"/>
                <w:szCs w:val="18"/>
              </w:rPr>
              <w:t xml:space="preserve">Equipment / Inland Marine Insurance</w:t>
            </w:r>
          </w:p>
        </w:tc>
        <w:tc>
          <w:tcPr>
            <w:tcW w:type="dxa" w:w="1800"/>
            <w:tcMar>
              <w:top w:type="dxa" w:w="90"/>
              <w:left w:type="dxa" w:w="110"/>
              <w:bottom w:type="dxa" w:w="90"/>
              <w:right w:type="dxa" w:w="110"/>
            </w:tcMar>
          </w:tcPr>
          <w:p>
            <w:r>
              <w:rPr>
                <w:rFonts w:ascii="Arial" w:cs="Arial" w:eastAsia="Arial" w:hAnsi="Arial"/>
                <w:b w:val="false"/>
                <w:bCs w:val="false"/>
                <w:color w:val="1F2937"/>
                <w:sz w:val="18"/>
                <w:szCs w:val="18"/>
              </w:rPr>
              <w:t xml:space="preserve">~$500–550/yr (avg. $43/mo)</w:t>
            </w:r>
          </w:p>
        </w:tc>
        <w:tc>
          <w:tcPr>
            <w:tcW w:type="dxa" w:w="5200"/>
            <w:tcMar>
              <w:top w:type="dxa" w:w="90"/>
              <w:left w:type="dxa" w:w="110"/>
              <w:bottom w:type="dxa" w:w="90"/>
              <w:right w:type="dxa" w:w="110"/>
            </w:tcMar>
          </w:tcPr>
          <w:p>
            <w:r>
              <w:rPr>
                <w:rFonts w:ascii="Arial" w:cs="Arial" w:eastAsia="Arial" w:hAnsi="Arial"/>
                <w:b w:val="false"/>
                <w:bCs w:val="false"/>
                <w:color w:val="1F2937"/>
                <w:sz w:val="18"/>
                <w:szCs w:val="18"/>
              </w:rPr>
              <w:t xml:space="preserve">Different from GL and E&amp;O — covers the AV gear itself (cameras, lighting, drones) against loss, theft or damage in transit or on-site. Worth having once real equipment purchases start.</w:t>
            </w:r>
          </w:p>
        </w:tc>
      </w:tr>
      <w:tr>
        <w:tc>
          <w:tcPr>
            <w:tcW w:type="dxa" w:w="3200"/>
            <w:shd w:fill="F6F5F3" w:val="clear"/>
            <w:tcMar>
              <w:top w:type="dxa" w:w="90"/>
              <w:left w:type="dxa" w:w="110"/>
              <w:bottom w:type="dxa" w:w="90"/>
              <w:right w:type="dxa" w:w="110"/>
            </w:tcMar>
          </w:tcPr>
          <w:p>
            <w:r>
              <w:rPr>
                <w:rFonts w:ascii="Arial" w:cs="Arial" w:eastAsia="Arial" w:hAnsi="Arial"/>
                <w:b/>
                <w:bCs/>
                <w:color w:val="1F2937"/>
                <w:sz w:val="18"/>
                <w:szCs w:val="18"/>
              </w:rPr>
              <w:t xml:space="preserve">Cyber Liability Insurance</w:t>
            </w:r>
          </w:p>
        </w:tc>
        <w:tc>
          <w:tcPr>
            <w:tcW w:type="dxa" w:w="18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~$400–1,600/yr</w:t>
            </w:r>
          </w:p>
        </w:tc>
        <w:tc>
          <w:tcPr>
            <w:tcW w:type="dxa" w:w="52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Covers data breach/ransomware response — forensics, legal review, client notification. Client data already lives across Firestore, LucidLink, Frame.io, HubSpot, Klaviyo and the Hub itself, none of which GL, E&amp;O or Equipment coverage touches.</w:t>
            </w:r>
          </w:p>
        </w:tc>
      </w:tr>
    </w:tbl>
    <w:p>
      <w:pPr>
        <w:pBdr>
          <w:top w:val="single" w:color="E5E7EB" w:sz="4" w:space="8"/>
        </w:pBdr>
        <w:spacing w:after="0" w:before="280"/>
      </w:pPr>
      <w:r>
        <w:rPr>
          <w:rFonts w:ascii="Arial" w:cs="Arial" w:eastAsia="Arial" w:hAnsi="Arial"/>
          <w:b/>
          <w:bCs/>
          <w:color w:val="F68D5F"/>
          <w:spacing w:val="20"/>
          <w:sz w:val="16"/>
          <w:szCs w:val="16"/>
        </w:rPr>
        <w:t xml:space="preserve">DAY-TO-DAY OPERATIONS</w:t>
      </w:r>
    </w:p>
    <w:p>
      <w:pPr>
        <w:spacing w:after="160" w:before="60"/>
      </w:pPr>
      <w:r>
        <w:rPr>
          <w:rFonts w:ascii="Arial" w:cs="Arial" w:eastAsia="Arial" w:hAnsi="Arial"/>
          <w:b/>
          <w:bCs/>
          <w:color w:val="1F2937"/>
          <w:sz w:val="27"/>
          <w:szCs w:val="27"/>
        </w:rPr>
        <w:t xml:space="preserve">Business Operations</w:t>
      </w:r>
    </w:p>
    <w:p>
      <w:pPr>
        <w:spacing w:after="180"/>
      </w:pPr>
      <w:r>
        <w:rPr>
          <w:rFonts w:ascii="Arial" w:cs="Arial" w:eastAsia="Arial" w:hAnsi="Arial"/>
          <w:i w:val="false"/>
          <w:iCs w:val="false"/>
          <w:color w:val="374151"/>
          <w:sz w:val="20"/>
          <w:szCs w:val="20"/>
        </w:rPr>
        <w:t xml:space="preserve">A few operational gaps that aren't marketing- or AV-specific, but affect how the business runs day to day.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4600"/>
      </w:tblGrid>
      <w:tr>
        <w:trPr>
          <w:tblHeader/>
        </w:trPr>
        <w:tc>
          <w:tcPr>
            <w:tcW w:type="dxa" w:w="2600"/>
            <w:shd w:fill="1A1A1A" w:val="clear"/>
            <w:tcMar>
              <w:top w:type="dxa" w:w="90"/>
              <w:left w:type="dxa" w:w="110"/>
              <w:bottom w:type="dxa" w:w="90"/>
              <w:right w:type="dxa" w:w="110"/>
            </w:tcMar>
          </w:tcPr>
          <w:p>
            <w:r>
              <w:rPr>
                <w:rFonts w:ascii="Arial" w:cs="Arial" w:eastAsia="Arial" w:hAnsi="Arial"/>
                <w:b/>
                <w:bCs/>
                <w:color w:val="FFFFFF"/>
                <w:sz w:val="17"/>
                <w:szCs w:val="17"/>
              </w:rPr>
              <w:t xml:space="preserve">Tool</w:t>
            </w:r>
          </w:p>
        </w:tc>
        <w:tc>
          <w:tcPr>
            <w:tcW w:type="dxa" w:w="3000"/>
            <w:shd w:fill="1A1A1A" w:val="clear"/>
            <w:tcMar>
              <w:top w:type="dxa" w:w="90"/>
              <w:left w:type="dxa" w:w="110"/>
              <w:bottom w:type="dxa" w:w="90"/>
              <w:right w:type="dxa" w:w="110"/>
            </w:tcMar>
          </w:tcPr>
          <w:p>
            <w:r>
              <w:rPr>
                <w:rFonts w:ascii="Arial" w:cs="Arial" w:eastAsia="Arial" w:hAnsi="Arial"/>
                <w:b/>
                <w:bCs/>
                <w:color w:val="FFFFFF"/>
                <w:sz w:val="17"/>
                <w:szCs w:val="17"/>
              </w:rPr>
              <w:t xml:space="preserve">Est. Cost</w:t>
            </w:r>
          </w:p>
        </w:tc>
        <w:tc>
          <w:tcPr>
            <w:tcW w:type="dxa" w:w="4600"/>
            <w:shd w:fill="1A1A1A" w:val="clear"/>
            <w:tcMar>
              <w:top w:type="dxa" w:w="90"/>
              <w:left w:type="dxa" w:w="110"/>
              <w:bottom w:type="dxa" w:w="90"/>
              <w:right w:type="dxa" w:w="110"/>
            </w:tcMar>
          </w:tcPr>
          <w:p>
            <w:r>
              <w:rPr>
                <w:rFonts w:ascii="Arial" w:cs="Arial" w:eastAsia="Arial" w:hAnsi="Arial"/>
                <w:b/>
                <w:bCs/>
                <w:color w:val="FFFFFF"/>
                <w:sz w:val="17"/>
                <w:szCs w:val="17"/>
              </w:rPr>
              <w:t xml:space="preserve">Why It's Needed</w:t>
            </w:r>
          </w:p>
        </w:tc>
      </w:tr>
      <w:tr>
        <w:tc>
          <w:tcPr>
            <w:tcW w:type="dxa" w:w="2600"/>
            <w:tcMar>
              <w:top w:type="dxa" w:w="90"/>
              <w:left w:type="dxa" w:w="110"/>
              <w:bottom w:type="dxa" w:w="90"/>
              <w:right w:type="dxa" w:w="110"/>
            </w:tcMar>
          </w:tcPr>
          <w:p>
            <w:r>
              <w:rPr>
                <w:rFonts w:ascii="Arial" w:cs="Arial" w:eastAsia="Arial" w:hAnsi="Arial"/>
                <w:b/>
                <w:bCs/>
                <w:color w:val="1F2937"/>
                <w:sz w:val="18"/>
                <w:szCs w:val="18"/>
              </w:rPr>
              <w:t xml:space="preserve">Dropbox Sign (HelloSign)</w:t>
            </w:r>
          </w:p>
        </w:tc>
        <w:tc>
          <w:tcPr>
            <w:tcW w:type="dxa" w:w="3000"/>
            <w:tcMar>
              <w:top w:type="dxa" w:w="90"/>
              <w:left w:type="dxa" w:w="110"/>
              <w:bottom w:type="dxa" w:w="90"/>
              <w:right w:type="dxa" w:w="110"/>
            </w:tcMar>
          </w:tcPr>
          <w:p>
            <w:r>
              <w:rPr>
                <w:rFonts w:ascii="Arial" w:cs="Arial" w:eastAsia="Arial" w:hAnsi="Arial"/>
                <w:b w:val="false"/>
                <w:bCs w:val="false"/>
                <w:color w:val="1F2937"/>
                <w:sz w:val="18"/>
                <w:szCs w:val="18"/>
              </w:rPr>
              <w:t xml:space="preserve">$15/mo</w:t>
            </w:r>
          </w:p>
        </w:tc>
        <w:tc>
          <w:tcPr>
            <w:tcW w:type="dxa" w:w="4600"/>
            <w:tcMar>
              <w:top w:type="dxa" w:w="90"/>
              <w:left w:type="dxa" w:w="110"/>
              <w:bottom w:type="dxa" w:w="90"/>
              <w:right w:type="dxa" w:w="110"/>
            </w:tcMar>
          </w:tcPr>
          <w:p>
            <w:r>
              <w:rPr>
                <w:rFonts w:ascii="Arial" w:cs="Arial" w:eastAsia="Arial" w:hAnsi="Arial"/>
                <w:b w:val="false"/>
                <w:bCs w:val="false"/>
                <w:color w:val="1F2937"/>
                <w:sz w:val="18"/>
                <w:szCs w:val="18"/>
              </w:rPr>
              <w:t xml:space="preserve">UPDATE (Jul 2026): The Hub already has a live DocuSign e-signature flow (contract sending, envelope tracking, signed-doc storage) — this line item is done, not a gap. Leaving the row for reference; no spend needed here.</w:t>
            </w:r>
          </w:p>
        </w:tc>
      </w:tr>
      <w:tr>
        <w:tc>
          <w:tcPr>
            <w:tcW w:type="dxa" w:w="2600"/>
            <w:shd w:fill="F6F5F3" w:val="clear"/>
            <w:tcMar>
              <w:top w:type="dxa" w:w="90"/>
              <w:left w:type="dxa" w:w="110"/>
              <w:bottom w:type="dxa" w:w="90"/>
              <w:right w:type="dxa" w:w="110"/>
            </w:tcMar>
          </w:tcPr>
          <w:p>
            <w:r>
              <w:rPr>
                <w:rFonts w:ascii="Arial" w:cs="Arial" w:eastAsia="Arial" w:hAnsi="Arial"/>
                <w:b/>
                <w:bCs/>
                <w:color w:val="1F2937"/>
                <w:sz w:val="18"/>
                <w:szCs w:val="18"/>
              </w:rPr>
              <w:t xml:space="preserve">OpenPhone (or Grasshopper)</w:t>
            </w:r>
          </w:p>
        </w:tc>
        <w:tc>
          <w:tcPr>
            <w:tcW w:type="dxa" w:w="30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$15–23/user/mo + ~$20 one-time registration</w:t>
            </w:r>
          </w:p>
        </w:tc>
        <w:tc>
          <w:tcPr>
            <w:tcW w:type="dxa" w:w="46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A real business phone line, separate from your personal cell — useful right now for calling/texting the leads that only have phone numbers on file, and standard once you're doing business development at any real volume.</w:t>
            </w:r>
          </w:p>
        </w:tc>
      </w:tr>
      <w:tr>
        <w:tc>
          <w:tcPr>
            <w:tcW w:type="dxa" w:w="2600"/>
            <w:tcMar>
              <w:top w:type="dxa" w:w="90"/>
              <w:left w:type="dxa" w:w="110"/>
              <w:bottom w:type="dxa" w:w="90"/>
              <w:right w:type="dxa" w:w="110"/>
            </w:tcMar>
          </w:tcPr>
          <w:p>
            <w:r>
              <w:rPr>
                <w:rFonts w:ascii="Arial" w:cs="Arial" w:eastAsia="Arial" w:hAnsi="Arial"/>
                <w:b/>
                <w:bCs/>
                <w:color w:val="1F2937"/>
                <w:sz w:val="18"/>
                <w:szCs w:val="18"/>
              </w:rPr>
              <w:t xml:space="preserve">Bitwarden Teams (or 1Password)</w:t>
            </w:r>
          </w:p>
        </w:tc>
        <w:tc>
          <w:tcPr>
            <w:tcW w:type="dxa" w:w="3000"/>
            <w:tcMar>
              <w:top w:type="dxa" w:w="90"/>
              <w:left w:type="dxa" w:w="110"/>
              <w:bottom w:type="dxa" w:w="90"/>
              <w:right w:type="dxa" w:w="110"/>
            </w:tcMar>
          </w:tcPr>
          <w:p>
            <w:r>
              <w:rPr>
                <w:rFonts w:ascii="Arial" w:cs="Arial" w:eastAsia="Arial" w:hAnsi="Arial"/>
                <w:b w:val="false"/>
                <w:bCs w:val="false"/>
                <w:color w:val="1F2937"/>
                <w:sz w:val="18"/>
                <w:szCs w:val="18"/>
              </w:rPr>
              <w:t xml:space="preserve">$4/user/mo (Bitwarden) or $19.95/mo flat for up to 10 (1Password Teams Starter)</w:t>
            </w:r>
          </w:p>
        </w:tc>
        <w:tc>
          <w:tcPr>
            <w:tcW w:type="dxa" w:w="4600"/>
            <w:tcMar>
              <w:top w:type="dxa" w:w="90"/>
              <w:left w:type="dxa" w:w="110"/>
              <w:bottom w:type="dxa" w:w="90"/>
              <w:right w:type="dxa" w:w="110"/>
            </w:tcMar>
          </w:tcPr>
          <w:p>
            <w:r>
              <w:rPr>
                <w:rFonts w:ascii="Arial" w:cs="Arial" w:eastAsia="Arial" w:hAnsi="Arial"/>
                <w:b w:val="false"/>
                <w:bCs w:val="false"/>
                <w:color w:val="1F2937"/>
                <w:sz w:val="18"/>
                <w:szCs w:val="18"/>
              </w:rPr>
              <w:t xml:space="preserve">Shared, audited access to logins — ClickUp, Stripe, ad accounts, social accounts — instead of passing passwords around directly. Worth having before the team grows past just you.</w:t>
            </w:r>
          </w:p>
        </w:tc>
      </w:tr>
      <w:tr>
        <w:tc>
          <w:tcPr>
            <w:tcW w:type="dxa" w:w="2600"/>
            <w:shd w:fill="F6F5F3" w:val="clear"/>
            <w:tcMar>
              <w:top w:type="dxa" w:w="90"/>
              <w:left w:type="dxa" w:w="110"/>
              <w:bottom w:type="dxa" w:w="90"/>
              <w:right w:type="dxa" w:w="110"/>
            </w:tcMar>
          </w:tcPr>
          <w:p>
            <w:r>
              <w:rPr>
                <w:rFonts w:ascii="Arial" w:cs="Arial" w:eastAsia="Arial" w:hAnsi="Arial"/>
                <w:b/>
                <w:bCs/>
                <w:color w:val="1F2937"/>
                <w:sz w:val="18"/>
                <w:szCs w:val="18"/>
              </w:rPr>
              <w:t xml:space="preserve">Ramp or Brex</w:t>
            </w:r>
          </w:p>
        </w:tc>
        <w:tc>
          <w:tcPr>
            <w:tcW w:type="dxa" w:w="30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Free (revenue from card interchange, not subscription fees)</w:t>
            </w:r>
          </w:p>
        </w:tc>
        <w:tc>
          <w:tcPr>
            <w:tcW w:type="dxa" w:w="46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Business expense cards with automatic transaction-level tracking and receipt capture — catches spend the Subscription Tracker wouldn't (one-off equipment/vendor purchases), on top of the recurring-software view that tracker already covers.</w:t>
            </w:r>
          </w:p>
        </w:tc>
      </w:tr>
    </w:tbl>
    <w:p>
      <w:pPr>
        <w:pBdr>
          <w:top w:val="single" w:color="E5E7EB" w:sz="4" w:space="8"/>
        </w:pBdr>
        <w:spacing w:after="0" w:before="280"/>
      </w:pPr>
      <w:r>
        <w:rPr>
          <w:rFonts w:ascii="Arial" w:cs="Arial" w:eastAsia="Arial" w:hAnsi="Arial"/>
          <w:b/>
          <w:bCs/>
          <w:color w:val="F68D5F"/>
          <w:spacing w:val="20"/>
          <w:sz w:val="16"/>
          <w:szCs w:val="16"/>
        </w:rPr>
        <w:t xml:space="preserve">REFERENCE</w:t>
      </w:r>
    </w:p>
    <w:p>
      <w:pPr>
        <w:spacing w:after="160" w:before="60"/>
      </w:pPr>
      <w:r>
        <w:rPr>
          <w:rFonts w:ascii="Arial" w:cs="Arial" w:eastAsia="Arial" w:hAnsi="Arial"/>
          <w:b/>
          <w:bCs/>
          <w:color w:val="1F2937"/>
          <w:sz w:val="27"/>
          <w:szCs w:val="27"/>
        </w:rPr>
        <w:t xml:space="preserve">Alternative Options</w:t>
      </w:r>
    </w:p>
    <w:p>
      <w:pPr>
        <w:spacing w:after="180"/>
      </w:pPr>
      <w:r>
        <w:rPr>
          <w:rFonts w:ascii="Arial" w:cs="Arial" w:eastAsia="Arial" w:hAnsi="Arial"/>
          <w:i w:val="false"/>
          <w:iCs w:val="false"/>
          <w:color w:val="374151"/>
          <w:sz w:val="20"/>
          <w:szCs w:val="20"/>
        </w:rPr>
        <w:t xml:space="preserve">Where a strong alternative came up in discussion for a tool already on this list, it's noted here rather than duplicating a full line item above.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900"/>
      </w:tblGrid>
      <w:tr>
        <w:trPr>
          <w:tblHeader/>
        </w:trPr>
        <w:tc>
          <w:tcPr>
            <w:tcW w:type="dxa" w:w="2300"/>
            <w:shd w:fill="1A1A1A" w:val="clear"/>
            <w:tcMar>
              <w:top w:type="dxa" w:w="90"/>
              <w:left w:type="dxa" w:w="110"/>
              <w:bottom w:type="dxa" w:w="90"/>
              <w:right w:type="dxa" w:w="110"/>
            </w:tcMar>
          </w:tcPr>
          <w:p>
            <w:r>
              <w:rPr>
                <w:rFonts w:ascii="Arial" w:cs="Arial" w:eastAsia="Arial" w:hAnsi="Arial"/>
                <w:b/>
                <w:bCs/>
                <w:color w:val="FFFFFF"/>
                <w:sz w:val="17"/>
                <w:szCs w:val="17"/>
              </w:rPr>
              <w:t xml:space="preserve">Primary Pick</w:t>
            </w:r>
          </w:p>
        </w:tc>
        <w:tc>
          <w:tcPr>
            <w:tcW w:type="dxa" w:w="2600"/>
            <w:shd w:fill="1A1A1A" w:val="clear"/>
            <w:tcMar>
              <w:top w:type="dxa" w:w="90"/>
              <w:left w:type="dxa" w:w="110"/>
              <w:bottom w:type="dxa" w:w="90"/>
              <w:right w:type="dxa" w:w="110"/>
            </w:tcMar>
          </w:tcPr>
          <w:p>
            <w:r>
              <w:rPr>
                <w:rFonts w:ascii="Arial" w:cs="Arial" w:eastAsia="Arial" w:hAnsi="Arial"/>
                <w:b/>
                <w:bCs/>
                <w:color w:val="FFFFFF"/>
                <w:sz w:val="17"/>
                <w:szCs w:val="17"/>
              </w:rPr>
              <w:t xml:space="preserve">Alternative(s)</w:t>
            </w:r>
          </w:p>
        </w:tc>
        <w:tc>
          <w:tcPr>
            <w:tcW w:type="dxa" w:w="4900"/>
            <w:shd w:fill="1A1A1A" w:val="clear"/>
            <w:tcMar>
              <w:top w:type="dxa" w:w="90"/>
              <w:left w:type="dxa" w:w="110"/>
              <w:bottom w:type="dxa" w:w="90"/>
              <w:right w:type="dxa" w:w="110"/>
            </w:tcMar>
          </w:tcPr>
          <w:p>
            <w:r>
              <w:rPr>
                <w:rFonts w:ascii="Arial" w:cs="Arial" w:eastAsia="Arial" w:hAnsi="Arial"/>
                <w:b/>
                <w:bCs/>
                <w:color w:val="FFFFFF"/>
                <w:sz w:val="17"/>
                <w:szCs w:val="17"/>
              </w:rPr>
              <w:t xml:space="preserve">When to Consider It Instead</w:t>
            </w:r>
          </w:p>
        </w:tc>
      </w:tr>
      <w:tr>
        <w:tc>
          <w:tcPr>
            <w:tcW w:type="dxa" w:w="2300"/>
            <w:tcMar>
              <w:top w:type="dxa" w:w="90"/>
              <w:left w:type="dxa" w:w="110"/>
              <w:bottom w:type="dxa" w:w="90"/>
              <w:right w:type="dxa" w:w="110"/>
            </w:tcMar>
          </w:tcPr>
          <w:p>
            <w:r>
              <w:rPr>
                <w:rFonts w:ascii="Arial" w:cs="Arial" w:eastAsia="Arial" w:hAnsi="Arial"/>
                <w:b/>
                <w:bCs/>
                <w:color w:val="1F2937"/>
                <w:sz w:val="18"/>
                <w:szCs w:val="18"/>
              </w:rPr>
              <w:t xml:space="preserve">OpenPhone (or Quo)</w:t>
            </w:r>
          </w:p>
        </w:tc>
        <w:tc>
          <w:tcPr>
            <w:tcW w:type="dxa" w:w="2600"/>
            <w:tcMar>
              <w:top w:type="dxa" w:w="90"/>
              <w:left w:type="dxa" w:w="110"/>
              <w:bottom w:type="dxa" w:w="90"/>
              <w:right w:type="dxa" w:w="110"/>
            </w:tcMar>
          </w:tcPr>
          <w:p>
            <w:r>
              <w:rPr>
                <w:rFonts w:ascii="Arial" w:cs="Arial" w:eastAsia="Arial" w:hAnsi="Arial"/>
                <w:b w:val="false"/>
                <w:bCs w:val="false"/>
                <w:color w:val="1F2937"/>
                <w:sz w:val="18"/>
                <w:szCs w:val="18"/>
              </w:rPr>
              <w:t xml:space="preserve">Grasshopper; Dialpad; RingCentral</w:t>
            </w:r>
          </w:p>
        </w:tc>
        <w:tc>
          <w:tcPr>
            <w:tcW w:type="dxa" w:w="4900"/>
            <w:tcMar>
              <w:top w:type="dxa" w:w="90"/>
              <w:left w:type="dxa" w:w="110"/>
              <w:bottom w:type="dxa" w:w="90"/>
              <w:right w:type="dxa" w:w="110"/>
            </w:tcMar>
          </w:tcPr>
          <w:p>
            <w:r>
              <w:rPr>
                <w:rFonts w:ascii="Arial" w:cs="Arial" w:eastAsia="Arial" w:hAnsi="Arial"/>
                <w:b w:val="false"/>
                <w:bCs w:val="false"/>
                <w:color w:val="1F2937"/>
                <w:sz w:val="18"/>
                <w:szCs w:val="18"/>
              </w:rPr>
              <w:t xml:space="preserve">Grasshopper is simpler/cheaper with no frills. Dialpad leans harder into AI call transcription. RingCentral is built for scaling well past a small team — likely overkill right now.</w:t>
            </w:r>
          </w:p>
        </w:tc>
      </w:tr>
      <w:tr>
        <w:tc>
          <w:tcPr>
            <w:tcW w:type="dxa" w:w="2300"/>
            <w:shd w:fill="F6F5F3" w:val="clear"/>
            <w:tcMar>
              <w:top w:type="dxa" w:w="90"/>
              <w:left w:type="dxa" w:w="110"/>
              <w:bottom w:type="dxa" w:w="90"/>
              <w:right w:type="dxa" w:w="110"/>
            </w:tcMar>
          </w:tcPr>
          <w:p>
            <w:r>
              <w:rPr>
                <w:rFonts w:ascii="Arial" w:cs="Arial" w:eastAsia="Arial" w:hAnsi="Arial"/>
                <w:b/>
                <w:bCs/>
                <w:color w:val="1F2937"/>
                <w:sz w:val="18"/>
                <w:szCs w:val="18"/>
              </w:rPr>
              <w:t xml:space="preserve">Bitwarden Teams</w:t>
            </w:r>
          </w:p>
        </w:tc>
        <w:tc>
          <w:tcPr>
            <w:tcW w:type="dxa" w:w="26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1Password Teams</w:t>
            </w:r>
          </w:p>
        </w:tc>
        <w:tc>
          <w:tcPr>
            <w:tcW w:type="dxa" w:w="49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Nearly identical feature set — 1Password costs more per seat but has a slightly more polished interface.</w:t>
            </w:r>
          </w:p>
        </w:tc>
      </w:tr>
      <w:tr>
        <w:tc>
          <w:tcPr>
            <w:tcW w:type="dxa" w:w="2300"/>
            <w:tcMar>
              <w:top w:type="dxa" w:w="90"/>
              <w:left w:type="dxa" w:w="110"/>
              <w:bottom w:type="dxa" w:w="90"/>
              <w:right w:type="dxa" w:w="110"/>
            </w:tcMar>
          </w:tcPr>
          <w:p>
            <w:r>
              <w:rPr>
                <w:rFonts w:ascii="Arial" w:cs="Arial" w:eastAsia="Arial" w:hAnsi="Arial"/>
                <w:b/>
                <w:bCs/>
                <w:color w:val="1F2937"/>
                <w:sz w:val="18"/>
                <w:szCs w:val="18"/>
              </w:rPr>
              <w:t xml:space="preserve">Logic Pro</w:t>
            </w:r>
          </w:p>
        </w:tc>
        <w:tc>
          <w:tcPr>
            <w:tcW w:type="dxa" w:w="2600"/>
            <w:tcMar>
              <w:top w:type="dxa" w:w="90"/>
              <w:left w:type="dxa" w:w="110"/>
              <w:bottom w:type="dxa" w:w="90"/>
              <w:right w:type="dxa" w:w="110"/>
            </w:tcMar>
          </w:tcPr>
          <w:p>
            <w:r>
              <w:rPr>
                <w:rFonts w:ascii="Arial" w:cs="Arial" w:eastAsia="Arial" w:hAnsi="Arial"/>
                <w:b w:val="false"/>
                <w:bCs w:val="false"/>
                <w:color w:val="1F2937"/>
                <w:sz w:val="18"/>
                <w:szCs w:val="18"/>
              </w:rPr>
              <w:t xml:space="preserve">Pro Tools</w:t>
            </w:r>
          </w:p>
        </w:tc>
        <w:tc>
          <w:tcPr>
            <w:tcW w:type="dxa" w:w="4900"/>
            <w:tcMar>
              <w:top w:type="dxa" w:w="90"/>
              <w:left w:type="dxa" w:w="110"/>
              <w:bottom w:type="dxa" w:w="90"/>
              <w:right w:type="dxa" w:w="110"/>
            </w:tcMar>
          </w:tcPr>
          <w:p>
            <w:r>
              <w:rPr>
                <w:rFonts w:ascii="Arial" w:cs="Arial" w:eastAsia="Arial" w:hAnsi="Arial"/>
                <w:b w:val="false"/>
                <w:bCs w:val="false"/>
                <w:color w:val="1F2937"/>
                <w:sz w:val="18"/>
                <w:szCs w:val="18"/>
              </w:rPr>
              <w:t xml:space="preserve">Pro Tools is the true industry standard and works cross-platform (Windows + Mac), but it's subscription-based and pricier than Logic's one-time fee.</w:t>
            </w:r>
          </w:p>
        </w:tc>
      </w:tr>
      <w:tr>
        <w:tc>
          <w:tcPr>
            <w:tcW w:type="dxa" w:w="2300"/>
            <w:shd w:fill="F6F5F3" w:val="clear"/>
            <w:tcMar>
              <w:top w:type="dxa" w:w="90"/>
              <w:left w:type="dxa" w:w="110"/>
              <w:bottom w:type="dxa" w:w="90"/>
              <w:right w:type="dxa" w:w="110"/>
            </w:tcMar>
          </w:tcPr>
          <w:p>
            <w:r>
              <w:rPr>
                <w:rFonts w:ascii="Arial" w:cs="Arial" w:eastAsia="Arial" w:hAnsi="Arial"/>
                <w:b/>
                <w:bCs/>
                <w:color w:val="1F2937"/>
                <w:sz w:val="18"/>
                <w:szCs w:val="18"/>
              </w:rPr>
              <w:t xml:space="preserve">Epidemic Sound</w:t>
            </w:r>
          </w:p>
        </w:tc>
        <w:tc>
          <w:tcPr>
            <w:tcW w:type="dxa" w:w="26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Artlist</w:t>
            </w:r>
          </w:p>
        </w:tc>
        <w:tc>
          <w:tcPr>
            <w:tcW w:type="dxa" w:w="49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Artlist has a smaller music catalog but bundles in stock footage, video templates and LUTs — worth a look if footage/templates matter as much as music.</w:t>
            </w:r>
          </w:p>
        </w:tc>
      </w:tr>
      <w:tr>
        <w:tc>
          <w:tcPr>
            <w:tcW w:type="dxa" w:w="2300"/>
            <w:tcMar>
              <w:top w:type="dxa" w:w="90"/>
              <w:left w:type="dxa" w:w="110"/>
              <w:bottom w:type="dxa" w:w="90"/>
              <w:right w:type="dxa" w:w="110"/>
            </w:tcMar>
          </w:tcPr>
          <w:p>
            <w:r>
              <w:rPr>
                <w:rFonts w:ascii="Arial" w:cs="Arial" w:eastAsia="Arial" w:hAnsi="Arial"/>
                <w:b/>
                <w:bCs/>
                <w:color w:val="1F2937"/>
                <w:sz w:val="18"/>
                <w:szCs w:val="18"/>
              </w:rPr>
              <w:t xml:space="preserve">vMix</w:t>
            </w:r>
          </w:p>
        </w:tc>
        <w:tc>
          <w:tcPr>
            <w:tcW w:type="dxa" w:w="2600"/>
            <w:tcMar>
              <w:top w:type="dxa" w:w="90"/>
              <w:left w:type="dxa" w:w="110"/>
              <w:bottom w:type="dxa" w:w="90"/>
              <w:right w:type="dxa" w:w="110"/>
            </w:tcMar>
          </w:tcPr>
          <w:p>
            <w:r>
              <w:rPr>
                <w:rFonts w:ascii="Arial" w:cs="Arial" w:eastAsia="Arial" w:hAnsi="Arial"/>
                <w:b w:val="false"/>
                <w:bCs w:val="false"/>
                <w:color w:val="1F2937"/>
                <w:sz w:val="18"/>
                <w:szCs w:val="18"/>
              </w:rPr>
              <w:t xml:space="preserve">OBS Studio (free); Blackmagic ATEM (hardware)</w:t>
            </w:r>
          </w:p>
        </w:tc>
        <w:tc>
          <w:tcPr>
            <w:tcW w:type="dxa" w:w="4900"/>
            <w:tcMar>
              <w:top w:type="dxa" w:w="90"/>
              <w:left w:type="dxa" w:w="110"/>
              <w:bottom w:type="dxa" w:w="90"/>
              <w:right w:type="dxa" w:w="110"/>
            </w:tcMar>
          </w:tcPr>
          <w:p>
            <w:r>
              <w:rPr>
                <w:rFonts w:ascii="Arial" w:cs="Arial" w:eastAsia="Arial" w:hAnsi="Arial"/>
                <w:b w:val="false"/>
                <w:bCs w:val="false"/>
                <w:color w:val="1F2937"/>
                <w:sz w:val="18"/>
                <w:szCs w:val="18"/>
              </w:rPr>
              <w:t xml:space="preserve">OBS is the free software-only fallback; Blackmagic ATEM is the physical-switcher step up once volume justifies it — both already have their own line items above.</w:t>
            </w:r>
          </w:p>
        </w:tc>
      </w:tr>
      <w:tr>
        <w:tc>
          <w:tcPr>
            <w:tcW w:type="dxa" w:w="2300"/>
            <w:shd w:fill="F6F5F3" w:val="clear"/>
            <w:tcMar>
              <w:top w:type="dxa" w:w="90"/>
              <w:left w:type="dxa" w:w="110"/>
              <w:bottom w:type="dxa" w:w="90"/>
              <w:right w:type="dxa" w:w="110"/>
            </w:tcMar>
          </w:tcPr>
          <w:p>
            <w:r>
              <w:rPr>
                <w:rFonts w:ascii="Arial" w:cs="Arial" w:eastAsia="Arial" w:hAnsi="Arial"/>
                <w:b/>
                <w:bCs/>
                <w:color w:val="1F2937"/>
                <w:sz w:val="18"/>
                <w:szCs w:val="18"/>
              </w:rPr>
              <w:t xml:space="preserve">Shopify Plus</w:t>
            </w:r>
          </w:p>
        </w:tc>
        <w:tc>
          <w:tcPr>
            <w:tcW w:type="dxa" w:w="26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BigCommerce Enterprise</w:t>
            </w:r>
          </w:p>
        </w:tc>
        <w:tc>
          <w:tcPr>
            <w:tcW w:type="dxa" w:w="49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Shopify Plus is faster to launch with the bigger app ecosystem; BigCommerce is stronger for large/complex catalogs and B2B pricing rules with fewer paid add-ons needed.</w:t>
            </w:r>
          </w:p>
        </w:tc>
      </w:tr>
      <w:tr>
        <w:tc>
          <w:tcPr>
            <w:tcW w:type="dxa" w:w="2300"/>
            <w:tcMar>
              <w:top w:type="dxa" w:w="90"/>
              <w:left w:type="dxa" w:w="110"/>
              <w:bottom w:type="dxa" w:w="90"/>
              <w:right w:type="dxa" w:w="110"/>
            </w:tcMar>
          </w:tcPr>
          <w:p>
            <w:r>
              <w:rPr>
                <w:rFonts w:ascii="Arial" w:cs="Arial" w:eastAsia="Arial" w:hAnsi="Arial"/>
                <w:b/>
                <w:bCs/>
                <w:color w:val="1F2937"/>
                <w:sz w:val="18"/>
                <w:szCs w:val="18"/>
              </w:rPr>
              <w:t xml:space="preserve">Ahrefs or SEMrush</w:t>
            </w:r>
          </w:p>
        </w:tc>
        <w:tc>
          <w:tcPr>
            <w:tcW w:type="dxa" w:w="2600"/>
            <w:tcMar>
              <w:top w:type="dxa" w:w="90"/>
              <w:left w:type="dxa" w:w="110"/>
              <w:bottom w:type="dxa" w:w="90"/>
              <w:right w:type="dxa" w:w="110"/>
            </w:tcMar>
          </w:tcPr>
          <w:p>
            <w:r>
              <w:rPr>
                <w:rFonts w:ascii="Arial" w:cs="Arial" w:eastAsia="Arial" w:hAnsi="Arial"/>
                <w:b w:val="false"/>
                <w:bCs w:val="false"/>
                <w:color w:val="1F2937"/>
                <w:sz w:val="18"/>
                <w:szCs w:val="18"/>
              </w:rPr>
              <w:t xml:space="preserve">Moz Pro</w:t>
            </w:r>
          </w:p>
        </w:tc>
        <w:tc>
          <w:tcPr>
            <w:tcW w:type="dxa" w:w="4900"/>
            <w:tcMar>
              <w:top w:type="dxa" w:w="90"/>
              <w:left w:type="dxa" w:w="110"/>
              <w:bottom w:type="dxa" w:w="90"/>
              <w:right w:type="dxa" w:w="110"/>
            </w:tcMar>
          </w:tcPr>
          <w:p>
            <w:r>
              <w:rPr>
                <w:rFonts w:ascii="Arial" w:cs="Arial" w:eastAsia="Arial" w:hAnsi="Arial"/>
                <w:b w:val="false"/>
                <w:bCs w:val="false"/>
                <w:color w:val="1F2937"/>
                <w:sz w:val="18"/>
                <w:szCs w:val="18"/>
              </w:rPr>
              <w:t xml:space="preserve">A third SEO option if neither Ahrefs nor SEMrush fits — generally considered a notch behind both on data depth, but cheaper.</w:t>
            </w:r>
          </w:p>
        </w:tc>
      </w:tr>
      <w:tr>
        <w:tc>
          <w:tcPr>
            <w:tcW w:type="dxa" w:w="2300"/>
            <w:shd w:fill="F6F5F3" w:val="clear"/>
            <w:tcMar>
              <w:top w:type="dxa" w:w="90"/>
              <w:left w:type="dxa" w:w="110"/>
              <w:bottom w:type="dxa" w:w="90"/>
              <w:right w:type="dxa" w:w="110"/>
            </w:tcMar>
          </w:tcPr>
          <w:p>
            <w:r>
              <w:rPr>
                <w:rFonts w:ascii="Arial" w:cs="Arial" w:eastAsia="Arial" w:hAnsi="Arial"/>
                <w:b/>
                <w:bCs/>
                <w:color w:val="1F2937"/>
                <w:sz w:val="18"/>
                <w:szCs w:val="18"/>
              </w:rPr>
              <w:t xml:space="preserve">Dropbox Sign</w:t>
            </w:r>
          </w:p>
        </w:tc>
        <w:tc>
          <w:tcPr>
            <w:tcW w:type="dxa" w:w="26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DocuSign; PandaDoc</w:t>
            </w:r>
          </w:p>
        </w:tc>
        <w:tc>
          <w:tcPr>
            <w:tcW w:type="dxa" w:w="49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DocuSign is the more recognizable brand name to clients; PandaDoc adds proposal/quote building on top of e-signatures.</w:t>
            </w:r>
          </w:p>
        </w:tc>
      </w:tr>
    </w:tbl>
    <w:p>
      <w:pPr>
        <w:pBdr>
          <w:top w:val="single" w:color="E5E7EB" w:sz="4" w:space="8"/>
        </w:pBdr>
        <w:spacing w:after="0" w:before="280"/>
      </w:pPr>
      <w:r>
        <w:rPr>
          <w:rFonts w:ascii="Arial" w:cs="Arial" w:eastAsia="Arial" w:hAnsi="Arial"/>
          <w:b/>
          <w:bCs/>
          <w:color w:val="F68D5F"/>
          <w:spacing w:val="20"/>
          <w:sz w:val="16"/>
          <w:szCs w:val="16"/>
        </w:rPr>
        <w:t xml:space="preserve">REFERENCE</w:t>
      </w:r>
    </w:p>
    <w:p>
      <w:pPr>
        <w:spacing w:after="160" w:before="60"/>
      </w:pPr>
      <w:r>
        <w:rPr>
          <w:rFonts w:ascii="Arial" w:cs="Arial" w:eastAsia="Arial" w:hAnsi="Arial"/>
          <w:b/>
          <w:bCs/>
          <w:color w:val="1F2937"/>
          <w:sz w:val="27"/>
          <w:szCs w:val="27"/>
        </w:rPr>
        <w:t xml:space="preserve">Note on Sequencing</w:t>
      </w:r>
    </w:p>
    <w:p>
      <w:pPr>
        <w:spacing w:after="180"/>
      </w:pPr>
      <w:r>
        <w:rPr>
          <w:rFonts w:ascii="Arial" w:cs="Arial" w:eastAsia="Arial" w:hAnsi="Arial"/>
          <w:i w:val="false"/>
          <w:iCs w:val="false"/>
          <w:color w:val="374151"/>
          <w:sz w:val="20"/>
          <w:szCs w:val="20"/>
        </w:rPr>
        <w:t xml:space="preserve">None of this needs to happen at once. The Marketing Service Delivery tools are the most immediate gap — they directly affect what you can actually deliver on services already priced and sold today. The AV equipment and insurance matter most right before that side of the business restarts, not before.</w:t>
      </w:r>
    </w:p>
    <w:sectPr>
      <w:footerReference w:type="default" r:id="rId7"/>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6"/>
      </w:pBdr>
      <w:tabs>
        <w:tab w:val="right" w:pos="9026"/>
      </w:tabs>
    </w:pPr>
    <w:r>
      <w:rPr>
        <w:rFonts w:ascii="Arial" w:cs="Arial" w:eastAsia="Arial" w:hAnsi="Arial"/>
        <w:color w:val="9CA3AF"/>
        <w:spacing w:val="6"/>
        <w:sz w:val="14"/>
        <w:szCs w:val="14"/>
      </w:rPr>
      <w:t xml:space="preserve">REVITAL PRODUCTIONS — SOFTWARE &amp; INSURANCE WISHLIST</w:t>
    </w:r>
    <w:r>
      <w:rPr>
        <w:rFonts w:ascii="Arial" w:cs="Arial" w:eastAsia="Arial" w:hAnsi="Arial"/>
        <w:sz w:val="14"/>
        <w:szCs w:val="14"/>
      </w:rPr>
      <w:t xml:space="preserve">	</w:t>
    </w:r>
    <w:r>
      <w:rPr>
        <w:rFonts w:ascii="Arial" w:cs="Arial" w:eastAsia="Arial" w:hAnsi="Arial"/>
        <w:color w:val="9CA3AF"/>
        <w:sz w:val="14"/>
        <w:szCs w:val="14"/>
      </w:rPr>
      <w:t xml:space="preserve">Page </w:t>
    </w:r>
    <w:r>
      <w:rPr>
        <w:rFonts w:ascii="Arial" w:cs="Arial" w:eastAsia="Arial" w:hAnsi="Arial"/>
        <w:color w:val="9CA3AF"/>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adb4ee445cdcb6a567be749da4c120e02501ce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2026-07-24T16:26:27.771Z</dcterms:created>
  <dcterms:modified xsi:type="dcterms:W3CDTF">2026-07-24T16:26:27.771Z</dcterms:modified>
</cp:coreProperties>
</file>

<file path=docProps/custom.xml><?xml version="1.0" encoding="utf-8"?>
<Properties xmlns="http://schemas.openxmlformats.org/officeDocument/2006/custom-properties" xmlns:vt="http://schemas.openxmlformats.org/officeDocument/2006/docPropsVTypes"/>
</file>