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none"/>
          <w:insideV w:val="none"/>
        </w:tblBorders>
      </w:tblPr>
      <w:tblGrid>
        <w:gridCol w:w="12240"/>
      </w:tblGrid>
      <w:tr>
        <w:trPr>
          <w:trHeight w:val="15600" w:hRule="exact"/>
        </w:trPr>
        <w:tc>
          <w:tcPr>
            <w:tcW w:type="dxa" w:w="12240"/>
            <w:shd w:fill="1A1A18" w:val="clear"/>
            <w:tcMar>
              <w:top w:type="dxa" w:w="0"/>
              <w:left w:type="dxa" w:w="900"/>
              <w:bottom w:type="dxa" w:w="0"/>
              <w:right w:type="dxa" w:w="900"/>
            </w:tcMar>
          </w:tcPr>
          <w:p>
            <w:r>
              <w:rPr>
                <w:sz w:val="24"/>
                <w:szCs w:val="24"/>
              </w:rPr>
              <w:t xml:space="preserve"/>
            </w:r>
          </w:p>
          <w:p>
            <w:r>
              <w:rPr>
                <w:sz w:val="24"/>
                <w:szCs w:val="24"/>
              </w:rPr>
              <w:t xml:space="preserve"/>
            </w:r>
          </w:p>
          <w:p>
            <w:r>
              <w:rPr>
                <w:sz w:val="24"/>
                <w:szCs w:val="24"/>
              </w:rPr>
              <w:t xml:space="preserve"/>
            </w:r>
          </w:p>
          <w:p>
            <w:pPr>
              <w:jc w:val="center"/>
            </w:pPr>
            <w:r>
              <w:drawing>
                <wp:inline distT="0" distB="0" distL="0" distR="0">
                  <wp:extent cx="166687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809625"/>
                          </a:xfrm>
                          <a:prstGeom prst="rect">
                            <a:avLst/>
                          </a:prstGeom>
                        </pic:spPr>
                      </pic:pic>
                    </a:graphicData>
                  </a:graphic>
                </wp:inline>
              </w:drawing>
            </w:r>
          </w:p>
          <w:p>
            <w:pPr>
              <w:spacing w:before="300"/>
              <w:jc w:val="center"/>
            </w:pPr>
            <w:r>
              <w:rPr>
                <w:b/>
                <w:bCs/>
                <w:color w:val="F68D5F"/>
                <w:spacing w:val="30"/>
                <w:sz w:val="20"/>
                <w:szCs w:val="20"/>
              </w:rPr>
              <w:t xml:space="preserve">REVITAL PRODUCTIONS</w:t>
            </w:r>
          </w:p>
          <w:p>
            <w:pPr>
              <w:spacing w:before="200"/>
              <w:jc w:val="center"/>
            </w:pPr>
            <w:r>
              <w:rPr>
                <w:b/>
                <w:bCs/>
                <w:color w:val="FFFFFF"/>
                <w:sz w:val="40"/>
                <w:szCs w:val="40"/>
              </w:rPr>
              <w:t xml:space="preserve">Hub Integration Roadmap</w:t>
            </w:r>
          </w:p>
          <w:p>
            <w:pPr>
              <w:spacing w:before="40"/>
              <w:jc w:val="center"/>
            </w:pPr>
            <w:r>
              <w:rPr>
                <w:b/>
                <w:bCs/>
                <w:color w:val="FFFFFF"/>
                <w:sz w:val="34"/>
                <w:szCs w:val="34"/>
              </w:rPr>
              <w:t xml:space="preserve">Which Growth-Stack Tools the Hub Feeds</w:t>
            </w:r>
          </w:p>
          <w:p>
            <w:pPr>
              <w:spacing w:before="240"/>
              <w:jc w:val="center"/>
            </w:pPr>
            <w:r>
              <w:rPr>
                <w:color w:val="B7B2A4"/>
                <w:sz w:val="20"/>
                <w:szCs w:val="20"/>
              </w:rPr>
              <w:t xml:space="preserve">Companion to the Technology Stack &amp; Future-Proof Growth Plan.</w:t>
            </w:r>
          </w:p>
          <w:p>
            <w:pPr>
              <w:spacing w:before="30"/>
              <w:jc w:val="center"/>
            </w:pPr>
            <w:r>
              <w:rPr>
                <w:color w:val="B7B2A4"/>
                <w:sz w:val="20"/>
                <w:szCs w:val="20"/>
              </w:rPr>
              <w:t xml:space="preserve">What becomes source of truth at each stage, and what the Hub hands off.</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jc w:val="center"/>
            </w:pPr>
            <w:r>
              <w:rPr>
                <w:color w:val="B7B2A4"/>
                <w:spacing w:val="15"/>
                <w:sz w:val="16"/>
                <w:szCs w:val="16"/>
              </w:rPr>
              <w:t xml:space="preserve">INTERNAL REFERENCE  •  CONFIDENTIAL  •  AUGUST 2026</w:t>
            </w:r>
          </w:p>
          <w:p>
            <w:r>
              <w:rPr>
                <w:sz w:val="24"/>
                <w:szCs w:val="24"/>
              </w:rPr>
              <w:t xml:space="preserve"/>
            </w:r>
          </w:p>
        </w:tc>
      </w:tr>
      <w:tr>
        <w:trPr>
          <w:trHeight w:val="240" w:hRule="exact"/>
        </w:trPr>
        <w:tc>
          <w:tcPr>
            <w:tcW w:type="dxa" w:w="12240"/>
            <w:shd w:fill="F68D5F" w:val="clear"/>
          </w:tcPr>
          <w:p/>
        </w:tc>
      </w:tr>
    </w:tbl>
    <w:p>
      <w:pPr>
        <w:sectPr>
          <w:pgSz w:w="12240" w:h="15840" w:orient="portrait"/>
          <w:pgMar w:top="0" w:right="0" w:bottom="0" w:left="0" w:header="708" w:footer="708" w:gutter="0"/>
          <w:pgNumType/>
          <w:docGrid w:linePitch="360"/>
        </w:sectPr>
      </w:pPr>
    </w:p>
    <w:p>
      <w:pPr>
        <w:spacing w:after="160"/>
      </w:pPr>
      <w:r>
        <w:rPr>
          <w:color w:val="1A1A18"/>
          <w:sz w:val="20"/>
          <w:szCs w:val="20"/>
        </w:rPr>
        <w:t xml:space="preserve">The rule for every tool added in the Technology Stack &amp; Future-Proof Growth Plan: the Hub keeps capturing what only it knows how to capture — client work, account assignment, ClickUp sync — and hands the rest off to the specialized tool built for that job. Once a tool for something exists, it becomes the source of truth for it. The Hub either feeds it, gets narrowed to whatever the new tool doesn't cover, or steps aside entirely. Never two systems holding the same record.</w:t>
      </w:r>
    </w:p>
    <w:p>
      <w:pPr>
        <w:spacing w:after="40" w:before="320"/>
      </w:pPr>
      <w:r>
        <w:rPr>
          <w:b/>
          <w:bCs/>
          <w:color w:val="F68D5F"/>
          <w:spacing w:val="20"/>
          <w:sz w:val="18"/>
          <w:szCs w:val="18"/>
        </w:rPr>
        <w:t xml:space="preserve">ALREADY WIRED — NO CHANGE NEEDED</w:t>
      </w:r>
    </w:p>
    <w:p>
      <w:pPr>
        <w:spacing w:after="60" w:before="180"/>
      </w:pPr>
      <w:r>
        <w:rPr>
          <w:b/>
          <w:bCs/>
          <w:color w:val="1A1A18"/>
          <w:sz w:val="20"/>
          <w:szCs w:val="20"/>
        </w:rPr>
        <w:t xml:space="preserve">Stripe</w:t>
      </w:r>
    </w:p>
    <w:p>
      <w:pPr>
        <w:spacing w:after="80"/>
        <w:ind w:left="360"/>
      </w:pPr>
      <w:r>
        <w:rPr>
          <w:b/>
          <w:bCs/>
          <w:color w:val="F68D5F"/>
          <w:sz w:val="20"/>
          <w:szCs w:val="20"/>
        </w:rPr>
        <w:t xml:space="preserve">—  </w:t>
      </w:r>
      <w:r>
        <w:rPr>
          <w:color w:val="1A1A18"/>
          <w:sz w:val="20"/>
          <w:szCs w:val="20"/>
        </w:rPr>
        <w:t xml:space="preserve">Proposal Calculator generates the Payment Link the client pays from.</w:t>
      </w:r>
    </w:p>
    <w:p>
      <w:pPr>
        <w:spacing w:after="80"/>
        <w:ind w:left="360"/>
      </w:pPr>
      <w:r>
        <w:rPr>
          <w:b/>
          <w:bCs/>
          <w:color w:val="F68D5F"/>
          <w:sz w:val="20"/>
          <w:szCs w:val="20"/>
        </w:rPr>
        <w:t xml:space="preserve">—  </w:t>
      </w:r>
      <w:r>
        <w:rPr>
          <w:color w:val="1A1A18"/>
          <w:sz w:val="20"/>
          <w:szCs w:val="20"/>
        </w:rPr>
        <w:t xml:space="preserve">Stripe's webhook writes results back into Contract &amp; Invoice Tracker (paid, failed, subscription canceled) and triggers the account-manager alerts built this session.</w:t>
      </w:r>
    </w:p>
    <w:p>
      <w:pPr>
        <w:spacing w:after="80"/>
        <w:ind w:left="360"/>
      </w:pPr>
      <w:r>
        <w:rPr>
          <w:b/>
          <w:bCs/>
          <w:color w:val="F68D5F"/>
          <w:sz w:val="20"/>
          <w:szCs w:val="20"/>
        </w:rPr>
        <w:t xml:space="preserve">—  </w:t>
      </w:r>
      <w:r>
        <w:rPr>
          <w:color w:val="1A1A18"/>
          <w:sz w:val="20"/>
          <w:szCs w:val="20"/>
        </w:rPr>
        <w:t xml:space="preserve">Already bidirectional. Nothing changes when QuickBooks or FreshBooks join — see below.</w:t>
      </w:r>
    </w:p>
    <w:p>
      <w:pPr>
        <w:spacing w:after="60" w:before="180"/>
      </w:pPr>
      <w:r>
        <w:rPr>
          <w:b/>
          <w:bCs/>
          <w:color w:val="1A1A18"/>
          <w:sz w:val="20"/>
          <w:szCs w:val="20"/>
        </w:rPr>
        <w:t xml:space="preserve">ClickUp</w:t>
      </w:r>
    </w:p>
    <w:p>
      <w:pPr>
        <w:spacing w:after="80"/>
        <w:ind w:left="360"/>
      </w:pPr>
      <w:r>
        <w:rPr>
          <w:b/>
          <w:bCs/>
          <w:color w:val="F68D5F"/>
          <w:sz w:val="20"/>
          <w:szCs w:val="20"/>
        </w:rPr>
        <w:t xml:space="preserve">—  </w:t>
      </w:r>
      <w:r>
        <w:rPr>
          <w:color w:val="1A1A18"/>
          <w:sz w:val="20"/>
          <w:szCs w:val="20"/>
        </w:rPr>
        <w:t xml:space="preserve">Sales Pipeline Board, Kickoff Prep's handoff, and Client Portal Manager's account-manager reassignment all push into ClickUp (Sales Pipeline + Onboarding Handoff lists, native Assignee, Account Manager field).</w:t>
      </w:r>
    </w:p>
    <w:p>
      <w:pPr>
        <w:spacing w:after="80"/>
        <w:ind w:left="360"/>
      </w:pPr>
      <w:r>
        <w:rPr>
          <w:b/>
          <w:bCs/>
          <w:color w:val="F68D5F"/>
          <w:sz w:val="20"/>
          <w:szCs w:val="20"/>
        </w:rPr>
        <w:t xml:space="preserve">—  </w:t>
      </w:r>
      <w:r>
        <w:rPr>
          <w:color w:val="1A1A18"/>
          <w:sz w:val="20"/>
          <w:szCs w:val="20"/>
        </w:rPr>
        <w:t xml:space="preserve">ClickUp is already the source of truth for deal and task status — the Hub feeds it live and never re-shows a competing copy of it.</w:t>
      </w:r>
    </w:p>
    <w:p>
      <w:pPr>
        <w:spacing w:after="40" w:before="320"/>
      </w:pPr>
      <w:r>
        <w:rPr>
          <w:b/>
          <w:bCs/>
          <w:color w:val="F68D5F"/>
          <w:spacing w:val="20"/>
          <w:sz w:val="18"/>
          <w:szCs w:val="18"/>
        </w:rPr>
        <w:t xml:space="preserve">3+ CLIENTS — FRESHBOOKS BECOMES SOURCE OF TRUTH FOR INVOICING</w:t>
      </w:r>
    </w:p>
    <w:p>
      <w:pPr>
        <w:spacing w:after="160"/>
      </w:pPr>
      <w:r>
        <w:rPr>
          <w:color w:val="1A1A18"/>
          <w:sz w:val="20"/>
          <w:szCs w:val="20"/>
        </w:rPr>
        <w:t xml:space="preserve">FreshBooks takes over retainer billing, deposits, and unused-balance tracking — the actual invoice record. QuickBooks Simple Start needs nothing from the Hub directly at this stage; Stripe and FreshBooks both sync into it natively on their own.</w:t>
      </w:r>
    </w:p>
    <w:tbl>
      <w:tblPr>
        <w:tblW w:type="dxa" w:w="9350"/>
        <w:tblBorders>
          <w:top w:val="none"/>
          <w:left w:val="single" w:color="F68D5F" w:sz="24"/>
          <w:bottom w:val="none"/>
          <w:right w:val="none"/>
          <w:insideH w:val="none"/>
          <w:insideV w:val="none"/>
        </w:tblBorders>
      </w:tblPr>
      <w:tblGrid>
        <w:gridCol w:w="9350"/>
      </w:tblGrid>
      <w:tr>
        <w:tc>
          <w:tcPr>
            <w:tcW w:type="dxa" w:w="9350"/>
            <w:shd w:fill="F7F3EC" w:val="clear"/>
            <w:tcMar>
              <w:top w:type="dxa" w:w="160"/>
              <w:left w:type="dxa" w:w="260"/>
              <w:bottom w:type="dxa" w:w="160"/>
              <w:right w:type="dxa" w:w="260"/>
            </w:tcMar>
          </w:tcPr>
          <w:p>
            <w:pPr>
              <w:spacing w:after="60"/>
            </w:pPr>
            <w:r>
              <w:rPr>
                <w:b/>
                <w:bCs/>
                <w:color w:val="1A1A18"/>
                <w:sz w:val="20"/>
                <w:szCs w:val="20"/>
              </w:rPr>
              <w:t xml:space="preserve">Contract &amp; Invoice Tracker stays Hub-owned for what FreshBooks doesn't do: SOW/contract signature status.</w:t>
            </w:r>
          </w:p>
          <w:p>
            <w:pPr>
              <w:spacing w:after="0"/>
            </w:pPr>
            <w:r>
              <w:rPr>
                <w:b w:val="false"/>
                <w:bCs w:val="false"/>
                <w:color w:val="1A1A18"/>
                <w:sz w:val="20"/>
                <w:szCs w:val="20"/>
              </w:rPr>
              <w:t xml:space="preserve">Invoice amount, due date, and paid status should come FROM FreshBooks once it's live — stop hand-typing those into the Hub tracker.</w:t>
            </w:r>
          </w:p>
        </w:tc>
      </w:tr>
    </w:tbl>
    <w:p>
      <w:pPr>
        <w:spacing w:after="80"/>
        <w:ind w:left="360"/>
      </w:pPr>
      <w:r>
        <w:rPr>
          <w:b/>
          <w:bCs/>
          <w:color w:val="F68D5F"/>
          <w:sz w:val="20"/>
          <w:szCs w:val="20"/>
        </w:rPr>
        <w:t xml:space="preserve">—  </w:t>
      </w:r>
      <w:r>
        <w:rPr>
          <w:color w:val="1A1A18"/>
          <w:sz w:val="20"/>
          <w:szCs w:val="20"/>
        </w:rPr>
        <w:t xml:space="preserve">Budget Pacing Tracker and Agency Health Dashboard's billing-status signal should reference FreshBooks once it exists, not the Hub's own invoice fields.</w:t>
      </w:r>
    </w:p>
    <w:p>
      <w:pPr>
        <w:spacing w:after="80"/>
        <w:ind w:left="360"/>
      </w:pPr>
      <w:r>
        <w:rPr>
          <w:b/>
          <w:bCs/>
          <w:color w:val="F68D5F"/>
          <w:sz w:val="20"/>
          <w:szCs w:val="20"/>
        </w:rPr>
        <w:t xml:space="preserve">—  </w:t>
      </w:r>
      <w:r>
        <w:rPr>
          <w:color w:val="1A1A18"/>
          <w:sz w:val="20"/>
          <w:szCs w:val="20"/>
        </w:rPr>
        <w:t xml:space="preserve">No Hub-QuickBooks connection needed at any stage — it's downstream of FreshBooks/Stripe/Gusto/Productive, never fed by the Hub directly.</w:t>
      </w:r>
    </w:p>
    <w:p>
      <w:pPr>
        <w:spacing w:after="40" w:before="320"/>
      </w:pPr>
      <w:r>
        <w:rPr>
          <w:b/>
          <w:bCs/>
          <w:color w:val="F68D5F"/>
          <w:spacing w:val="20"/>
          <w:sz w:val="18"/>
          <w:szCs w:val="18"/>
        </w:rPr>
        <w:t xml:space="preserve">FIRST W2 HIRE — GUSTO BECOMES SOURCE OF TRUTH FOR PAYROLL &amp; PTO</w:t>
      </w:r>
    </w:p>
    <w:tbl>
      <w:tblPr>
        <w:tblW w:type="dxa" w:w="9350"/>
        <w:tblBorders>
          <w:top w:val="none"/>
          <w:left w:val="single" w:color="F68D5F" w:sz="24"/>
          <w:bottom w:val="none"/>
          <w:right w:val="none"/>
          <w:insideH w:val="none"/>
          <w:insideV w:val="none"/>
        </w:tblBorders>
      </w:tblPr>
      <w:tblGrid>
        <w:gridCol w:w="9350"/>
      </w:tblGrid>
      <w:tr>
        <w:tc>
          <w:tcPr>
            <w:tcW w:type="dxa" w:w="9350"/>
            <w:shd w:fill="F7F3EC" w:val="clear"/>
            <w:tcMar>
              <w:top w:type="dxa" w:w="160"/>
              <w:left w:type="dxa" w:w="260"/>
              <w:bottom w:type="dxa" w:w="160"/>
              <w:right w:type="dxa" w:w="260"/>
            </w:tcMar>
          </w:tcPr>
          <w:p>
            <w:pPr>
              <w:spacing w:after="60"/>
            </w:pPr>
            <w:r>
              <w:rPr>
                <w:b/>
                <w:bCs/>
                <w:color w:val="1A1A18"/>
                <w:sz w:val="20"/>
                <w:szCs w:val="20"/>
              </w:rPr>
              <w:t xml:space="preserve">My Time Off stays the request/approval workflow and the shared-calendar sync — Gusto doesn't replace that part.</w:t>
            </w:r>
          </w:p>
          <w:p>
            <w:pPr>
              <w:spacing w:after="0"/>
            </w:pPr>
            <w:r>
              <w:rPr>
                <w:b w:val="false"/>
                <w:bCs w:val="false"/>
                <w:color w:val="1A1A18"/>
                <w:sz w:val="20"/>
                <w:szCs w:val="20"/>
              </w:rPr>
              <w:t xml:space="preserve">Once Gusto exists, log each approved time-off request there too, so payroll reflects it correctly. Manual for now; worth an integration once volume justifies it.</w:t>
            </w:r>
          </w:p>
        </w:tc>
      </w:tr>
    </w:tbl>
    <w:p>
      <w:pPr>
        <w:spacing w:after="80"/>
        <w:ind w:left="360"/>
      </w:pPr>
      <w:r>
        <w:rPr>
          <w:b/>
          <w:bCs/>
          <w:color w:val="F68D5F"/>
          <w:sz w:val="20"/>
          <w:szCs w:val="20"/>
        </w:rPr>
        <w:t xml:space="preserve">—  </w:t>
      </w:r>
      <w:r>
        <w:rPr>
          <w:color w:val="1A1A18"/>
          <w:sz w:val="20"/>
          <w:szCs w:val="20"/>
        </w:rPr>
        <w:t xml:space="preserve">Team Onboarding &amp; Offboarding's "Final pay / contractor invoice settled" checklist item becomes a Gusto action for W2 departures specifically, once Gusto is live.</w:t>
      </w:r>
    </w:p>
    <w:p>
      <w:pPr>
        <w:spacing w:after="40" w:before="320"/>
      </w:pPr>
      <w:r>
        <w:rPr>
          <w:b/>
          <w:bCs/>
          <w:color w:val="F68D5F"/>
          <w:spacing w:val="20"/>
          <w:sz w:val="18"/>
          <w:szCs w:val="18"/>
        </w:rPr>
        <w:t xml:space="preserve">5-10 EMPLOYEES — BAMBOOHR BECOMES SOURCE OF TRUTH FOR THE HR LIFECYCLE</w:t>
      </w:r>
    </w:p>
    <w:p>
      <w:pPr>
        <w:spacing w:after="160"/>
      </w:pPr>
      <w:r>
        <w:rPr>
          <w:color w:val="1A1A18"/>
          <w:sz w:val="20"/>
          <w:szCs w:val="20"/>
        </w:rPr>
        <w:t xml:space="preserve">This is the one that most overlaps with what got built today. BambooHR's onboarding workflows, offboarding checklists, employee records, org chart, and performance reviews directly cover most of what the new Team Onboarding &amp; Offboarding tool exists for.</w:t>
      </w:r>
    </w:p>
    <w:tbl>
      <w:tblPr>
        <w:tblW w:type="dxa" w:w="9350"/>
        <w:tblBorders>
          <w:top w:val="none"/>
          <w:left w:val="single" w:color="F68D5F" w:sz="24"/>
          <w:bottom w:val="none"/>
          <w:right w:val="none"/>
          <w:insideH w:val="none"/>
          <w:insideV w:val="none"/>
        </w:tblBorders>
      </w:tblPr>
      <w:tblGrid>
        <w:gridCol w:w="9350"/>
      </w:tblGrid>
      <w:tr>
        <w:tc>
          <w:tcPr>
            <w:tcW w:type="dxa" w:w="9350"/>
            <w:shd w:fill="F7F3EC" w:val="clear"/>
            <w:tcMar>
              <w:top w:type="dxa" w:w="160"/>
              <w:left w:type="dxa" w:w="260"/>
              <w:bottom w:type="dxa" w:w="160"/>
              <w:right w:type="dxa" w:w="260"/>
            </w:tcMar>
          </w:tcPr>
          <w:p>
            <w:pPr>
              <w:spacing w:after="60"/>
            </w:pPr>
            <w:r>
              <w:rPr>
                <w:b/>
                <w:bCs/>
                <w:color w:val="1A1A18"/>
                <w:sz w:val="20"/>
                <w:szCs w:val="20"/>
              </w:rPr>
              <w:t xml:space="preserve">Team Onboarding &amp; Offboarding narrows to what BambooHR can't see: ClickUp seat/Teams assignment, Team Access Manager role, Revital Hub access, client reassignment (Client Portal Manager), Meta Business Manager / Google Ads MCC access.</w:t>
            </w:r>
          </w:p>
          <w:p>
            <w:pPr>
              <w:spacing w:after="0"/>
            </w:pPr>
            <w:r>
              <w:rPr>
                <w:b w:val="false"/>
                <w:bCs w:val="false"/>
                <w:color w:val="1A1A18"/>
                <w:sz w:val="20"/>
                <w:szCs w:val="20"/>
              </w:rPr>
              <w:t xml:space="preserve">General HR items — agreement signed, welcome call, 30-day plan, performance reviews — move to BambooHR. Retire them from the Hub checklist rather than tracking both.</w:t>
            </w:r>
          </w:p>
        </w:tc>
      </w:tr>
    </w:tbl>
    <w:p>
      <w:pPr>
        <w:spacing w:after="80"/>
        <w:ind w:left="360"/>
      </w:pPr>
      <w:r>
        <w:rPr>
          <w:b/>
          <w:bCs/>
          <w:color w:val="F68D5F"/>
          <w:sz w:val="20"/>
          <w:szCs w:val="20"/>
        </w:rPr>
        <w:t xml:space="preserve">—  </w:t>
      </w:r>
      <w:r>
        <w:rPr>
          <w:color w:val="1A1A18"/>
          <w:sz w:val="20"/>
          <w:szCs w:val="20"/>
        </w:rPr>
        <w:t xml:space="preserve">Team Roster keeps the client-capacity and assignment logic BambooHR has no concept of. BambooHR becomes the record for formal employee data (role, employment type, org chart).</w:t>
      </w:r>
    </w:p>
    <w:p>
      <w:pPr>
        <w:spacing w:after="40" w:before="320"/>
      </w:pPr>
      <w:r>
        <w:rPr>
          <w:b/>
          <w:bCs/>
          <w:color w:val="F68D5F"/>
          <w:spacing w:val="20"/>
          <w:sz w:val="18"/>
          <w:szCs w:val="18"/>
        </w:rPr>
        <w:t xml:space="preserve">$500K+ REVENUE — PRODUCTIVE IS NOT NEEDED</w:t>
      </w:r>
    </w:p>
    <w:p>
      <w:pPr>
        <w:spacing w:after="160"/>
      </w:pPr>
      <w:r>
        <w:rPr>
          <w:color w:val="1A1A18"/>
          <w:sz w:val="20"/>
          <w:szCs w:val="20"/>
        </w:rPr>
        <w:t xml:space="preserve">This is the one stage where the Growth Plan's default recommendation doesn't hold: the Hub was deliberately built to cover what Productive would add, not to hand this off. Resource Booking Calendar's own file header says outright it's "the Hub's own version of Productive's Resource Planner — By Person view" — built specifically so Productive's resource-planning module wouldn't be needed.</w:t>
      </w:r>
    </w:p>
    <w:tbl>
      <w:tblPr>
        <w:tblW w:type="dxa" w:w="9350"/>
        <w:tblBorders>
          <w:top w:val="none"/>
          <w:left w:val="single" w:color="F68D5F" w:sz="24"/>
          <w:bottom w:val="none"/>
          <w:right w:val="none"/>
          <w:insideH w:val="none"/>
          <w:insideV w:val="none"/>
        </w:tblBorders>
      </w:tblPr>
      <w:tblGrid>
        <w:gridCol w:w="9350"/>
      </w:tblGrid>
      <w:tr>
        <w:tc>
          <w:tcPr>
            <w:tcW w:type="dxa" w:w="9350"/>
            <w:shd w:fill="F7F3EC" w:val="clear"/>
            <w:tcMar>
              <w:top w:type="dxa" w:w="160"/>
              <w:left w:type="dxa" w:w="260"/>
              <w:bottom w:type="dxa" w:w="160"/>
              <w:right w:type="dxa" w:w="260"/>
            </w:tcMar>
          </w:tcPr>
          <w:p>
            <w:pPr>
              <w:spacing w:after="60"/>
            </w:pPr>
            <w:r>
              <w:rPr>
                <w:b/>
                <w:bCs/>
                <w:color w:val="1A1A18"/>
                <w:sz w:val="20"/>
                <w:szCs w:val="20"/>
              </w:rPr>
              <w:t xml:space="preserve">Covered natively — no Productive needed for any of these:</w:t>
            </w:r>
          </w:p>
          <w:p>
            <w:pPr>
              <w:spacing w:after="60"/>
            </w:pPr>
            <w:r>
              <w:rPr>
                <w:b w:val="false"/>
                <w:bCs w:val="false"/>
                <w:color w:val="1A1A18"/>
                <w:sz w:val="20"/>
                <w:szCs w:val="20"/>
              </w:rPr>
              <w:t xml:space="preserve">Billable rate by role (Team Roster's per-person hourly rate).</w:t>
            </w:r>
          </w:p>
          <w:p>
            <w:pPr>
              <w:spacing w:after="60"/>
            </w:pPr>
            <w:r>
              <w:rPr>
                <w:b w:val="false"/>
                <w:bCs w:val="false"/>
                <w:color w:val="1A1A18"/>
                <w:sz w:val="20"/>
                <w:szCs w:val="20"/>
              </w:rPr>
              <w:t xml:space="preserve">Retainer utilization / budget vs. actuals (Budget Pacing Tracker).</w:t>
            </w:r>
          </w:p>
          <w:p>
            <w:pPr>
              <w:spacing w:after="60"/>
            </w:pPr>
            <w:r>
              <w:rPr>
                <w:b w:val="false"/>
                <w:bCs w:val="false"/>
                <w:color w:val="1A1A18"/>
                <w:sz w:val="20"/>
                <w:szCs w:val="20"/>
              </w:rPr>
              <w:t xml:space="preserve">Resource planning — crew booked against capacity without conflicts (Resource Booking Calendar).</w:t>
            </w:r>
          </w:p>
          <w:p>
            <w:pPr>
              <w:spacing w:after="60"/>
            </w:pPr>
            <w:r>
              <w:rPr>
                <w:b w:val="false"/>
                <w:bCs w:val="false"/>
                <w:color w:val="1A1A18"/>
                <w:sz w:val="20"/>
                <w:szCs w:val="20"/>
              </w:rPr>
              <w:t xml:space="preserve">Client profitability ranking (Agency Health Dashboard's margin-sorted table).</w:t>
            </w:r>
          </w:p>
          <w:p>
            <w:pPr>
              <w:spacing w:after="0"/>
            </w:pPr>
            <w:r>
              <w:rPr>
                <w:b w:val="false"/>
                <w:bCs w:val="false"/>
                <w:color w:val="1A1A18"/>
                <w:sz w:val="20"/>
                <w:szCs w:val="20"/>
              </w:rPr>
              <w:t xml:space="preserve">True cost per PROJECT, not just per client (Aug 2026) — Budget Pacing Tracker now supports more than one tracked project per client at once (client.budgetPacingList), and Hours &amp; Time Log entries can be tagged with a Project so a retainer and a one-off shoot running at the same time get their cost/margin told apart instead of blended together.</w:t>
            </w:r>
          </w:p>
        </w:tc>
      </w:tr>
    </w:tbl>
    <w:p>
      <w:pPr>
        <w:spacing w:after="40" w:before="320"/>
      </w:pPr>
      <w:r>
        <w:rPr>
          <w:b/>
          <w:bCs/>
          <w:color w:val="F68D5F"/>
          <w:spacing w:val="20"/>
          <w:sz w:val="18"/>
          <w:szCs w:val="18"/>
        </w:rPr>
        <w:t xml:space="preserve">30-50 EMPLOYEES — RIPPLING ABSORBS GUSTO + BAMBOOHR</w:t>
      </w:r>
    </w:p>
    <w:p>
      <w:pPr>
        <w:spacing w:after="160"/>
      </w:pPr>
      <w:r>
        <w:rPr>
          <w:color w:val="1A1A18"/>
          <w:sz w:val="20"/>
          <w:szCs w:val="20"/>
        </w:rPr>
        <w:t xml:space="preserve">Rippling unifies HR, IT, and payroll — provisioning a laptop, benefits, and email from one action. It still won't know about Revital-specific systems: ClickUp, the Hub itself, Team Access Manager roles, or Client Portal Manager's account-manager sync.</w:t>
      </w:r>
    </w:p>
    <w:p>
      <w:pPr>
        <w:spacing w:after="80"/>
        <w:ind w:left="360"/>
      </w:pPr>
      <w:r>
        <w:rPr>
          <w:b/>
          <w:bCs/>
          <w:color w:val="F68D5F"/>
          <w:sz w:val="20"/>
          <w:szCs w:val="20"/>
        </w:rPr>
        <w:t xml:space="preserve">—  </w:t>
      </w:r>
      <w:r>
        <w:rPr>
          <w:color w:val="1A1A18"/>
          <w:sz w:val="20"/>
          <w:szCs w:val="20"/>
        </w:rPr>
        <w:t xml:space="preserve">Team Onboarding &amp; Offboarding stays exactly as narrowed at the BambooHR stage — just swap the checklist's tool references from Gusto/BambooHR to Rippling.</w:t>
      </w:r>
    </w:p>
    <w:p>
      <w:pPr>
        <w:spacing w:after="40" w:before="320"/>
      </w:pPr>
      <w:r>
        <w:rPr>
          <w:b/>
          <w:bCs/>
          <w:color w:val="F68D5F"/>
          <w:spacing w:val="20"/>
          <w:sz w:val="18"/>
          <w:szCs w:val="18"/>
        </w:rPr>
        <w:t xml:space="preserve">WHAT STAYS HUB-OWNED, PERMANENTLY</w:t>
      </w:r>
    </w:p>
    <w:p>
      <w:pPr>
        <w:spacing w:after="160"/>
      </w:pPr>
      <w:r>
        <w:rPr>
          <w:color w:val="1A1A18"/>
          <w:sz w:val="20"/>
          <w:szCs w:val="20"/>
        </w:rPr>
        <w:t xml:space="preserve">None of the tools in the Growth Plan have an equivalent for Revital's actual service-delivery workflow — these stay Hub-owned at every stage, no matter how big the team gets:</w:t>
      </w:r>
    </w:p>
    <w:p>
      <w:pPr>
        <w:spacing w:after="80"/>
        <w:ind w:left="360"/>
      </w:pPr>
      <w:r>
        <w:rPr>
          <w:b/>
          <w:bCs/>
          <w:color w:val="F68D5F"/>
          <w:sz w:val="20"/>
          <w:szCs w:val="20"/>
        </w:rPr>
        <w:t xml:space="preserve">—  </w:t>
      </w:r>
      <w:r>
        <w:rPr>
          <w:color w:val="1A1A18"/>
          <w:sz w:val="20"/>
          <w:szCs w:val="20"/>
        </w:rPr>
        <w:t xml:space="preserve">Client Portal and everything client-facing (approvals, mood boards, reports, checklists).</w:t>
      </w:r>
    </w:p>
    <w:p>
      <w:pPr>
        <w:spacing w:after="80"/>
        <w:ind w:left="360"/>
      </w:pPr>
      <w:r>
        <w:rPr>
          <w:b/>
          <w:bCs/>
          <w:color w:val="F68D5F"/>
          <w:sz w:val="20"/>
          <w:szCs w:val="20"/>
        </w:rPr>
        <w:t xml:space="preserve">—  </w:t>
      </w:r>
      <w:r>
        <w:rPr>
          <w:color w:val="1A1A18"/>
          <w:sz w:val="20"/>
          <w:szCs w:val="20"/>
        </w:rPr>
        <w:t xml:space="preserve">Kickoff Prep &amp; Deck and the Sales → Delivery Handoff, including the ClickUp assignee sync.</w:t>
      </w:r>
    </w:p>
    <w:p>
      <w:pPr>
        <w:spacing w:after="80"/>
        <w:ind w:left="360"/>
      </w:pPr>
      <w:r>
        <w:rPr>
          <w:b/>
          <w:bCs/>
          <w:color w:val="F68D5F"/>
          <w:sz w:val="20"/>
          <w:szCs w:val="20"/>
        </w:rPr>
        <w:t xml:space="preserve">—  </w:t>
      </w:r>
      <w:r>
        <w:rPr>
          <w:color w:val="1A1A18"/>
          <w:sz w:val="20"/>
          <w:szCs w:val="20"/>
        </w:rPr>
        <w:t xml:space="preserve">Client Portal Manager, including the account-manager reassignment → ClickUp sync.</w:t>
      </w:r>
    </w:p>
    <w:p>
      <w:pPr>
        <w:spacing w:after="80"/>
        <w:ind w:left="360"/>
      </w:pPr>
      <w:r>
        <w:rPr>
          <w:b/>
          <w:bCs/>
          <w:color w:val="F68D5F"/>
          <w:sz w:val="20"/>
          <w:szCs w:val="20"/>
        </w:rPr>
        <w:t xml:space="preserve">—  </w:t>
      </w:r>
      <w:r>
        <w:rPr>
          <w:color w:val="1A1A18"/>
          <w:sz w:val="20"/>
          <w:szCs w:val="20"/>
        </w:rPr>
        <w:t xml:space="preserve">Team Access Manager and every audit/QC/brand/strategy tool — Revital's own IP, not something any of these SaaS tools do.</w:t>
      </w:r>
    </w:p>
    <w:p>
      <w:pPr>
        <w:spacing w:after="40" w:before="320"/>
      </w:pPr>
      <w:r>
        <w:rPr>
          <w:b/>
          <w:bCs/>
          <w:color w:val="F68D5F"/>
          <w:spacing w:val="20"/>
          <w:sz w:val="18"/>
          <w:szCs w:val="18"/>
        </w:rPr>
        <w:t xml:space="preserve">HOW TO ACTION THIS AT EACH STAGE</w:t>
      </w:r>
    </w:p>
    <w:p>
      <w:pPr>
        <w:spacing w:after="80"/>
        <w:ind w:left="360"/>
      </w:pPr>
      <w:r>
        <w:rPr>
          <w:b/>
          <w:bCs/>
          <w:color w:val="F68D5F"/>
          <w:sz w:val="20"/>
          <w:szCs w:val="20"/>
        </w:rPr>
        <w:t xml:space="preserve">—  </w:t>
      </w:r>
      <w:r>
        <w:rPr>
          <w:color w:val="1A1A18"/>
          <w:sz w:val="20"/>
          <w:szCs w:val="20"/>
        </w:rPr>
        <w:t xml:space="preserve">When a new tool from the Growth Plan actually gets added, the work is: stop double-entering into the Hub tool it overlaps, decide feed vs. retire per the mapping above, and relabel the onboarding/offboarding checklist to name the new tool.</w:t>
      </w:r>
    </w:p>
    <w:p>
      <w:pPr>
        <w:spacing w:after="80"/>
        <w:ind w:left="360"/>
      </w:pPr>
      <w:r>
        <w:rPr>
          <w:b/>
          <w:bCs/>
          <w:color w:val="F68D5F"/>
          <w:sz w:val="20"/>
          <w:szCs w:val="20"/>
        </w:rPr>
        <w:t xml:space="preserve">—  </w:t>
      </w:r>
      <w:r>
        <w:rPr>
          <w:color w:val="1A1A18"/>
          <w:sz w:val="20"/>
          <w:szCs w:val="20"/>
        </w:rPr>
        <w:t xml:space="preserve">None of this needs an API-level build today — none of these tools are live yet. Treat this as the decision made in advance; build an actual sync once volume justifies the engineering time.</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75E"/>
        <w:sz w:val="14"/>
        <w:szCs w:val="14"/>
      </w:rPr>
      <w:t xml:space="preserve">Revital Productions LLC  |  Louisiana  |  revitalproductions.com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75E"/>
        <w:sz w:val="14"/>
        <w:szCs w:val="14"/>
      </w:rPr>
      <w:t xml:space="preserve">REVITAL PRODUCTIONS — HUB INTEGRATION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3382e6fa0712e67bbe9f15a9139acdfe202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2026-08-14T06:08:33.665Z</dcterms:created>
  <dcterms:modified xsi:type="dcterms:W3CDTF">2026-08-14T06:08:33.667Z</dcterms:modified>
</cp:coreProperties>
</file>

<file path=docProps/custom.xml><?xml version="1.0" encoding="utf-8"?>
<Properties xmlns="http://schemas.openxmlformats.org/officeDocument/2006/custom-properties" xmlns:vt="http://schemas.openxmlformats.org/officeDocument/2006/docPropsVTypes"/>
</file>