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28"/>
          <w:szCs w:val="28"/>
        </w:rPr>
        <w:t xml:space="preserve">IFP 2026-AS-9400 — Access to Services through Knowledge (ASK) Web-based Platform</w:t>
      </w:r>
    </w:p>
    <w:p>
      <w:pPr>
        <w:spacing w:after="400"/>
        <w:jc w:val="center"/>
      </w:pPr>
      <w:r>
        <w:rPr>
          <w:rFonts w:ascii="Arial" w:cs="Arial" w:eastAsia="Arial" w:hAnsi="Arial"/>
          <w:b/>
          <w:bCs/>
          <w:sz w:val="26"/>
          <w:szCs w:val="26"/>
        </w:rPr>
        <w:t xml:space="preserve">Proposal Narrative — Remarkable Disability Services, LLC</w:t>
      </w:r>
    </w:p>
    <w:p>
      <w:pPr>
        <w:spacing w:after="200" w:before="300" w:line="360" w:lineRule="auto"/>
      </w:pPr>
      <w:r>
        <w:rPr>
          <w:rFonts w:ascii="Arial" w:cs="Arial" w:eastAsia="Arial" w:hAnsi="Arial"/>
          <w:b/>
          <w:bCs/>
          <w:sz w:val="28"/>
          <w:szCs w:val="28"/>
          <w:u w:val="single"/>
        </w:rPr>
        <w:t xml:space="preserve">Section 1: Organizational Capacity, Understanding of Need/Purpose, and Approach to Scope of Work</w:t>
      </w:r>
    </w:p>
    <w:p>
      <w:pPr>
        <w:spacing w:after="200" w:line="360" w:lineRule="auto"/>
      </w:pPr>
      <w:r>
        <w:rPr>
          <w:rFonts w:ascii="Arial" w:cs="Arial" w:eastAsia="Arial" w:hAnsi="Arial"/>
          <w:b w:val="false"/>
          <w:bCs w:val="false"/>
          <w:i w:val="false"/>
          <w:iCs w:val="false"/>
          <w:sz w:val="24"/>
          <w:szCs w:val="24"/>
        </w:rPr>
        <w:t xml:space="preserve">Remarkable Disability Services, LLC (“Remarkable”) is a women-owned organization founded in 2020 by Samantha Sehter, M.Ed., and Alison Nyman, LCSW, dedicated to improving the lives of individuals with intellectual and developmental disabilities (I/DD) through relationship-centered programming, education, family support, and community connection. Remarkable understands that the Florida Developmental Disabilities Council (FDDC) has identified “Access to Services” as a top-three priority area for its 2027-31 State Plan, and that families of individuals with I/DD continue to face a fragmented, difficult-to-navigate landscape of information, services, and supports. Building on the Phase 1 research (NADD, 2022-2026) and Phase 2 content and journey-mapping work (Mathematica, 2024-2026), this Phase 3 project requires a partner who can translate 62 existing content files across 40+ content modules — case studies, decision aids, explainers, roadmaps, and mindmaps, delivered in PDF and Figma format — into a single, accessible, AI-supported web-based platform that meets families where they are: expressing a need, not searching a resource directory.</w:t>
      </w:r>
    </w:p>
    <w:p>
      <w:pPr>
        <w:spacing w:after="200" w:line="360" w:lineRule="auto"/>
      </w:pPr>
      <w:r>
        <w:rPr>
          <w:rFonts w:ascii="Arial" w:cs="Arial" w:eastAsia="Arial" w:hAnsi="Arial"/>
          <w:b w:val="false"/>
          <w:bCs w:val="false"/>
          <w:i w:val="false"/>
          <w:iCs w:val="false"/>
          <w:sz w:val="24"/>
          <w:szCs w:val="24"/>
        </w:rPr>
        <w:t xml:space="preserve">The findings presented in the ASK research strongly reflect what our team has observed through years of direct service. Every week, Remarkable staff work with individuals with I/DD and their families as they navigate complex systems, life transitions, and service decisions. Families rarely begin by searching for a specific program, waiver, or resource because they often do not know what exists or even what questions to ask. Instead, they come with situations: “My daughter was just diagnosed.” “My son is turning 18. What happens now?” “My adult child wants a job, but we don’t know where to start.” “We’re overwhelmed. Can someone just tell us what comes next?” They are not simply looking for a directory of services — they are looking for guidance. This is the same philosophy that has guided Remarkable since its inception: information is only valuable if people can find it, understand it, and confidently use it to make informed decisions.</w:t>
      </w:r>
    </w:p>
    <w:p>
      <w:pPr>
        <w:spacing w:after="200" w:line="360" w:lineRule="auto"/>
      </w:pPr>
      <w:r>
        <w:rPr>
          <w:rFonts w:ascii="Arial" w:cs="Arial" w:eastAsia="Arial" w:hAnsi="Arial"/>
          <w:b w:val="false"/>
          <w:bCs w:val="false"/>
          <w:i w:val="false"/>
          <w:iCs w:val="false"/>
          <w:sz w:val="24"/>
          <w:szCs w:val="24"/>
        </w:rPr>
        <w:t xml:space="preserve">Remarkable proposes to design and build a new, custom ASK web-based platform rather than retrofit an existing system, in order to give the Council full ownership of an information architecture purpose-built around the Phase 2 personas, journey maps, and five content-module types, and to ensure the platform can scale and evolve as new content and life-stage guidance are added over the life of the 2027-31 State Plan.</w:t>
      </w:r>
    </w:p>
    <w:p>
      <w:pPr>
        <w:spacing w:after="100" w:line="360" w:lineRule="auto"/>
      </w:pPr>
      <w:r>
        <w:rPr>
          <w:rFonts w:ascii="Arial" w:cs="Arial" w:eastAsia="Arial" w:hAnsi="Arial"/>
          <w:b/>
          <w:bCs/>
          <w:i w:val="false"/>
          <w:iCs w:val="false"/>
          <w:sz w:val="24"/>
          <w:szCs w:val="24"/>
        </w:rPr>
        <w:t xml:space="preserve">Relevant Experience (Rubric 2.1 – Web-Based Platform / Content Database Development):</w:t>
      </w:r>
    </w:p>
    <w:p>
      <w:pPr>
        <w:spacing w:after="200" w:line="360" w:lineRule="auto"/>
      </w:pPr>
      <w:r>
        <w:rPr>
          <w:rFonts w:ascii="Arial" w:cs="Arial" w:eastAsia="Arial" w:hAnsi="Arial"/>
          <w:b w:val="false"/>
          <w:bCs w:val="false"/>
          <w:i w:val="false"/>
          <w:iCs w:val="false"/>
          <w:sz w:val="24"/>
          <w:szCs w:val="24"/>
        </w:rPr>
        <w:t xml:space="preserve">Remarkable’s commitment to solving this exact problem predates this Invitation for Proposal. Prior to being aware of FDDC’s ASK initiative, our team recognized that families needed a better way to navigate disability resources and began designing a solution: Needs Nest, a web-based platform envisioned as a centralized, intuitive resource to help individuals with disabilities and their families discover services, organize information, and navigate complex systems throughout the lifespan. Needs Nest was built around the same core philosophy that now drives the ASK initiative — families should not need to know the name of a service, agency, or program before receiving meaningful guidance. Although Needs Nest was never fully launched, as the rapid growth of Remarkable Disability Services required our team’s full attention, the planning, user experience design, technical architecture, resource organization, and platform development completed through that project provide direct, hands-on experience addressing the very challenge this initiative seeks to solve. In addition, and as permitted by FDDC’s Q&amp;A response confirming that screenshots, links, or other visual examples conveying comparable work are preferred, Remarkable has developed an interactive working prototype of the proposed ASK web-based platform, attached as Work Sample 1 (ASK Resource Hub Prototype). This prototype demonstrates the proposed information architecture end-to-end using the IFP’s own Appendix A sample content across the Asset Management, Housing, and Legal &amp; Decision-Making Supports domains, including: a needs-first landing page reflecting the Phase 1 research finding that families arrive expressing a need rather than searching a directory; topic, life-stage, and family-story navigation pathways; expandable decision-aid modules; explainer modules; and a functioning AI assistant that answers only from approved ASK content, cites its source for every answer, and declines to answer outside its grounded content.</w:t>
      </w:r>
    </w:p>
    <w:p>
      <w:pPr>
        <w:spacing w:after="100" w:line="360" w:lineRule="auto"/>
      </w:pPr>
      <w:r>
        <w:rPr>
          <w:rFonts w:ascii="Arial" w:cs="Arial" w:eastAsia="Arial" w:hAnsi="Arial"/>
          <w:b/>
          <w:bCs/>
          <w:i w:val="false"/>
          <w:iCs w:val="false"/>
          <w:sz w:val="24"/>
          <w:szCs w:val="24"/>
        </w:rPr>
        <w:t xml:space="preserve">Relevant Experience (Rubric 2.2 – AI-Supported Search, Chat, and Content Navigation for Vulnerable Populations):</w:t>
      </w:r>
    </w:p>
    <w:p>
      <w:pPr>
        <w:spacing w:after="200" w:line="360" w:lineRule="auto"/>
      </w:pPr>
      <w:r>
        <w:rPr>
          <w:rFonts w:ascii="Arial" w:cs="Arial" w:eastAsia="Arial" w:hAnsi="Arial"/>
          <w:b w:val="false"/>
          <w:bCs w:val="false"/>
          <w:i w:val="false"/>
          <w:iCs w:val="false"/>
          <w:sz w:val="24"/>
          <w:szCs w:val="24"/>
        </w:rPr>
        <w:t xml:space="preserve">Remarkable’s Technical Director, Brian Schnurr, brings direct experience designing interactive databases and user-centered interfaces, including his role in the creation of Needs Nest, which was itself conceived around guided, needs-first navigation rather than static resource listing. We recognize that families of individuals with I/DD are a potentially vulnerable population who may be seeking help during moments of stress, crisis, or major life transition — a reality Remarkable’s clinical team encounters directly through weekly family engagement. Our approach to AI integration for the ASK platform will include: (1) plain-language, trauma-informed conversational design, reviewed by our Clinical Director; (2) clear escalation paths to human support and crisis resources where appropriate; (3) guardrails to prevent the AI from providing clinical, legal, or financial advice beyond the scope of the vetted content modules; and (4) ongoing human review of AI search/chat outputs during the pilot and user-testing phases described in our Work Plan.</w:t>
      </w:r>
    </w:p>
    <w:p>
      <w:pPr>
        <w:spacing w:after="100" w:line="360" w:lineRule="auto"/>
      </w:pPr>
      <w:r>
        <w:rPr>
          <w:rFonts w:ascii="Arial" w:cs="Arial" w:eastAsia="Arial" w:hAnsi="Arial"/>
          <w:b/>
          <w:bCs/>
          <w:i w:val="false"/>
          <w:iCs w:val="false"/>
          <w:sz w:val="24"/>
          <w:szCs w:val="24"/>
        </w:rPr>
        <w:t xml:space="preserve">AI Data Handling, Privacy, and Third-Party Service Safeguards (per FDDC Q&amp;A responses):</w:t>
      </w:r>
    </w:p>
    <w:p>
      <w:pPr>
        <w:spacing w:after="200" w:line="360" w:lineRule="auto"/>
      </w:pPr>
      <w:r>
        <w:rPr>
          <w:rFonts w:ascii="Arial" w:cs="Arial" w:eastAsia="Arial" w:hAnsi="Arial"/>
          <w:b w:val="false"/>
          <w:bCs w:val="false"/>
          <w:i w:val="false"/>
          <w:iCs w:val="false"/>
          <w:sz w:val="24"/>
          <w:szCs w:val="24"/>
        </w:rPr>
        <w:t xml:space="preserve">As clarified in FDDC's official Questions and Answers for this IFP, AI-supported responses must be generated only from approved ASK content, must be citation-based, and must include human-in-the-loop review. Remarkable will design the AI feature so that: (1) all responses are grounded in and cite the approved ASK content modules, with any public internet search limited to pre-approved domains or official sources, clearly cited, logged for quality review, and screened against unverified information; (2) chat transcripts are retained for quality and compliance review (not for routine public use), with analytics reported in aggregate to protect sensitive user information; (3) no user data, prompts, search queries, chat interactions, analytics, or resource data will be stored, processed, or transmitted outside the United States, consistent with FDDC's requirement that no project data be shipped offshore except as required by law; (4) Remarkable will disclose whether any data is transmitted to or retained by third-party AI providers and whether such data may be used for model training, and will document this clearly for FDDC's review; and (5) the platform will include configurable options allowing FDDC to limit, disable, or replace third-party AI services if required by future agency policy or privacy requirements.</w:t>
      </w:r>
    </w:p>
    <w:p>
      <w:pPr>
        <w:spacing w:after="100" w:line="360" w:lineRule="auto"/>
      </w:pPr>
      <w:r>
        <w:rPr>
          <w:rFonts w:ascii="Arial" w:cs="Arial" w:eastAsia="Arial" w:hAnsi="Arial"/>
          <w:b/>
          <w:bCs/>
          <w:i w:val="false"/>
          <w:iCs w:val="false"/>
          <w:sz w:val="24"/>
          <w:szCs w:val="24"/>
        </w:rPr>
        <w:t xml:space="preserve">Relevant Experience (Rubric 2.3 – Section 508 / WCAG 2.1-2.2 Level AA Accessibility):</w:t>
      </w:r>
    </w:p>
    <w:p>
      <w:pPr>
        <w:spacing w:after="200" w:line="360" w:lineRule="auto"/>
      </w:pPr>
      <w:r>
        <w:rPr>
          <w:rFonts w:ascii="Arial" w:cs="Arial" w:eastAsia="Arial" w:hAnsi="Arial"/>
          <w:b w:val="false"/>
          <w:bCs w:val="false"/>
          <w:i w:val="false"/>
          <w:iCs w:val="false"/>
          <w:sz w:val="24"/>
          <w:szCs w:val="24"/>
        </w:rPr>
        <w:t xml:space="preserve">[INSERT: Describe any specific past projects or audits demonstrating Section 508/WCAG 2.1-2.2 Level AA conformance and the testing methods used (e.g., automated scanning tools, manual screen-reader testing, testing with users of assistive technology).] Remarkable’s virtual programming already serves individuals with a wide range of cognitive, communication, and sensory needs six days per week, giving our team direct, ongoing insight into the accessibility barriers our AI-supported platform must avoid. Our Work Plan includes dedicated accessibility testing milestones in Months 7–8 and a final accessibility audit prior to the required September 30, 2027 completion date for platform and user testing.</w:t>
      </w:r>
    </w:p>
    <w:p>
      <w:pPr>
        <w:spacing w:after="100" w:line="360" w:lineRule="auto"/>
      </w:pPr>
      <w:r>
        <w:rPr>
          <w:rFonts w:ascii="Arial" w:cs="Arial" w:eastAsia="Arial" w:hAnsi="Arial"/>
          <w:b/>
          <w:bCs/>
          <w:i w:val="false"/>
          <w:iCs w:val="false"/>
          <w:sz w:val="24"/>
          <w:szCs w:val="24"/>
        </w:rPr>
        <w:t xml:space="preserve">Relevant Experience (Rubric 2.4 – Maintainability, Testing, Measurement, and Continuous Improvement):</w:t>
      </w:r>
    </w:p>
    <w:p>
      <w:pPr>
        <w:spacing w:after="200" w:line="360" w:lineRule="auto"/>
      </w:pPr>
      <w:r>
        <w:rPr>
          <w:rFonts w:ascii="Arial" w:cs="Arial" w:eastAsia="Arial" w:hAnsi="Arial"/>
          <w:b w:val="false"/>
          <w:bCs w:val="false"/>
          <w:i w:val="false"/>
          <w:iCs w:val="false"/>
          <w:sz w:val="24"/>
          <w:szCs w:val="24"/>
        </w:rPr>
        <w:t xml:space="preserve">Having previously invested in the design and technical architecture of Needs Nest, our team understands firsthand the importance of building a platform that can be maintained and expanded without being dependent on any single developer or vendor. Remarkable will deliver the ASK platform on a content-management architecture that allows content stewards to add, update, or retire content modules without requiring developer intervention, along with a testing, measurement, and continuous improvement plan covering analytics on module usage, AI search/chat performance, and periodic accessibility re-audits.</w:t>
      </w:r>
    </w:p>
    <w:p>
      <w:pPr>
        <w:spacing w:after="100" w:line="360" w:lineRule="auto"/>
      </w:pPr>
      <w:r>
        <w:rPr>
          <w:rFonts w:ascii="Arial" w:cs="Arial" w:eastAsia="Arial" w:hAnsi="Arial"/>
          <w:b/>
          <w:bCs/>
          <w:i w:val="false"/>
          <w:iCs w:val="false"/>
          <w:sz w:val="24"/>
          <w:szCs w:val="24"/>
        </w:rPr>
        <w:t xml:space="preserve">Proposed Technical Architecture:</w:t>
      </w:r>
    </w:p>
    <w:p>
      <w:pPr>
        <w:spacing w:after="200" w:line="360" w:lineRule="auto"/>
      </w:pPr>
      <w:r>
        <w:rPr>
          <w:rFonts w:ascii="Arial" w:cs="Arial" w:eastAsia="Arial" w:hAnsi="Arial"/>
          <w:b w:val="false"/>
          <w:bCs w:val="false"/>
          <w:i w:val="false"/>
          <w:iCs w:val="false"/>
          <w:sz w:val="24"/>
          <w:szCs w:val="24"/>
        </w:rPr>
        <w:t xml:space="preserve">Remarkable proposes the following architecture, selected for its balance of reliability, cost-effectiveness, and ease of hand-off to a future maintenance vendor or FDDC staff: (1) application source code will be version-controlled in a private Git repository (e.g., GitHub) with a standard CI/CD pipeline for deployments; (2) structured content — the 62 approved ASK content files across all life domains, life stages, and content-module types — will be stored in a PostgreSQL database, extended with the pgvector extension so that the same structured content powers both the human-browsable site and the AI's citation-based retrieval, eliminating any risk of drift between what the AI cites and what is published; (3) original source files (PDFs, Figma exports, images) will be stored in US-based S3-compatible object storage, versioned and backed up; (4) a lightweight, open-source headless CMS layer (e.g., Payload CMS) will sit on top of the PostgreSQL database to give non-technical content stewards a simple editing interface without vendor lock-in; and (5) all infrastructure will be hosted in US-only regions, consistent with FDDC's requirement that no data be stored, processed, or transmitted offshore. This architecture was deliberately scoped to this project's size and traffic profile — avoiding heavier, distributed-scale database systems that would add operational complexity without benefiting a platform of this scope — while still giving FDDC a clean, well-documented system that any future vendor can maintain without dependency on Remarkable.</w:t>
      </w:r>
    </w:p>
    <w:p>
      <w:pPr>
        <w:spacing w:after="100" w:line="360" w:lineRule="auto"/>
      </w:pPr>
      <w:r>
        <w:rPr>
          <w:rFonts w:ascii="Arial" w:cs="Arial" w:eastAsia="Arial" w:hAnsi="Arial"/>
          <w:b/>
          <w:bCs/>
          <w:i w:val="false"/>
          <w:iCs w:val="false"/>
          <w:sz w:val="24"/>
          <w:szCs w:val="24"/>
        </w:rPr>
        <w:t xml:space="preserve">Relevant Experience (Rubric 2.5 – Project Management with Diverse Audience Collaboration):</w:t>
      </w:r>
    </w:p>
    <w:p>
      <w:pPr>
        <w:spacing w:after="200" w:line="360" w:lineRule="auto"/>
      </w:pPr>
      <w:r>
        <w:rPr>
          <w:rFonts w:ascii="Arial" w:cs="Arial" w:eastAsia="Arial" w:hAnsi="Arial"/>
          <w:b w:val="false"/>
          <w:bCs w:val="false"/>
          <w:i w:val="false"/>
          <w:iCs w:val="false"/>
          <w:sz w:val="24"/>
          <w:szCs w:val="24"/>
        </w:rPr>
        <w:t xml:space="preserve">Through Remarkable Disability Services, our team routinely coordinates large-scale programming involving instructors, families, self-advocates, caregivers, volunteers, and community partners while maintaining consistent communication, scheduling, quality assurance, and documentation. Project Director Samantha Sehter previously secured, implemented, and managed a grant-funded initiative (BOOST — Building On Our Strengths Together, launched in 2018 at Goodman Jewish Family Services), overseeing program development, implementation, reporting, outcome measurement, and ongoing oversight from proposal through completion. Our Work Plan schedules a minimum of four virtual Advisory Committee meetings, with prepared materials (e.g., PowerPoints, handouts) at each meeting, ensuring FDDC staff and Advisory Committee members remain informed and engaged partners in platform modality selection, design review, and pre-launch buy-in.</w:t>
      </w:r>
    </w:p>
    <w:p>
      <w:pPr>
        <w:spacing w:after="100" w:line="360" w:lineRule="auto"/>
      </w:pPr>
      <w:r>
        <w:rPr>
          <w:rFonts w:ascii="Arial" w:cs="Arial" w:eastAsia="Arial" w:hAnsi="Arial"/>
          <w:b/>
          <w:bCs/>
          <w:i w:val="false"/>
          <w:iCs w:val="false"/>
          <w:sz w:val="24"/>
          <w:szCs w:val="24"/>
        </w:rPr>
        <w:t xml:space="preserve">Relevant Experience (Rubric 2.6 – Working with Organizations Serving Individuals with Disabilities):</w:t>
      </w:r>
    </w:p>
    <w:p>
      <w:pPr>
        <w:spacing w:after="200" w:line="360" w:lineRule="auto"/>
      </w:pPr>
      <w:r>
        <w:rPr>
          <w:rFonts w:ascii="Arial" w:cs="Arial" w:eastAsia="Arial" w:hAnsi="Arial"/>
          <w:b w:val="false"/>
          <w:bCs w:val="false"/>
          <w:i w:val="false"/>
          <w:iCs w:val="false"/>
          <w:sz w:val="24"/>
          <w:szCs w:val="24"/>
        </w:rPr>
        <w:t xml:space="preserve">Remarkable Disability Services is itself an organization built around serving individuals with I/DD and their families. Since 2020, Remarkable has provided a comprehensive schedule of live virtual programming for teens and young adults with I/DD, including social skills development, independent living skills education, creative arts, recreation, self-advocacy, and relationship-building, delivered through structured classes six days per week. Remarkable also offers discounted mental health services to members through Clinical Director Alison Nyman, LCSW, who is specially trained in providing mental health support to individuals with I/DD and their families. This daily, direct-service relationship with the I/DD community — not a vendor relationship formed for this proposal — is the foundation of our qualifications for this initiative.</w:t>
      </w:r>
    </w:p>
    <w:p>
      <w:pPr>
        <w:spacing w:after="100" w:line="360" w:lineRule="auto"/>
      </w:pPr>
      <w:r>
        <w:rPr>
          <w:rFonts w:ascii="Arial" w:cs="Arial" w:eastAsia="Arial" w:hAnsi="Arial"/>
          <w:b/>
          <w:bCs/>
          <w:i w:val="false"/>
          <w:iCs w:val="false"/>
          <w:sz w:val="24"/>
          <w:szCs w:val="24"/>
        </w:rPr>
        <w:t xml:space="preserve">Work Plan (Rubric 2.7 – 20 points, the highest-weighted scoring criterion):</w:t>
      </w:r>
    </w:p>
    <w:p>
      <w:pPr>
        <w:spacing w:after="200" w:line="360" w:lineRule="auto"/>
      </w:pPr>
      <w:r>
        <w:rPr>
          <w:rFonts w:ascii="Arial" w:cs="Arial" w:eastAsia="Arial" w:hAnsi="Arial"/>
          <w:b w:val="false"/>
          <w:bCs w:val="false"/>
          <w:i w:val="false"/>
          <w:iCs w:val="false"/>
          <w:sz w:val="24"/>
          <w:szCs w:val="24"/>
        </w:rPr>
        <w:t xml:space="preserve">A complete, month-by-month Work Plan is submitted as a separate document per the required ASK Work Plan Template, detailing our unique implementation plan, time frames for start/completion/ongoing work, and the staff and/or providers responsible for performing and providing oversight of each task, covering all four Scope of Work items: (1) Advisory Committee facilitation; (2) platform modality confirmation within 90 days of contract execution; (3) platform development, content population, accessibility integration, AI search/chat integration, and user testing completed prior to September 30, 2027; and (4) ongoing Council programmatic requirements including monthly work plan updates, monthly progress reports, and a final comprehensive report and Executive Summary.</w:t>
      </w:r>
    </w:p>
    <w:p>
      <w:pPr>
        <w:spacing w:after="200" w:before="300" w:line="360" w:lineRule="auto"/>
      </w:pPr>
      <w:r>
        <w:rPr>
          <w:rFonts w:ascii="Arial" w:cs="Arial" w:eastAsia="Arial" w:hAnsi="Arial"/>
          <w:b/>
          <w:bCs/>
          <w:sz w:val="28"/>
          <w:szCs w:val="28"/>
          <w:u w:val="single"/>
        </w:rPr>
        <w:t xml:space="preserve">Section 2: Key Staff</w:t>
      </w:r>
    </w:p>
    <w:p>
      <w:pPr>
        <w:spacing w:after="200" w:line="360" w:lineRule="auto"/>
      </w:pPr>
      <w:r>
        <w:rPr>
          <w:rFonts w:ascii="Arial" w:cs="Arial" w:eastAsia="Arial" w:hAnsi="Arial"/>
          <w:b w:val="false"/>
          <w:bCs w:val="false"/>
          <w:i w:val="false"/>
          <w:iCs w:val="false"/>
          <w:sz w:val="24"/>
          <w:szCs w:val="24"/>
        </w:rPr>
        <w:t xml:space="preserve">The following key staff will be assigned to this project. Full resumes/CVs for each team member are attached as required.</w:t>
      </w:r>
    </w:p>
    <w:p>
      <w:pPr>
        <w:spacing w:after="40" w:line="360" w:lineRule="auto"/>
      </w:pPr>
      <w:r>
        <w:rPr>
          <w:rFonts w:ascii="Arial" w:cs="Arial" w:eastAsia="Arial" w:hAnsi="Arial"/>
          <w:b/>
          <w:bCs/>
          <w:i w:val="false"/>
          <w:iCs w:val="false"/>
          <w:sz w:val="24"/>
          <w:szCs w:val="24"/>
        </w:rPr>
        <w:t xml:space="preserve">Samantha Sehter, M.Ed. — Project Director</w:t>
      </w:r>
    </w:p>
    <w:p>
      <w:pPr>
        <w:spacing w:after="200" w:line="360" w:lineRule="auto"/>
      </w:pPr>
      <w:r>
        <w:rPr>
          <w:rFonts w:ascii="Arial" w:cs="Arial" w:eastAsia="Arial" w:hAnsi="Arial"/>
          <w:b w:val="false"/>
          <w:bCs w:val="false"/>
          <w:i w:val="false"/>
          <w:iCs w:val="false"/>
          <w:sz w:val="24"/>
          <w:szCs w:val="24"/>
        </w:rPr>
        <w:t xml:space="preserve">Educational Background: Master’s Degree in Exceptional Student Education | Time with Organization: Co-Founder since 2020 | Current Title: Co-Founder and Director, Remarkable Disability Services. Oversees overall project implementation, Advisory Committee coordination, stakeholder engagement, timeline/deliverable supervision, and user testing/QA oversight. Previously secured and managed the BOOST grant-funded employment-readiness program (2018, Goodman Jewish Family Services).</w:t>
      </w:r>
    </w:p>
    <w:p>
      <w:pPr>
        <w:spacing w:after="40" w:line="360" w:lineRule="auto"/>
      </w:pPr>
      <w:r>
        <w:rPr>
          <w:rFonts w:ascii="Arial" w:cs="Arial" w:eastAsia="Arial" w:hAnsi="Arial"/>
          <w:b/>
          <w:bCs/>
          <w:i w:val="false"/>
          <w:iCs w:val="false"/>
          <w:sz w:val="24"/>
          <w:szCs w:val="24"/>
        </w:rPr>
        <w:t xml:space="preserve">Alison Nyman, LCSW — Clinical Director</w:t>
      </w:r>
    </w:p>
    <w:p>
      <w:pPr>
        <w:spacing w:after="200" w:line="360" w:lineRule="auto"/>
      </w:pPr>
      <w:r>
        <w:rPr>
          <w:rFonts w:ascii="Arial" w:cs="Arial" w:eastAsia="Arial" w:hAnsi="Arial"/>
          <w:b w:val="false"/>
          <w:bCs w:val="false"/>
          <w:i w:val="false"/>
          <w:iCs w:val="false"/>
          <w:sz w:val="24"/>
          <w:szCs w:val="24"/>
        </w:rPr>
        <w:t xml:space="preserve">Educational Background: Licensed Clinical Social Worker | Time with Organization: Co-Founder since 2020 | Current Title: Co-Founder and Clinical Director, Remarkable Disability Services. Ensures the ASK platform remains grounded in the lived experience of families; reviews user experience from a clinical perspective; supports content implementation, advisory committee engagement, and user testing.</w:t>
      </w:r>
    </w:p>
    <w:p>
      <w:pPr>
        <w:spacing w:after="40" w:line="360" w:lineRule="auto"/>
      </w:pPr>
      <w:r>
        <w:rPr>
          <w:rFonts w:ascii="Arial" w:cs="Arial" w:eastAsia="Arial" w:hAnsi="Arial"/>
          <w:b/>
          <w:bCs/>
          <w:i w:val="false"/>
          <w:iCs w:val="false"/>
          <w:sz w:val="24"/>
          <w:szCs w:val="24"/>
        </w:rPr>
        <w:t xml:space="preserve">Brian Schnurr — Technical Director</w:t>
      </w:r>
    </w:p>
    <w:p>
      <w:pPr>
        <w:spacing w:after="200" w:line="360" w:lineRule="auto"/>
      </w:pPr>
      <w:r>
        <w:rPr>
          <w:rFonts w:ascii="Arial" w:cs="Arial" w:eastAsia="Arial" w:hAnsi="Arial"/>
          <w:b w:val="false"/>
          <w:bCs w:val="false"/>
          <w:i w:val="false"/>
          <w:iCs w:val="false"/>
          <w:sz w:val="24"/>
          <w:szCs w:val="24"/>
        </w:rPr>
        <w:t xml:space="preserve">Educational Background: [INSERT] | Time with Organization: [INSERT] | Current Title: Technical Director. Leads evaluation of platform options, system architecture, content integration, AI-supported navigation, security planning, accessibility implementation, and long-term maintainability. Previously led technical development of Needs Nest.</w:t>
      </w:r>
    </w:p>
    <w:p>
      <w:pPr>
        <w:spacing w:after="40" w:line="360" w:lineRule="auto"/>
      </w:pPr>
      <w:r>
        <w:rPr>
          <w:rFonts w:ascii="Arial" w:cs="Arial" w:eastAsia="Arial" w:hAnsi="Arial"/>
          <w:b/>
          <w:bCs/>
          <w:i w:val="false"/>
          <w:iCs w:val="false"/>
          <w:sz w:val="24"/>
          <w:szCs w:val="24"/>
        </w:rPr>
        <w:t xml:space="preserve">Bryan Greer — Operations &amp; Project Management</w:t>
      </w:r>
    </w:p>
    <w:p>
      <w:pPr>
        <w:spacing w:after="200" w:line="360" w:lineRule="auto"/>
      </w:pPr>
      <w:r>
        <w:rPr>
          <w:rFonts w:ascii="Arial" w:cs="Arial" w:eastAsia="Arial" w:hAnsi="Arial"/>
          <w:b w:val="false"/>
          <w:bCs w:val="false"/>
          <w:i w:val="false"/>
          <w:iCs w:val="false"/>
          <w:sz w:val="24"/>
          <w:szCs w:val="24"/>
        </w:rPr>
        <w:t xml:space="preserve">Educational Background: Bachelor of Science, Marketing &amp; Advertising — Florida Atlantic University, Boca Raton, FL | Time with Organization: [INSERT] | Current Title: Operations &amp; Project Management. Manages project planning, scheduling, reporting, budget oversight, contract compliance, risk management, and communication with Council staff.</w:t>
      </w:r>
    </w:p>
    <w:p>
      <w:pPr>
        <w:spacing w:after="200" w:line="360" w:lineRule="auto"/>
      </w:pPr>
      <w:r>
        <w:rPr>
          <w:rFonts w:ascii="Arial" w:cs="Arial" w:eastAsia="Arial" w:hAnsi="Arial"/>
          <w:b w:val="false"/>
          <w:bCs w:val="false"/>
          <w:i/>
          <w:iCs/>
          <w:sz w:val="24"/>
          <w:szCs w:val="24"/>
        </w:rPr>
        <w:t xml:space="preserve">[Attach current resume or curriculum vitae (CV) for each team member listed above. Additional development, QA/accessibility, and content integration staff to be named upon contract execution.]</w:t>
      </w:r>
    </w:p>
    <w:p>
      <w:pPr>
        <w:spacing w:after="200" w:before="300" w:line="360" w:lineRule="auto"/>
      </w:pPr>
      <w:r>
        <w:rPr>
          <w:rFonts w:ascii="Arial" w:cs="Arial" w:eastAsia="Arial" w:hAnsi="Arial"/>
          <w:b/>
          <w:bCs/>
          <w:sz w:val="28"/>
          <w:szCs w:val="28"/>
          <w:u w:val="single"/>
        </w:rPr>
        <w:t xml:space="preserve">Section 3: Budget and Budget Narrative (Rubric 3.1-3.4 — 30 points combined)</w:t>
      </w:r>
    </w:p>
    <w:p>
      <w:pPr>
        <w:spacing w:after="200" w:line="360" w:lineRule="auto"/>
      </w:pPr>
      <w:r>
        <w:rPr>
          <w:rFonts w:ascii="Arial" w:cs="Arial" w:eastAsia="Arial" w:hAnsi="Arial"/>
          <w:b w:val="false"/>
          <w:bCs w:val="false"/>
          <w:i w:val="false"/>
          <w:iCs w:val="false"/>
          <w:sz w:val="24"/>
          <w:szCs w:val="24"/>
        </w:rPr>
        <w:t xml:space="preserve">A complete line-item budget and budget narrative is submitted as a separate document per the required Budget Request Template, in the format prescribed on Page 9 of the IFP. The following summary addresses each budget-related scoring criterion directly:</w:t>
      </w:r>
    </w:p>
    <w:p>
      <w:pPr>
        <w:spacing w:after="60" w:line="360" w:lineRule="auto"/>
      </w:pPr>
      <w:r>
        <w:rPr>
          <w:rFonts w:ascii="Arial" w:cs="Arial" w:eastAsia="Arial" w:hAnsi="Arial"/>
          <w:b/>
          <w:bCs/>
          <w:i w:val="false"/>
          <w:iCs w:val="false"/>
          <w:sz w:val="24"/>
          <w:szCs w:val="24"/>
        </w:rPr>
        <w:t xml:space="preserve">3.1 – Line-Item Budget with Detailed Narrative:</w:t>
      </w:r>
    </w:p>
    <w:p>
      <w:pPr>
        <w:spacing w:after="200" w:line="360" w:lineRule="auto"/>
      </w:pPr>
      <w:r>
        <w:rPr>
          <w:rFonts w:ascii="Arial" w:cs="Arial" w:eastAsia="Arial" w:hAnsi="Arial"/>
          <w:b w:val="false"/>
          <w:bCs w:val="false"/>
          <w:i w:val="false"/>
          <w:iCs w:val="false"/>
          <w:sz w:val="24"/>
          <w:szCs w:val="24"/>
        </w:rPr>
        <w:t xml:space="preserve">The attached Budget Request Template provides a complete line-item budget (Salary, Fringe, Technology and Software, AI Development Costs, Internal QA Testing, Accessibility Testing, Indirect Costs, and Other) accompanied by a detailed budget narrative for each line.</w:t>
      </w:r>
    </w:p>
    <w:p>
      <w:pPr>
        <w:spacing w:after="60" w:line="360" w:lineRule="auto"/>
      </w:pPr>
      <w:r>
        <w:rPr>
          <w:rFonts w:ascii="Arial" w:cs="Arial" w:eastAsia="Arial" w:hAnsi="Arial"/>
          <w:b/>
          <w:bCs/>
          <w:i w:val="false"/>
          <w:iCs w:val="false"/>
          <w:sz w:val="24"/>
          <w:szCs w:val="24"/>
        </w:rPr>
        <w:t xml:space="preserve">3.2 – Allowable, Reasonable, and Necessary:</w:t>
      </w:r>
    </w:p>
    <w:p>
      <w:pPr>
        <w:spacing w:after="200" w:line="360" w:lineRule="auto"/>
      </w:pPr>
      <w:r>
        <w:rPr>
          <w:rFonts w:ascii="Arial" w:cs="Arial" w:eastAsia="Arial" w:hAnsi="Arial"/>
          <w:b w:val="false"/>
          <w:bCs w:val="false"/>
          <w:i w:val="false"/>
          <w:iCs w:val="false"/>
          <w:sz w:val="24"/>
          <w:szCs w:val="24"/>
        </w:rPr>
        <w:t xml:space="preserve">Each budget line is directly tied to a Scope of Work requirement (e.g., AI Development Costs fund the AI-supported search/chat feature required in Scope Item 3d; Accessibility Testing funds the Section 508/WCAG compliance required in Scope Item 3a), demonstrating that each cost is allowable, reasonable, and necessary under 2 CFR Part 200 Uniform Guidance.</w:t>
      </w:r>
    </w:p>
    <w:p>
      <w:pPr>
        <w:spacing w:after="60" w:line="360" w:lineRule="auto"/>
      </w:pPr>
      <w:r>
        <w:rPr>
          <w:rFonts w:ascii="Arial" w:cs="Arial" w:eastAsia="Arial" w:hAnsi="Arial"/>
          <w:b/>
          <w:bCs/>
          <w:i w:val="false"/>
          <w:iCs w:val="false"/>
          <w:sz w:val="24"/>
          <w:szCs w:val="24"/>
        </w:rPr>
        <w:t xml:space="preserve">3.3 – Cost-Effective Funding Level:</w:t>
      </w:r>
    </w:p>
    <w:p>
      <w:pPr>
        <w:spacing w:after="200" w:line="360" w:lineRule="auto"/>
      </w:pPr>
      <w:r>
        <w:rPr>
          <w:rFonts w:ascii="Arial" w:cs="Arial" w:eastAsia="Arial" w:hAnsi="Arial"/>
          <w:b w:val="false"/>
          <w:bCs w:val="false"/>
          <w:i w:val="false"/>
          <w:iCs w:val="false"/>
          <w:sz w:val="24"/>
          <w:szCs w:val="24"/>
        </w:rPr>
        <w:t xml:space="preserve">The total requested funds remain within the $300,000 maximum available funding, reflecting a cost-effective approach to achieving a fully custom, accessible, AI-enabled platform within the 12-month contract period.</w:t>
      </w:r>
    </w:p>
    <w:p>
      <w:pPr>
        <w:spacing w:after="60" w:line="360" w:lineRule="auto"/>
      </w:pPr>
      <w:r>
        <w:rPr>
          <w:rFonts w:ascii="Arial" w:cs="Arial" w:eastAsia="Arial" w:hAnsi="Arial"/>
          <w:b/>
          <w:bCs/>
          <w:i w:val="false"/>
          <w:iCs w:val="false"/>
          <w:sz w:val="24"/>
          <w:szCs w:val="24"/>
        </w:rPr>
        <w:t xml:space="preserve">3.4 – Budget Fully Addresses the Scope of Work:</w:t>
      </w:r>
    </w:p>
    <w:p>
      <w:pPr>
        <w:spacing w:after="200" w:line="360" w:lineRule="auto"/>
      </w:pPr>
      <w:r>
        <w:rPr>
          <w:rFonts w:ascii="Arial" w:cs="Arial" w:eastAsia="Arial" w:hAnsi="Arial"/>
          <w:b w:val="false"/>
          <w:bCs w:val="false"/>
          <w:i w:val="false"/>
          <w:iCs w:val="false"/>
          <w:sz w:val="24"/>
          <w:szCs w:val="24"/>
        </w:rPr>
        <w:t xml:space="preserve">Budget line items map to every element of the Scope of Work described on Pages 5–6 of the IFP, including Advisory Committee support, platform development, accessibility, AI integration, QA/user testing, and final reporting/documentation costs.</w:t>
      </w:r>
    </w:p>
    <w:p>
      <w:pPr>
        <w:spacing w:after="200" w:before="300" w:line="360" w:lineRule="auto"/>
      </w:pPr>
      <w:r>
        <w:rPr>
          <w:rFonts w:ascii="Arial" w:cs="Arial" w:eastAsia="Arial" w:hAnsi="Arial"/>
          <w:b/>
          <w:bCs/>
          <w:sz w:val="28"/>
          <w:szCs w:val="28"/>
          <w:u w:val="single"/>
        </w:rPr>
        <w:t xml:space="preserve">Section 4: References (Rubric 4.1 — 10 points)</w:t>
      </w:r>
    </w:p>
    <w:p>
      <w:pPr>
        <w:spacing w:after="200" w:line="360" w:lineRule="auto"/>
      </w:pPr>
      <w:r>
        <w:rPr>
          <w:rFonts w:ascii="Arial" w:cs="Arial" w:eastAsia="Arial" w:hAnsi="Arial"/>
          <w:b w:val="false"/>
          <w:bCs w:val="false"/>
          <w:i w:val="false"/>
          <w:iCs w:val="false"/>
          <w:sz w:val="24"/>
          <w:szCs w:val="24"/>
        </w:rPr>
        <w:t xml:space="preserve">A complete References list (up to seven references, at minimum two of which will be contacted) is submitted as a separate document per the required References Template, reflecting work completed within the last five (5) years that is comparable to the services required by this IFP. No FDDC Council members or staff are listed as references, and no prior-performance references reflecting a history of contracting with FDDC are used.</w:t>
      </w:r>
    </w:p>
    <w:p>
      <w:pPr>
        <w:spacing w:after="200" w:line="360" w:lineRule="auto"/>
      </w:pPr>
      <w:r>
        <w:rPr>
          <w:rFonts w:ascii="Arial" w:cs="Arial" w:eastAsia="Arial" w:hAnsi="Arial"/>
          <w:b w:val="false"/>
          <w:bCs w:val="false"/>
          <w:i/>
          <w:iCs/>
          <w:sz w:val="24"/>
          <w:szCs w:val="24"/>
        </w:rPr>
        <w:t xml:space="preserve">[INSERT: Once real references are selected, briefly summarize here why each reference supports the qualifications claimed in Section 1 — e.g., 'Reference #1 can speak to our WCAG 2.2 AA accessibility work; Reference #3 can speak to our AI chat integration for a public-facing platform.']</w:t>
      </w:r>
    </w:p>
    <w:p>
      <w:r>
        <w:br w:type="page"/>
      </w:r>
    </w:p>
    <w:p>
      <w:pPr>
        <w:spacing w:after="200" w:before="300" w:line="360" w:lineRule="auto"/>
      </w:pPr>
      <w:r>
        <w:rPr>
          <w:rFonts w:ascii="Arial" w:cs="Arial" w:eastAsia="Arial" w:hAnsi="Arial"/>
          <w:b/>
          <w:bCs/>
          <w:sz w:val="28"/>
          <w:szCs w:val="28"/>
          <w:u w:val="single"/>
        </w:rPr>
        <w:t xml:space="preserve">Attachment Checklist (Not Counted in 10-Page Narrative Limit)</w:t>
      </w:r>
    </w:p>
    <w:p>
      <w:pPr>
        <w:spacing w:after="100" w:line="360" w:lineRule="auto"/>
      </w:pPr>
      <w:r>
        <w:rPr>
          <w:rFonts w:ascii="Arial" w:cs="Arial" w:eastAsia="Arial" w:hAnsi="Arial"/>
          <w:sz w:val="24"/>
          <w:szCs w:val="24"/>
        </w:rPr>
        <w:t xml:space="preserve">• Work Plan Template (completed, ≤ 20 numbered pages)</w:t>
      </w:r>
    </w:p>
    <w:p>
      <w:pPr>
        <w:spacing w:after="100" w:line="360" w:lineRule="auto"/>
      </w:pPr>
      <w:r>
        <w:rPr>
          <w:rFonts w:ascii="Arial" w:cs="Arial" w:eastAsia="Arial" w:hAnsi="Arial"/>
          <w:sz w:val="24"/>
          <w:szCs w:val="24"/>
        </w:rPr>
        <w:t xml:space="preserve">• Budget Request Template (completed, with narrative)</w:t>
      </w:r>
    </w:p>
    <w:p>
      <w:pPr>
        <w:spacing w:after="100" w:line="360" w:lineRule="auto"/>
      </w:pPr>
      <w:r>
        <w:rPr>
          <w:rFonts w:ascii="Arial" w:cs="Arial" w:eastAsia="Arial" w:hAnsi="Arial"/>
          <w:sz w:val="24"/>
          <w:szCs w:val="24"/>
        </w:rPr>
        <w:t xml:space="preserve">• References Template (completed, up to 7 references)</w:t>
      </w:r>
    </w:p>
    <w:p>
      <w:pPr>
        <w:spacing w:after="100" w:line="360" w:lineRule="auto"/>
      </w:pPr>
      <w:r>
        <w:rPr>
          <w:rFonts w:ascii="Arial" w:cs="Arial" w:eastAsia="Arial" w:hAnsi="Arial"/>
          <w:sz w:val="24"/>
          <w:szCs w:val="24"/>
        </w:rPr>
        <w:t xml:space="preserve">• Work Sample 1: ASK Resource Hub Prototype (interactive HTML file, Rubric 2.1 requirement) — attached as ASK-Resource-Hub-Prototype.html</w:t>
      </w:r>
    </w:p>
    <w:p>
      <w:pPr>
        <w:spacing w:after="100" w:line="360" w:lineRule="auto"/>
      </w:pPr>
      <w:r>
        <w:rPr>
          <w:rFonts w:ascii="Arial" w:cs="Arial" w:eastAsia="Arial" w:hAnsi="Arial"/>
          <w:sz w:val="24"/>
          <w:szCs w:val="24"/>
        </w:rPr>
        <w:t xml:space="preserve">• Resumes/CVs for all key staff listed in Section 2</w:t>
      </w:r>
    </w:p>
    <w:p>
      <w:pPr>
        <w:spacing w:after="100" w:line="360" w:lineRule="auto"/>
      </w:pPr>
      <w:r>
        <w:rPr>
          <w:rFonts w:ascii="Arial" w:cs="Arial" w:eastAsia="Arial" w:hAnsi="Arial"/>
          <w:sz w:val="24"/>
          <w:szCs w:val="24"/>
        </w:rPr>
        <w:t xml:space="preserve">• Form #1 – Offeror Information (signed)</w:t>
      </w:r>
    </w:p>
    <w:p>
      <w:pPr>
        <w:spacing w:after="100" w:line="360" w:lineRule="auto"/>
      </w:pPr>
      <w:r>
        <w:rPr>
          <w:rFonts w:ascii="Arial" w:cs="Arial" w:eastAsia="Arial" w:hAnsi="Arial"/>
          <w:sz w:val="24"/>
          <w:szCs w:val="24"/>
        </w:rPr>
        <w:t xml:space="preserve">• Form #2 – Certification Regarding Debarment, Suspension (signed)</w:t>
      </w:r>
    </w:p>
    <w:p>
      <w:pPr>
        <w:spacing w:after="100" w:line="360" w:lineRule="auto"/>
      </w:pPr>
      <w:r>
        <w:rPr>
          <w:rFonts w:ascii="Arial" w:cs="Arial" w:eastAsia="Arial" w:hAnsi="Arial"/>
          <w:sz w:val="24"/>
          <w:szCs w:val="24"/>
        </w:rPr>
        <w:t xml:space="preserve">• Form #3 – Conflict of Interest Disclosure (signed)</w:t>
      </w:r>
    </w:p>
    <w:p>
      <w:pPr>
        <w:spacing w:after="100" w:line="360" w:lineRule="auto"/>
      </w:pPr>
      <w:r>
        <w:rPr>
          <w:rFonts w:ascii="Arial" w:cs="Arial" w:eastAsia="Arial" w:hAnsi="Arial"/>
          <w:sz w:val="24"/>
          <w:szCs w:val="24"/>
        </w:rPr>
        <w:t xml:space="preserve">• Form #4 – Cone of Silence Clause (signed)</w:t>
      </w:r>
    </w:p>
    <w:p>
      <w:pPr>
        <w:spacing w:after="100" w:line="360" w:lineRule="auto"/>
      </w:pPr>
      <w:r>
        <w:rPr>
          <w:rFonts w:ascii="Arial" w:cs="Arial" w:eastAsia="Arial" w:hAnsi="Arial"/>
          <w:sz w:val="24"/>
          <w:szCs w:val="24"/>
        </w:rPr>
        <w:t xml:space="preserve">• Form #5 – Indemnification and Hold Harmless (signed)</w:t>
      </w:r>
    </w:p>
    <w:p>
      <w:pPr>
        <w:spacing w:after="100" w:line="360" w:lineRule="auto"/>
      </w:pPr>
      <w:r>
        <w:rPr>
          <w:rFonts w:ascii="Arial" w:cs="Arial" w:eastAsia="Arial" w:hAnsi="Arial"/>
          <w:sz w:val="24"/>
          <w:szCs w:val="24"/>
        </w:rPr>
        <w:t xml:space="preserve">• Form #6 – Self-Assessment of Risk (completed and signed)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2026-07-08T15:42:31.115Z</dcterms:created>
  <dcterms:modified xsi:type="dcterms:W3CDTF">2026-07-08T15:42:31.116Z</dcterms:modified>
</cp:coreProperties>
</file>

<file path=docProps/custom.xml><?xml version="1.0" encoding="utf-8"?>
<Properties xmlns="http://schemas.openxmlformats.org/officeDocument/2006/custom-properties" xmlns:vt="http://schemas.openxmlformats.org/officeDocument/2006/docPropsVTypes"/>
</file>