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Aptos Display" w:hAnsi="Aptos Display"/>
          <w:b/>
          <w:color w:val="17324D"/>
          <w:sz w:val="44"/>
        </w:rPr>
        <w:t>PHARAOH</w:t>
      </w:r>
    </w:p>
    <w:p>
      <w:pPr>
        <w:jc w:val="center"/>
      </w:pPr>
      <w:r>
        <w:rPr>
          <w:b/>
          <w:color w:val="2D5B75"/>
          <w:sz w:val="28"/>
        </w:rPr>
        <w:t>Regola antisaturazione PILETTE e utilizzo delle eccedenze tramite FONDO A</w:t>
      </w:r>
    </w:p>
    <w:p>
      <w:pPr>
        <w:jc w:val="center"/>
      </w:pPr>
      <w:r>
        <w:rPr>
          <w:i/>
          <w:color w:val="666666"/>
          <w:sz w:val="21"/>
        </w:rPr>
        <w:t>Nota tecnica per Giovanni - 7 ottobre 2026</w:t>
      </w:r>
    </w:p>
    <w:tbl>
      <w:tblPr>
        <w:tblW w:type="auto" w:w="0"/>
        <w:jc w:val="center"/>
        <w:tblLayout w:type="fixed"/>
        <w:tblLook w:firstColumn="1" w:firstRow="1" w:lastColumn="0" w:lastRow="0" w:noHBand="0" w:noVBand="1" w:val="04A0"/>
      </w:tblPr>
      <w:tblGrid>
        <w:gridCol w:w="9432"/>
      </w:tblGrid>
      <w:tr>
        <w:tc>
          <w:tcPr>
            <w:tcW w:type="dxa" w:w="9994"/>
            <w:shd w:fill="EAF2F7"/>
            <w:tcMar>
              <w:top w:w="180" w:type="dxa"/>
              <w:start w:w="220" w:type="dxa"/>
              <w:bottom w:w="180" w:type="dxa"/>
              <w:end w:w="220" w:type="dxa"/>
            </w:tcMar>
          </w:tcPr>
          <w:p>
            <w:pPr>
              <w:jc w:val="left"/>
            </w:pPr>
            <w:r>
              <w:rPr>
                <w:b/>
                <w:color w:val="17324D"/>
              </w:rPr>
              <w:t>DECISIONE PROPOSTA</w:t>
            </w:r>
            <w:r>
              <w:br/>
              <w:t>Le PILETTE vengono generate automaticamente quando previsto dal sistema. Tuttavia, la loro immissione come PILETTA in S0 non può superare il numero cumulativo degli HUMAN esterni reali. Ogni posizione eccedente viene comunque creata immediatamente, ma intestata al wallet già esistente del FONDO A. Nessun capitale resta fermo.</w:t>
            </w:r>
          </w:p>
        </w:tc>
      </w:tr>
    </w:tbl>
    <w:p/>
    <w:p>
      <w:pPr>
        <w:pStyle w:val="Heading1"/>
      </w:pPr>
      <w:r>
        <w:t>1. Premessa e problema da evitare</w:t>
      </w:r>
    </w:p>
    <w:p>
      <w:r>
        <w:rPr>
          <w:b/>
        </w:rPr>
        <w:t xml:space="preserve">Le PILETTE non sono posizioni passive. </w:t>
      </w:r>
      <w:r>
        <w:t>Ogni volta che una PILETTA riceve un dono o un netto economico previsto dal proprio percorso, quel valore viene reinvestito nella formazione di nuove posizioni PILETTA da 100 USDC. Le PILETTE figlie, a loro volta, seguono la stessa regola.</w:t>
      </w:r>
    </w:p>
    <w:p>
      <w:r>
        <w:rPr>
          <w:b/>
        </w:rPr>
        <w:t xml:space="preserve">Questo crea una catena ricorsiva: </w:t>
      </w:r>
      <w:r>
        <w:t>PILETTA -&gt; nuove PILETTE -&gt; ulteriori PILETTE -&gt; ecc. Per questo è necessaria una barriera strutturale che impedisca alle PILETTE di sostituire progressivamente la componente HUMAN reale di PHARAOH.</w:t>
      </w:r>
    </w:p>
    <w:p>
      <w:pPr>
        <w:pStyle w:val="Callout"/>
        <w:jc w:val="center"/>
      </w:pPr>
      <w:r>
        <w:t>REGOLA DI SICUREZZA: PILETTE inserite in S0 &lt;= HUMAN esterni reali inseriti in S0</w:t>
      </w:r>
    </w:p>
    <w:p>
      <w:pPr>
        <w:pStyle w:val="Heading1"/>
      </w:pPr>
      <w:r>
        <w:t>2. La nascita delle PILETTE non viene bloccata</w:t>
      </w:r>
    </w:p>
    <w:p>
      <w:r>
        <w:rPr>
          <w:b/>
        </w:rPr>
        <w:t xml:space="preserve">Il limite non blocca la formazione economica delle PILETTE. </w:t>
      </w:r>
      <w:r>
        <w:t>Quando ISIDE o il reinvestimento di una PILETTA generano valore sufficiente per nuove posizioni da 100 USDC, il sistema utilizza comunque subito quel capitale.</w:t>
      </w:r>
    </w:p>
    <w:p>
      <w:r>
        <w:rPr>
          <w:b/>
        </w:rPr>
        <w:t>La differenza è soltanto nella natura della posizione creata in S0:</w:t>
      </w:r>
    </w:p>
    <w:p>
      <w:pPr>
        <w:pStyle w:val="ListBullet"/>
      </w:pPr>
      <w:r>
        <w:t>se esiste spazio nel rapporto 1:1 rispetto agli HUMAN esterni reali, la posizione viene creata come PILETTA;</w:t>
      </w:r>
    </w:p>
    <w:p>
      <w:pPr>
        <w:pStyle w:val="ListBullet"/>
      </w:pPr>
      <w:r>
        <w:t>se il limite è già raggiunto, la posizione viene creata immediatamente a nome del wallet FONDO A.</w:t>
      </w:r>
    </w:p>
    <w:p>
      <w:pPr>
        <w:pStyle w:val="Heading1"/>
      </w:pPr>
      <w:r>
        <w:t>3. Funzionamento operativo del limite 1:1</w:t>
      </w:r>
    </w:p>
    <w:tbl>
      <w:tblPr>
        <w:tblStyle w:val="TableGrid"/>
        <w:tblW w:type="auto" w:w="0"/>
        <w:jc w:val="center"/>
        <w:tblLayout w:type="fixed"/>
        <w:tblLook w:firstColumn="1" w:firstRow="1" w:lastColumn="0" w:lastRow="0" w:noHBand="0" w:noVBand="1" w:val="04A0"/>
      </w:tblPr>
      <w:tblGrid>
        <w:gridCol w:w="2376"/>
        <w:gridCol w:w="3096"/>
        <w:gridCol w:w="4320"/>
      </w:tblGrid>
      <w:tr>
        <w:trPr>
          <w:tblHeader w:val="true"/>
        </w:trPr>
        <w:tc>
          <w:tcPr>
            <w:tcW w:type="dxa" w:w="3331"/>
            <w:shd w:fill="D9E7F0"/>
            <w:vAlign w:val="center"/>
            <w:tcMar>
              <w:top w:w="130" w:type="dxa"/>
              <w:start w:w="130" w:type="dxa"/>
              <w:bottom w:w="130" w:type="dxa"/>
              <w:end w:w="130" w:type="dxa"/>
            </w:tcMar>
          </w:tcPr>
          <w:p>
            <w:r>
              <w:rPr>
                <w:b/>
              </w:rPr>
              <w:t>Condizione</w:t>
            </w:r>
          </w:p>
        </w:tc>
        <w:tc>
          <w:tcPr>
            <w:tcW w:type="dxa" w:w="3331"/>
            <w:shd w:fill="D9E7F0"/>
            <w:vAlign w:val="center"/>
            <w:tcMar>
              <w:top w:w="130" w:type="dxa"/>
              <w:start w:w="130" w:type="dxa"/>
              <w:bottom w:w="130" w:type="dxa"/>
              <w:end w:w="130" w:type="dxa"/>
            </w:tcMar>
          </w:tcPr>
          <w:p>
            <w:r>
              <w:rPr>
                <w:b/>
              </w:rPr>
              <w:t>Nuova posizione</w:t>
            </w:r>
          </w:p>
        </w:tc>
        <w:tc>
          <w:tcPr>
            <w:tcW w:type="dxa" w:w="3331"/>
            <w:shd w:fill="D9E7F0"/>
            <w:vAlign w:val="center"/>
            <w:tcMar>
              <w:top w:w="130" w:type="dxa"/>
              <w:start w:w="130" w:type="dxa"/>
              <w:bottom w:w="130" w:type="dxa"/>
              <w:end w:w="130" w:type="dxa"/>
            </w:tcMar>
          </w:tcPr>
          <w:p>
            <w:r>
              <w:rPr>
                <w:b/>
              </w:rPr>
              <w:t>Effetto sul limite PILETTE</w:t>
            </w:r>
          </w:p>
        </w:tc>
      </w:tr>
      <w:tr>
        <w:tc>
          <w:tcPr>
            <w:tcW w:type="dxa" w:w="2376"/>
            <w:vAlign w:val="center"/>
            <w:tcMar>
              <w:top w:w="120" w:type="dxa"/>
              <w:start w:w="130" w:type="dxa"/>
              <w:bottom w:w="120" w:type="dxa"/>
              <w:end w:w="130" w:type="dxa"/>
            </w:tcMar>
          </w:tcPr>
          <w:p>
            <w:r>
              <w:t>P &lt; H</w:t>
            </w:r>
          </w:p>
        </w:tc>
        <w:tc>
          <w:tcPr>
            <w:tcW w:type="dxa" w:w="3096"/>
            <w:vAlign w:val="center"/>
            <w:tcMar>
              <w:top w:w="120" w:type="dxa"/>
              <w:start w:w="130" w:type="dxa"/>
              <w:bottom w:w="120" w:type="dxa"/>
              <w:end w:w="130" w:type="dxa"/>
            </w:tcMar>
          </w:tcPr>
          <w:p>
            <w:r>
              <w:t>PILETTA</w:t>
            </w:r>
          </w:p>
        </w:tc>
        <w:tc>
          <w:tcPr>
            <w:tcW w:type="dxa" w:w="4320"/>
            <w:vAlign w:val="center"/>
            <w:tcMar>
              <w:top w:w="120" w:type="dxa"/>
              <w:start w:w="130" w:type="dxa"/>
              <w:bottom w:w="120" w:type="dxa"/>
              <w:end w:w="130" w:type="dxa"/>
            </w:tcMar>
          </w:tcPr>
          <w:p>
            <w:r>
              <w:t>La PILETTA viene inserita regolarmente in S0.</w:t>
            </w:r>
          </w:p>
        </w:tc>
      </w:tr>
      <w:tr>
        <w:tc>
          <w:tcPr>
            <w:tcW w:type="dxa" w:w="2376"/>
            <w:vAlign w:val="center"/>
            <w:tcMar>
              <w:top w:w="120" w:type="dxa"/>
              <w:start w:w="130" w:type="dxa"/>
              <w:bottom w:w="120" w:type="dxa"/>
              <w:end w:w="130" w:type="dxa"/>
            </w:tcMar>
          </w:tcPr>
          <w:p>
            <w:r>
              <w:t>P = H</w:t>
            </w:r>
          </w:p>
        </w:tc>
        <w:tc>
          <w:tcPr>
            <w:tcW w:type="dxa" w:w="3096"/>
            <w:vAlign w:val="center"/>
            <w:tcMar>
              <w:top w:w="120" w:type="dxa"/>
              <w:start w:w="130" w:type="dxa"/>
              <w:bottom w:w="120" w:type="dxa"/>
              <w:end w:w="130" w:type="dxa"/>
            </w:tcMar>
          </w:tcPr>
          <w:p>
            <w:r>
              <w:t>FONDO A</w:t>
            </w:r>
          </w:p>
        </w:tc>
        <w:tc>
          <w:tcPr>
            <w:tcW w:type="dxa" w:w="4320"/>
            <w:vAlign w:val="center"/>
            <w:tcMar>
              <w:top w:w="120" w:type="dxa"/>
              <w:start w:w="130" w:type="dxa"/>
              <w:bottom w:w="120" w:type="dxa"/>
              <w:end w:w="130" w:type="dxa"/>
            </w:tcMar>
          </w:tcPr>
          <w:p>
            <w:r>
              <w:t>Non viene creato un nuovo diritto PILETTA; la posizione resta produttiva sotto FONDO A.</w:t>
            </w:r>
          </w:p>
        </w:tc>
      </w:tr>
      <w:tr>
        <w:tc>
          <w:tcPr>
            <w:tcW w:type="dxa" w:w="2376"/>
            <w:vAlign w:val="center"/>
            <w:tcMar>
              <w:top w:w="120" w:type="dxa"/>
              <w:start w:w="130" w:type="dxa"/>
              <w:bottom w:w="120" w:type="dxa"/>
              <w:end w:w="130" w:type="dxa"/>
            </w:tcMar>
          </w:tcPr>
          <w:p>
            <w:r>
              <w:t>Entra un nuovo HUMAN reale</w:t>
            </w:r>
          </w:p>
        </w:tc>
        <w:tc>
          <w:tcPr>
            <w:tcW w:type="dxa" w:w="3096"/>
            <w:vAlign w:val="center"/>
            <w:tcMar>
              <w:top w:w="120" w:type="dxa"/>
              <w:start w:w="130" w:type="dxa"/>
              <w:bottom w:w="120" w:type="dxa"/>
              <w:end w:w="130" w:type="dxa"/>
            </w:tcMar>
          </w:tcPr>
          <w:p>
            <w:r>
              <w:t>H aumenta</w:t>
            </w:r>
          </w:p>
        </w:tc>
        <w:tc>
          <w:tcPr>
            <w:tcW w:type="dxa" w:w="4320"/>
            <w:vAlign w:val="center"/>
            <w:tcMar>
              <w:top w:w="120" w:type="dxa"/>
              <w:start w:w="130" w:type="dxa"/>
              <w:bottom w:w="120" w:type="dxa"/>
              <w:end w:w="130" w:type="dxa"/>
            </w:tcMar>
          </w:tcPr>
          <w:p>
            <w:r>
              <w:t>Si riapre spazio per future PILETTE, fino al nuovo limite cumulativo.</w:t>
            </w:r>
          </w:p>
        </w:tc>
      </w:tr>
    </w:tbl>
    <w:p>
      <w:r>
        <w:rPr>
          <w:b/>
        </w:rPr>
        <w:t xml:space="preserve">Dove: </w:t>
      </w:r>
      <w:r>
        <w:t>P = numero cumulativo delle PILETTE effettivamente inserite in S0; H = numero cumulativo degli HUMAN esterni reali inseriti in S0.</w:t>
      </w:r>
    </w:p>
    <w:p>
      <w:pPr>
        <w:pStyle w:val="Heading1"/>
      </w:pPr>
      <w:r>
        <w:t>4. Esempio numerico</w:t>
      </w:r>
    </w:p>
    <w:p>
      <w:r>
        <w:rPr>
          <w:b/>
        </w:rPr>
        <w:t xml:space="preserve">Situazione iniziale: </w:t>
      </w:r>
      <w:r>
        <w:t>1.000 HUMAN esterni reali e 1.000 PILETTE già inserite. Il limite 1:1 è completamente utilizzato.</w:t>
      </w:r>
    </w:p>
    <w:p>
      <w:r>
        <w:rPr>
          <w:b/>
        </w:rPr>
        <w:t xml:space="preserve">Una PILETTA matura 6.000 USDC. </w:t>
      </w:r>
      <w:r>
        <w:t>Il valore è sufficiente per 60 nuove posizioni da 100 USDC. Poiché P = H, nessuna delle 60 può essere inserita come nuova PILETTA. Le 60 posizioni vengono quindi create immediatamente e intestate al wallet FONDO A.</w:t>
      </w:r>
    </w:p>
    <w:p>
      <w:pPr>
        <w:pStyle w:val="Callout"/>
        <w:jc w:val="center"/>
      </w:pPr>
      <w:r>
        <w:t>6.000 USDC -&gt; 60 posizioni FONDO A; 0 USDC fermi</w:t>
      </w:r>
    </w:p>
    <w:p>
      <w:r>
        <w:rPr>
          <w:b/>
        </w:rPr>
        <w:t xml:space="preserve">Successivamente entrano 20 nuovi HUMAN esterni reali. </w:t>
      </w:r>
      <w:r>
        <w:t>Il contatore diventa H = 1.020 mentre P resta 1.000. Da quel momento esiste nuovamente spazio per un massimo di 20 future PILETTE. Le 60 posizioni FONDO A già create non vengono riconvertite: restano posizioni FONDO A.</w:t>
      </w:r>
    </w:p>
    <w:p>
      <w:pPr>
        <w:pStyle w:val="Heading1"/>
      </w:pPr>
      <w:r>
        <w:t>5. Esempio ISIDE con 50 posizioni generate</w:t>
      </w:r>
    </w:p>
    <w:p>
      <w:r>
        <w:rPr>
          <w:b/>
        </w:rPr>
        <w:t xml:space="preserve">Se ISIDE genera valore per 50 nuove posizioni da 100 USDC, il sistema le elabora tutte immediatamente. </w:t>
      </w:r>
      <w:r>
        <w:t>Supponiamo che, al momento dell evento, il margine disponibile sia di sole 30 PILETTE rispetto al limite 1:1.</w:t>
      </w:r>
    </w:p>
    <w:tbl>
      <w:tblPr>
        <w:tblStyle w:val="TableGrid"/>
        <w:tblW w:type="auto" w:w="0"/>
        <w:jc w:val="center"/>
        <w:tblLayout w:type="fixed"/>
        <w:tblLook w:firstColumn="1" w:firstRow="1" w:lastColumn="0" w:lastRow="0" w:noHBand="0" w:noVBand="1" w:val="04A0"/>
      </w:tblPr>
      <w:tblGrid>
        <w:gridCol w:w="4464"/>
        <w:gridCol w:w="4896"/>
      </w:tblGrid>
      <w:tr>
        <w:tc>
          <w:tcPr>
            <w:tcW w:type="dxa" w:w="4997"/>
            <w:shd w:fill="D9E7F0"/>
            <w:tcMar>
              <w:top w:w="130" w:type="dxa"/>
              <w:start w:w="130" w:type="dxa"/>
              <w:bottom w:w="130" w:type="dxa"/>
              <w:end w:w="130" w:type="dxa"/>
            </w:tcMar>
          </w:tcPr>
          <w:p>
            <w:r>
              <w:rPr>
                <w:b/>
              </w:rPr>
              <w:t>Destinazione</w:t>
            </w:r>
          </w:p>
        </w:tc>
        <w:tc>
          <w:tcPr>
            <w:tcW w:type="dxa" w:w="4997"/>
            <w:shd w:fill="D9E7F0"/>
            <w:tcMar>
              <w:top w:w="130" w:type="dxa"/>
              <w:start w:w="130" w:type="dxa"/>
              <w:bottom w:w="130" w:type="dxa"/>
              <w:end w:w="130" w:type="dxa"/>
            </w:tcMar>
          </w:tcPr>
          <w:p>
            <w:r>
              <w:rPr>
                <w:b/>
              </w:rPr>
              <w:t>Numero posizioni</w:t>
            </w:r>
          </w:p>
        </w:tc>
      </w:tr>
      <w:tr>
        <w:tc>
          <w:tcPr>
            <w:tcW w:type="dxa" w:w="4464"/>
            <w:tcMar>
              <w:top w:w="120" w:type="dxa"/>
              <w:start w:w="130" w:type="dxa"/>
              <w:bottom w:w="120" w:type="dxa"/>
              <w:end w:w="130" w:type="dxa"/>
            </w:tcMar>
            <w:vAlign w:val="center"/>
          </w:tcPr>
          <w:p>
            <w:r>
              <w:t>PILETTЕ</w:t>
            </w:r>
          </w:p>
        </w:tc>
        <w:tc>
          <w:tcPr>
            <w:tcW w:type="dxa" w:w="4896"/>
            <w:tcMar>
              <w:top w:w="120" w:type="dxa"/>
              <w:start w:w="130" w:type="dxa"/>
              <w:bottom w:w="120" w:type="dxa"/>
              <w:end w:w="130" w:type="dxa"/>
            </w:tcMar>
            <w:vAlign w:val="center"/>
          </w:tcPr>
          <w:p>
            <w:r>
              <w:t>30</w:t>
            </w:r>
          </w:p>
        </w:tc>
      </w:tr>
      <w:tr>
        <w:tc>
          <w:tcPr>
            <w:tcW w:type="dxa" w:w="4464"/>
            <w:tcMar>
              <w:top w:w="120" w:type="dxa"/>
              <w:start w:w="130" w:type="dxa"/>
              <w:bottom w:w="120" w:type="dxa"/>
              <w:end w:w="130" w:type="dxa"/>
            </w:tcMar>
            <w:vAlign w:val="center"/>
          </w:tcPr>
          <w:p>
            <w:r>
              <w:t>FONDO A</w:t>
            </w:r>
          </w:p>
        </w:tc>
        <w:tc>
          <w:tcPr>
            <w:tcW w:type="dxa" w:w="4896"/>
            <w:tcMar>
              <w:top w:w="120" w:type="dxa"/>
              <w:start w:w="130" w:type="dxa"/>
              <w:bottom w:w="120" w:type="dxa"/>
              <w:end w:w="130" w:type="dxa"/>
            </w:tcMar>
            <w:vAlign w:val="center"/>
          </w:tcPr>
          <w:p>
            <w:r>
              <w:t>20</w:t>
            </w:r>
          </w:p>
        </w:tc>
      </w:tr>
      <w:tr>
        <w:tc>
          <w:tcPr>
            <w:tcW w:type="dxa" w:w="4464"/>
            <w:tcMar>
              <w:top w:w="120" w:type="dxa"/>
              <w:start w:w="130" w:type="dxa"/>
              <w:bottom w:w="120" w:type="dxa"/>
              <w:end w:w="130" w:type="dxa"/>
            </w:tcMar>
            <w:vAlign w:val="center"/>
          </w:tcPr>
          <w:p>
            <w:r>
              <w:t>Totale utilizzato</w:t>
            </w:r>
          </w:p>
        </w:tc>
        <w:tc>
          <w:tcPr>
            <w:tcW w:type="dxa" w:w="4896"/>
            <w:tcMar>
              <w:top w:w="120" w:type="dxa"/>
              <w:start w:w="130" w:type="dxa"/>
              <w:bottom w:w="120" w:type="dxa"/>
              <w:end w:w="130" w:type="dxa"/>
            </w:tcMar>
            <w:vAlign w:val="center"/>
          </w:tcPr>
          <w:p>
            <w:r>
              <w:t>50</w:t>
            </w:r>
          </w:p>
        </w:tc>
      </w:tr>
    </w:tbl>
    <w:p>
      <w:r>
        <w:rPr>
          <w:b/>
        </w:rPr>
        <w:t xml:space="preserve">Risultato: </w:t>
      </w:r>
      <w:r>
        <w:t>tutto il valore economico viene trasformato in posizioni reali S0, ma la componente PILETTA non può oltrepassare la soglia di sicurezza.</w:t>
      </w:r>
    </w:p>
    <w:p>
      <w:pPr>
        <w:pStyle w:val="Heading1"/>
      </w:pPr>
      <w:r>
        <w:t>6. Il ruolo del wallet FONDO A</w:t>
      </w:r>
    </w:p>
    <w:p>
      <w:r>
        <w:rPr>
          <w:b/>
        </w:rPr>
        <w:t xml:space="preserve">Il wallet FONDO A esiste già ed è quindi il destinatario naturale delle posizioni eccedenti. </w:t>
      </w:r>
      <w:r>
        <w:t>Non serve creare un nuovo wallet o una nuova identità tecnica. L'eccedenza viene semplicemente classificata come posizione FONDO A invece che come PILETTA.</w:t>
      </w:r>
    </w:p>
    <w:p>
      <w:r>
        <w:rPr>
          <w:b/>
        </w:rPr>
        <w:t xml:space="preserve">Punto di controllo indispensabile: </w:t>
      </w:r>
      <w:r>
        <w:t>le posizioni FONDO A non devono aumentare il contatore degli HUMAN esterni reali utilizzato per il limite 1:1. In caso contrario si creerebbe un circuito artificiale: PILETTE -&gt; FONDO A -&gt; aumento H -&gt; nuove PILETTE, che annullerebbe la protezione antisaturazione.</w:t>
      </w:r>
    </w:p>
    <w:p>
      <w:pPr>
        <w:pStyle w:val="Heading1"/>
      </w:pPr>
      <w:r>
        <w:t>7. Classificazione S0 proposta</w:t>
      </w:r>
    </w:p>
    <w:tbl>
      <w:tblPr>
        <w:tblStyle w:val="TableGrid"/>
        <w:tblW w:type="auto" w:w="0"/>
        <w:jc w:val="center"/>
        <w:tblLayout w:type="fixed"/>
        <w:tblLook w:firstColumn="1" w:firstRow="1" w:lastColumn="0" w:lastRow="0" w:noHBand="0" w:noVBand="1" w:val="04A0"/>
      </w:tblPr>
      <w:tblGrid>
        <w:gridCol w:w="2376"/>
        <w:gridCol w:w="3744"/>
        <w:gridCol w:w="3672"/>
      </w:tblGrid>
      <w:tr>
        <w:tc>
          <w:tcPr>
            <w:tcW w:type="dxa" w:w="3331"/>
            <w:shd w:fill="D9E7F0"/>
            <w:tcMar>
              <w:top w:w="130" w:type="dxa"/>
              <w:start w:w="130" w:type="dxa"/>
              <w:bottom w:w="130" w:type="dxa"/>
              <w:end w:w="130" w:type="dxa"/>
            </w:tcMar>
          </w:tcPr>
          <w:p>
            <w:r>
              <w:rPr>
                <w:b/>
              </w:rPr>
              <w:t>Tipo posizione</w:t>
            </w:r>
          </w:p>
        </w:tc>
        <w:tc>
          <w:tcPr>
            <w:tcW w:type="dxa" w:w="3331"/>
            <w:shd w:fill="D9E7F0"/>
            <w:tcMar>
              <w:top w:w="130" w:type="dxa"/>
              <w:start w:w="130" w:type="dxa"/>
              <w:bottom w:w="130" w:type="dxa"/>
              <w:end w:w="130" w:type="dxa"/>
            </w:tcMar>
          </w:tcPr>
          <w:p>
            <w:r>
              <w:rPr>
                <w:b/>
              </w:rPr>
              <w:t>Origine</w:t>
            </w:r>
          </w:p>
        </w:tc>
        <w:tc>
          <w:tcPr>
            <w:tcW w:type="dxa" w:w="3331"/>
            <w:shd w:fill="D9E7F0"/>
            <w:tcMar>
              <w:top w:w="130" w:type="dxa"/>
              <w:start w:w="130" w:type="dxa"/>
              <w:bottom w:w="130" w:type="dxa"/>
              <w:end w:w="130" w:type="dxa"/>
            </w:tcMar>
          </w:tcPr>
          <w:p>
            <w:r>
              <w:rPr>
                <w:b/>
              </w:rPr>
              <w:t>Conta nel limite H?</w:t>
            </w:r>
          </w:p>
        </w:tc>
      </w:tr>
      <w:tr>
        <w:tc>
          <w:tcPr>
            <w:tcW w:type="dxa" w:w="2376"/>
            <w:tcMar>
              <w:top w:w="120" w:type="dxa"/>
              <w:start w:w="130" w:type="dxa"/>
              <w:bottom w:w="120" w:type="dxa"/>
              <w:end w:w="130" w:type="dxa"/>
            </w:tcMar>
            <w:vAlign w:val="center"/>
          </w:tcPr>
          <w:p>
            <w:r>
              <w:t>HUMAN esterno</w:t>
            </w:r>
          </w:p>
        </w:tc>
        <w:tc>
          <w:tcPr>
            <w:tcW w:type="dxa" w:w="3744"/>
            <w:tcMar>
              <w:top w:w="120" w:type="dxa"/>
              <w:start w:w="130" w:type="dxa"/>
              <w:bottom w:w="120" w:type="dxa"/>
              <w:end w:w="130" w:type="dxa"/>
            </w:tcMar>
            <w:vAlign w:val="center"/>
          </w:tcPr>
          <w:p>
            <w:r>
              <w:t>Ingresso reale di una persona/wallet nel sistema</w:t>
            </w:r>
          </w:p>
        </w:tc>
        <w:tc>
          <w:tcPr>
            <w:tcW w:type="dxa" w:w="3672"/>
            <w:tcMar>
              <w:top w:w="120" w:type="dxa"/>
              <w:start w:w="130" w:type="dxa"/>
              <w:bottom w:w="120" w:type="dxa"/>
              <w:end w:w="130" w:type="dxa"/>
            </w:tcMar>
            <w:vAlign w:val="center"/>
          </w:tcPr>
          <w:p>
            <w:r>
              <w:t>SI</w:t>
            </w:r>
          </w:p>
        </w:tc>
      </w:tr>
      <w:tr>
        <w:tc>
          <w:tcPr>
            <w:tcW w:type="dxa" w:w="2376"/>
            <w:tcMar>
              <w:top w:w="120" w:type="dxa"/>
              <w:start w:w="130" w:type="dxa"/>
              <w:bottom w:w="120" w:type="dxa"/>
              <w:end w:w="130" w:type="dxa"/>
            </w:tcMar>
            <w:vAlign w:val="center"/>
          </w:tcPr>
          <w:p>
            <w:r>
              <w:t>PILETTA</w:t>
            </w:r>
          </w:p>
        </w:tc>
        <w:tc>
          <w:tcPr>
            <w:tcW w:type="dxa" w:w="3744"/>
            <w:tcMar>
              <w:top w:w="120" w:type="dxa"/>
              <w:start w:w="130" w:type="dxa"/>
              <w:bottom w:w="120" w:type="dxa"/>
              <w:end w:w="130" w:type="dxa"/>
            </w:tcMar>
            <w:vAlign w:val="center"/>
          </w:tcPr>
          <w:p>
            <w:r>
              <w:t>Generata da ISIDE o reinvestimento PILETTA</w:t>
            </w:r>
          </w:p>
        </w:tc>
        <w:tc>
          <w:tcPr>
            <w:tcW w:type="dxa" w:w="3672"/>
            <w:tcMar>
              <w:top w:w="120" w:type="dxa"/>
              <w:start w:w="130" w:type="dxa"/>
              <w:bottom w:w="120" w:type="dxa"/>
              <w:end w:w="130" w:type="dxa"/>
            </w:tcMar>
            <w:vAlign w:val="center"/>
          </w:tcPr>
          <w:p>
            <w:r>
              <w:t>NO - usa il margine creato dagli HUMAN</w:t>
            </w:r>
          </w:p>
        </w:tc>
      </w:tr>
      <w:tr>
        <w:tc>
          <w:tcPr>
            <w:tcW w:type="dxa" w:w="2376"/>
            <w:tcMar>
              <w:top w:w="120" w:type="dxa"/>
              <w:start w:w="130" w:type="dxa"/>
              <w:bottom w:w="120" w:type="dxa"/>
              <w:end w:w="130" w:type="dxa"/>
            </w:tcMar>
            <w:vAlign w:val="center"/>
          </w:tcPr>
          <w:p>
            <w:r>
              <w:t>FONDO A</w:t>
            </w:r>
          </w:p>
        </w:tc>
        <w:tc>
          <w:tcPr>
            <w:tcW w:type="dxa" w:w="3744"/>
            <w:tcMar>
              <w:top w:w="120" w:type="dxa"/>
              <w:start w:w="130" w:type="dxa"/>
              <w:bottom w:w="120" w:type="dxa"/>
              <w:end w:w="130" w:type="dxa"/>
            </w:tcMar>
            <w:vAlign w:val="center"/>
          </w:tcPr>
          <w:p>
            <w:r>
              <w:t>Eccedenza che non può essere inserita come PILETTA</w:t>
            </w:r>
          </w:p>
        </w:tc>
        <w:tc>
          <w:tcPr>
            <w:tcW w:type="dxa" w:w="3672"/>
            <w:tcMar>
              <w:top w:w="120" w:type="dxa"/>
              <w:start w:w="130" w:type="dxa"/>
              <w:bottom w:w="120" w:type="dxa"/>
              <w:end w:w="130" w:type="dxa"/>
            </w:tcMar>
            <w:vAlign w:val="center"/>
          </w:tcPr>
          <w:p>
            <w:r>
              <w:t>NO</w:t>
            </w:r>
          </w:p>
        </w:tc>
      </w:tr>
    </w:tbl>
    <w:p>
      <w:pPr>
        <w:pStyle w:val="Heading1"/>
      </w:pPr>
      <w:r>
        <w:t>8. Vantaggi della soluzione</w:t>
      </w:r>
    </w:p>
    <w:p>
      <w:pPr>
        <w:pStyle w:val="ListBullet"/>
      </w:pPr>
      <w:r>
        <w:t>impedisce matematicamente alle PILETTE di superare gli HUMAN esterni reali nel livello S0;</w:t>
      </w:r>
    </w:p>
    <w:p>
      <w:pPr>
        <w:pStyle w:val="ListBullet"/>
      </w:pPr>
      <w:r>
        <w:t>non blocca la generazione economica delle PILETTE;</w:t>
      </w:r>
    </w:p>
    <w:p>
      <w:pPr>
        <w:pStyle w:val="ListBullet"/>
      </w:pPr>
      <w:r>
        <w:t>non lascia USDC fermi o inutilizzati;</w:t>
      </w:r>
    </w:p>
    <w:p>
      <w:pPr>
        <w:pStyle w:val="ListBullet"/>
      </w:pPr>
      <w:r>
        <w:t>utilizza il wallet FONDO A già esistente;</w:t>
      </w:r>
    </w:p>
    <w:p>
      <w:pPr>
        <w:pStyle w:val="ListBullet"/>
      </w:pPr>
      <w:r>
        <w:t>mantiene distinta la componente HUMAN reale dalla componente finanziata internamente;</w:t>
      </w:r>
    </w:p>
    <w:p>
      <w:pPr>
        <w:pStyle w:val="ListBullet"/>
      </w:pPr>
      <w:r>
        <w:t>evita che il meccanismo autoreplicante PILETTA -&gt; PILETTA possa occupare progressivamente tutta la base S0.</w:t>
      </w:r>
    </w:p>
    <w:p>
      <w:pPr>
        <w:pStyle w:val="Heading1"/>
        <w:pageBreakBefore/>
      </w:pPr>
      <w:r>
        <w:t>9. Regola da confermare con Giovanni</w:t>
      </w:r>
    </w:p>
    <w:tbl>
      <w:tblPr>
        <w:tblW w:type="auto" w:w="0"/>
        <w:jc w:val="center"/>
        <w:tblLayout w:type="fixed"/>
        <w:tblLook w:firstColumn="1" w:firstRow="1" w:lastColumn="0" w:lastRow="0" w:noHBand="0" w:noVBand="1" w:val="04A0"/>
      </w:tblPr>
      <w:tblGrid>
        <w:gridCol w:w="9432"/>
      </w:tblGrid>
      <w:tr>
        <w:tc>
          <w:tcPr>
            <w:tcW w:type="dxa" w:w="9994"/>
            <w:shd w:fill="FFF4D6"/>
            <w:tcMar>
              <w:top w:w="180" w:type="dxa"/>
              <w:start w:w="220" w:type="dxa"/>
              <w:bottom w:w="180" w:type="dxa"/>
              <w:end w:w="220" w:type="dxa"/>
            </w:tcMar>
          </w:tcPr>
          <w:p>
            <w:r>
              <w:rPr>
                <w:b/>
                <w:color w:val="7A5A00"/>
              </w:rPr>
              <w:t>FORMULAZIONE OPERATIVA</w:t>
            </w:r>
            <w:r>
              <w:br/>
              <w:t>Tutte le posizioni PILETTA generate da ISIDE o dal reinvestimento dei doni vengono elaborate immediatamente. Il numero cumulativo delle PILETTE effettivamente inserite in S0 non può superare il numero cumulativo degli HUMAN esterni reali. Quando il limite è raggiunto, ogni nuova posizione che sarebbe stata PILETTA viene invece creata a nome del wallet FONDO A. Le posizioni FONDO A non sono conteggiate come HUMAN esterni e non aumentano il diritto a inserire nuove PILETTE.</w:t>
            </w:r>
          </w:p>
        </w:tc>
      </w:tr>
    </w:tbl>
    <w:p>
      <w:pPr>
        <w:pStyle w:val="Heading1"/>
      </w:pPr>
      <w:r>
        <w:t>10. Punto ancora da definire</w:t>
      </w:r>
    </w:p>
    <w:p>
      <w:r>
        <w:rPr>
          <w:b/>
        </w:rPr>
        <w:t xml:space="preserve">Resta da definire con precisione la destinazione dei ritorni economici maturati dalle posizioni FONDO A </w:t>
      </w:r>
      <w:r>
        <w:t>quando queste raggiungono RHA, THOT e ISIDE. Questa regola dovrà essere coerente con l'obiettivo di continuità del sistema e non dovrà riaprire indirettamente il circuito autoreferenziale delle PILETTE.</w:t>
      </w:r>
    </w:p>
    <w:p>
      <w:pPr>
        <w:spacing w:before="280"/>
        <w:jc w:val="right"/>
      </w:pPr>
      <w:r>
        <w:rPr>
          <w:i/>
          <w:color w:val="777777"/>
          <w:sz w:val="19"/>
        </w:rPr>
        <w:t>Documento di analisi pre-implementazione - nessuna modifica al codice</w:t>
      </w:r>
    </w:p>
    <w:sectPr w:rsidR="00FC693F" w:rsidRPr="0006063C" w:rsidSect="00034616">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ptos Display" w:hAnsi="Aptos Display" w:eastAsia="Aptos Display"/>
      <w:b/>
      <w:bCs/>
      <w:color w:val="17324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eastAsia="Aptos Display"/>
      <w:b/>
      <w:bCs/>
      <w:color w:val="2D5B7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Aptos Display" w:hAnsi="Aptos Display" w:eastAsia="Aptos Display"/>
      <w:b/>
      <w:color w:val="17324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20" w:after="120"/>
    </w:pPr>
    <w:rPr>
      <w:rFonts w:ascii="Aptos" w:hAnsi="Aptos"/>
      <w:b/>
      <w:color w:val="17324D"/>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