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notes.xml" ContentType="application/vnd.openxmlformats-officedocument.wordprocessingml.footnotes+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body>
    <w:p>
      <w:pPr>
        <w:pStyle w:val="Heading1"/>
      </w:pPr>
      <w:r>
        <w:t xml:space="preserve">Covenant and Community</w:t>
      </w:r>
    </w:p>
    <w:p>
      <w:r>
        <w:t xml:space="preserve">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w:t>
      </w:r>
      <w:r>
        <w:rPr>
          <w:rStyle w:val="FootnoteReference"/>
        </w:rPr>
        <w:footnoteReference w:id="1"/>
      </w:r>
    </w:p>
    <w:p>
      <w:pPr>
        <w:pStyle w:val="Quote"/>
      </w:pPr>
      <w:r>
        <w:t xml:space="preserve">A block quotation set off from the text, as a reader would expect in a book of this kind.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w:t>
      </w:r>
    </w:p>
    <w:p>
      <w:r>
        <w:t xml:space="preserve">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 The apparatus at the foot of the page records where the witnesses part ways. Some of these differences are accidents of copying; others are deliberate. Distinguishing the two requires attention to the habits of each scribe. The argument of this chapter proceeds from the clearer cases to the harder ones. Office workers, affluent patrons and fifty-five official scribes all appear in the record. The covenant formula recurs throughout the prophets with small but telling changes. Each change of wording marks a shift in the relationship the text describes. Readers in the early church heard these passages through the Greek translation. That translation smooths some difficulties of the Hebrew and sharpens others. A careful edition keeps both voices audible without forcing them into agreement.</w:t>
      </w:r>
      <w:r>
        <w:rPr>
          <w:rStyle w:val="FootnoteReference"/>
        </w:rPr>
        <w:footnoteReference w:id="2"/>
      </w:r>
    </w:p>
    <w:p>
      <w:pPr>
        <w:pStyle w:val="Heading1"/>
      </w:pPr>
      <w:r>
        <w:t xml:space="preserve">Bibliography</w:t>
      </w:r>
    </w:p>
    <w:p>
      <w:r>
        <w:t xml:space="preserve">Author, A. N. </w:t>
      </w:r>
      <w:r>
        <w:rPr>
          <w:i/>
        </w:rPr>
        <w:t xml:space="preserve">The Covenant in the Prophets</w:t>
      </w:r>
      <w:r>
        <w:t xml:space="preserve">. City: Press, 2020.</w:t>
      </w:r>
    </w:p>
    <w:p>
      <w:r>
        <w:t xml:space="preserve">Writer, B. </w:t>
      </w:r>
      <w:r>
        <w:rPr>
          <w:i/>
        </w:rPr>
        <w:t xml:space="preserve">Greek and Hebrew Together</w:t>
      </w:r>
      <w:r>
        <w:t xml:space="preserve">. City: Press, 2018.</w:t>
      </w:r>
    </w:p>
    <w:sectPr>
      <w:pgSz w:w="12240" w:h="15840"/>
      <w:pgMar w:top="1440" w:right="1440" w:bottom="1440" w:left="1440" w:header="720" w:footer="720" w:gutter="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footnote w:type="separator" w:id="-1">
    <w:p>
      <w:r>
        <w:separator/>
      </w:r>
    </w:p>
  </w:footnote>
  <w:footnote w:id="1">
    <w:p>
      <w:pPr>
        <w:pStyle w:val="FootnoteText"/>
      </w:pPr>
      <w:r>
        <w:t xml:space="preserve">Numbering restarts in each chapter.</w:t>
      </w:r>
    </w:p>
  </w:footnote>
  <w:footnote w:id="2">
    <w:p>
      <w:pPr>
        <w:pStyle w:val="FootnoteText"/>
      </w:pPr>
      <w:r>
        <w:t xml:space="preserve">A second note.</w:t>
      </w:r>
    </w:p>
  </w:footnote>
</w:footnote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xmlns:mc="http://schemas.openxmlformats.org/markup-compatibility/2006" xmlns:wps="http://schemas.microsoft.com/office/word/2010/wordprocessingShape" xmlns:v="urn:schemas-microsoft-com:vml">
  <w:docDefaults>
    <w:rPrDefault>
      <w:rPr>
        <w:rFonts w:asciiTheme="minorHAnsi" w:hAnsiTheme="minorHAnsi"/>
        <w:sz w:val="24"/>
      </w:rPr>
    </w:rPrDefault>
  </w:docDefaults>
  <w:style w:type="paragraph" w:default="1" w:styleId="Normal">
    <w:name w:val="Normal"/>
    <w:qFormat/>
  </w:style>
  <w:style w:type="paragraph" w:styleId="Heading1">
    <w:name w:val="heading 1"/>
    <w:basedOn w:val="Normal"/>
    <w:link w:val="Heading1Char"/>
    <w:pPr>
      <w:keepNext/>
      <w:outlineLvl w:val="0"/>
    </w:pPr>
    <w:rPr>
      <w:rFonts w:asciiTheme="majorHAnsi" w:hAnsiTheme="majorHAnsi"/>
      <w:sz w:val="32"/>
    </w:rPr>
  </w:style>
  <w:style w:type="paragraph" w:styleId="Heading2">
    <w:name w:val="heading 2"/>
    <w:basedOn w:val="Normal"/>
    <w:pPr>
      <w:outlineLvl w:val="1"/>
    </w:pPr>
  </w:style>
  <w:style w:type="character" w:customStyle="1" w:styleId="Heading1Char">
    <w:name w:val="Heading 1 Char"/>
    <w:link w:val="Heading1"/>
  </w:style>
  <w:style w:type="paragraph" w:styleId="Title">
    <w:name w:val="Title"/>
    <w:basedOn w:val="Normal"/>
    <w:rPr>
      <w:sz w:val="56"/>
    </w:rPr>
  </w:style>
  <w:style w:type="paragraph" w:styleId="Subtitle">
    <w:name w:val="Subtitle"/>
    <w:basedOn w:val="Normal"/>
  </w:style>
  <w:style w:type="paragraph" w:styleId="Quote">
    <w:name w:val="Quote"/>
    <w:basedOn w:val="Normal"/>
    <w:pPr>
      <w:ind w:left="720"/>
    </w:pPr>
    <w:rPr>
      <w:sz w:val="22"/>
    </w:rPr>
  </w:style>
  <w:style w:type="paragraph" w:styleId="FootnoteText">
    <w:name w:val="footnote text"/>
    <w:basedOn w:val="Normal"/>
    <w:rPr>
      <w:sz w:val="20"/>
    </w:rPr>
  </w:style>
  <w:style w:type="character" w:styleId="FootnoteReference">
    <w:name w:val="footnote reference"/>
    <w:rPr>
      <w:vertAlign w:val="superscript"/>
    </w:rPr>
  </w:style>
  <w:style w:type="character" w:styleId="Emphasis">
    <w:name w:val="Emphasis"/>
    <w:rPr>
      <w:i/>
    </w:rPr>
  </w:style>
  <w:style w:type="paragraph" w:styleId="TOC1">
    <w:name w:val="toc 1"/>
    <w:basedOn w:val="Normal"/>
  </w:style>
  <w:style w:type="paragraph" w:customStyle="1" w:styleId="ChapterHead">
    <w:name w:val="Chapter Head"/>
    <w:basedOn w:val="Heading1"/>
  </w:style>
  <w:style w:type="paragraph" w:customStyle="1" w:styleId="Fancy">
    <w:name w:val="Fancy Para"/>
    <w:basedOn w:val="Normal"/>
  </w:style>
  <w:style w:type="paragraph" w:customStyle="1" w:styleId="PartTitle">
    <w:name w:val="Part Title"/>
    <w:pPr>
      <w:outlineLvl w:val="0"/>
    </w:pPr>
  </w:style>
  <w:style w:type="paragraph" w:customStyle="1" w:styleId="Epigraph">
    <w:name w:val="Epigraph"/>
    <w:basedOn w:val="Normal"/>
    <w:pPr>
      <w:jc w:val="center"/>
      <w:ind w:left="1440" w:right="1440"/>
    </w:pPr>
    <w:rPr>
      <w:i/>
      <w:sz w:val="20"/>
    </w:rPr>
  </w:style>
  <w:style w:type="character" w:customStyle="1" w:styleId="ScriptureRef">
    <w:name w:val="Scripture Ref"/>
    <w:rPr>
      <w:smallCaps/>
    </w:rPr>
  </w:style>
  <w:style w:type="paragraph" w:styleId="ListParagraph">
    <w:name w:val="List Paragraph"/>
    <w:basedOn w:val="Normal"/>
    <w:pPr>
      <w:ind w:left="720"/>
    </w:pPr>
  </w:style>
  <w:style w:type="paragraph" w:styleId="Caption">
    <w:name w:val="caption"/>
    <w:basedOn w:val="Normal"/>
    <w:rPr>
      <w:i/>
      <w:sz w:val="18"/>
    </w:rPr>
  </w:style>
  <w:style w:type="paragraph" w:styleId="Heading3">
    <w:name w:val="heading 3"/>
    <w:basedOn w:val="Normal"/>
    <w:pPr>
      <w:outlineLvl w:val="2"/>
    </w:pPr>
  </w:style>
</w:styles>
</file>

<file path=word/_rels/document.xml.rels><Relationships xmlns="http://schemas.openxmlformats.org/package/2006/relationships"><Relationship Id="rIdS" Type="http://schemas.openxmlformats.org/officeDocument/2006/relationships/styles" Target="styles.xml"/><Relationship Id="rIdT" Type="http://schemas.openxmlformats.org/officeDocument/2006/relationships/theme" Target="theme/theme1.xml"/><Relationship Id="rIdF"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4472C4"/>
      </a:accent2>
      <a:accent3>
        <a:srgbClr val="4472C4"/>
      </a:accent3>
      <a:accent4>
        <a:srgbClr val="4472C4"/>
      </a:accent4>
      <a:accent5>
        <a:srgbClr val="4472C4"/>
      </a:accent5>
      <a:accent6>
        <a:srgbClr val="4472C4"/>
      </a:accent6>
      <a:hlink>
        <a:srgbClr val="0563C1"/>
      </a:hlink>
      <a:folHlink>
        <a:srgbClr val="954F72"/>
      </a:folHlink>
    </a:clrScheme>
    <a:fontScheme name="Office">
      <a:majorFont>
        <a:latin typeface="Calibri Light"/>
        <a:ea typeface=""/>
        <a:cs typeface=""/>
      </a:majorFont>
      <a:minorFont>
        <a:latin typeface="Calibri"/>
        <a:ea typeface=""/>
        <a:cs typeface=""/>
      </a:minorFont>
    </a:fontScheme>
  </a:themeElements>
</a:theme>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file>