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body>
    <w:p>
      <w:pPr>
        <w:pStyle w:val="Heading1"/>
      </w:pPr>
      <w:r>
        <w:t xml:space="preserve">The Formula in the Prophets</w:t>
      </w:r>
    </w:p>
    <w:p>
      <w:pPr>
        <w:pStyle w:val="Epigraph"/>
      </w:pPr>
      <w:r>
        <w:t xml:space="preserve">I will be their God, and they shall be my people.</w:t>
      </w:r>
    </w:p>
    <w:p>
      <w:r>
        <w:t xml:space="preserve">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formula first appears in </w:t>
      </w:r>
      <w:r>
        <w:rPr>
          <w:rStyle w:val="ScriptureRef"/>
        </w:rPr>
        <w:t xml:space="preserve">Lev 26:12</w:t>
      </w:r>
      <w:r>
        <w:t xml:space="preserve">.</w:t>
      </w:r>
      <w:r>
        <w:rPr>
          <w:rStyle w:val="FootnoteReference"/>
        </w:rPr>
        <w:footnoteReference w:id="1"/>
      </w:r>
      <w:r>
        <w:t xml:space="preserve">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w:t>
      </w:r>
    </w:p>
    <w:p>
      <w:r>
        <w:t xml:space="preserve">Genesis 1:1 reads </w:t>
      </w:r>
      <w:r>
        <w:rPr>
          <w:rtl/>
        </w:rPr>
        <w:t xml:space="preserve">בְּרֵאשִׁ֖ית בָּרָ֣א אֱלֹהִ֑ים אֵ֥ת הַשָּׁמַ֖יִם וְאֵ֥ת הָאָֽרֶץ׃</w:t>
      </w:r>
      <w:r>
        <w:t xml:space="preserve"> (unpointed: </w:t>
      </w:r>
      <w:r>
        <w:rPr>
          <w:rtl/>
        </w:rPr>
        <w:t xml:space="preserve">בראשית ברא אלהים</w:t>
      </w:r>
      <w:r>
        <w:t xml:space="preserve">), and John 1:1 reads </w:t>
      </w:r>
      <w:r>
        <w:t xml:space="preserve">Ἐν ἀρχῇ ἦν ὁ λόγος, καὶ ὁ λόγος ἦν πρὸς τὸν θεόν, καὶ θεὸς ἦν ὁ λόγος.</w:t>
      </w:r>
      <w:r>
        <w:t xml:space="preserve">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w:t>
      </w:r>
      <w:r>
        <w:rPr>
          <w:rStyle w:val="FootnoteReference"/>
        </w:rPr>
        <w:footnoteReference w:id="2"/>
      </w:r>
    </w:p>
    <w:p>
      <w:pPr>
        <w:pStyle w:val="Heading2"/>
      </w:pPr>
      <w:r>
        <w:t xml:space="preserve">Jeremiah</w:t>
      </w:r>
    </w:p>
    <w:p>
      <w:r>
        <w:t xml:space="preserve">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Some words are </w:t>
      </w:r>
      <w:r>
        <w:rPr>
          <w:b/>
        </w:rPr>
        <w:t xml:space="preserve">bold</w:t>
      </w:r>
      <w:r>
        <w:t xml:space="preserve">, some </w:t>
      </w:r>
      <w:r>
        <w:rPr>
          <w:smallCaps/>
        </w:rPr>
        <w:t xml:space="preserve">small capitals</w:t>
      </w:r>
      <w:r>
        <w:t xml:space="preserve">, and a superscript</w:t>
      </w:r>
      <w:r>
        <w:rPr>
          <w:vertAlign w:val="superscript"/>
        </w:rPr>
        <w:t xml:space="preserve">2</w:t>
      </w:r>
      <w:r>
        <w:t xml:space="preserve">.</w:t>
      </w:r>
      <w:r>
        <w:rPr>
          <w:rStyle w:val="FootnoteReference"/>
        </w:rPr>
        <w:footnoteReference w:id="3"/>
      </w:r>
    </w:p>
    <w:p>
      <w:r>
        <w:t xml:space="preserve">Three points follow:</w:t>
      </w:r>
    </w:p>
    <w:p>
      <w:pPr>
        <w:pStyle w:val="ListParagraph"/>
        <w:numPr>
          <w:ilvl w:val="0"/>
          <w:numId w:val="2"/>
        </w:numPr>
      </w:pPr>
      <w:r>
        <w:t xml:space="preserve">The formula is covenantal.</w:t>
      </w:r>
    </w:p>
    <w:p>
      <w:pPr>
        <w:pStyle w:val="ListParagraph"/>
        <w:numPr>
          <w:ilvl w:val="0"/>
          <w:numId w:val="2"/>
        </w:numPr>
      </w:pPr>
      <w:r>
        <w:t xml:space="preserve">It has two halves.</w:t>
      </w:r>
    </w:p>
    <w:p>
      <w:pPr>
        <w:pStyle w:val="ListParagraph"/>
        <w:numPr>
          <w:ilvl w:val="1"/>
          <w:numId w:val="2"/>
        </w:numPr>
      </w:pPr>
      <w:r>
        <w:t xml:space="preserve">God speaks first.</w:t>
      </w:r>
    </w:p>
    <w:p>
      <w:pPr>
        <w:pStyle w:val="ListParagraph"/>
        <w:numPr>
          <w:ilvl w:val="1"/>
          <w:numId w:val="2"/>
        </w:numPr>
      </w:pPr>
      <w:r>
        <w:t xml:space="preserve">The people answer.</w:t>
      </w:r>
    </w:p>
    <w:p>
      <w:pPr>
        <w:pStyle w:val="ListParagraph"/>
        <w:numPr>
          <w:ilvl w:val="0"/>
          <w:numId w:val="2"/>
        </w:numPr>
      </w:pPr>
      <w:r>
        <w:t xml:space="preserve">It recurs in Ezekiel.</w:t>
      </w:r>
    </w:p>
    <w:p>
      <w:pPr>
        <w:pStyle w:val="Heading2"/>
      </w:pPr>
      <w:r>
        <w:t xml:space="preserve">Ezekiel</w:t>
      </w:r>
    </w:p>
    <w:p>
      <w:r>
        <w:t xml:space="preserve">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w:t>
      </w:r>
    </w:p>
    <w:tbl>
      <w:tblPr/>
      <w:tblGrid>
        <w:gridCol w:w="3000"/>
        <w:gridCol w:w="2000"/>
        <w:gridCol w:w="2500"/>
      </w:tblGrid>
      <w:tr>
        <w:trPr>
          <w:tblHeader/>
        </w:trPr>
        <w:tc>
          <w:p>
            <w:r>
              <w:t xml:space="preserve">Book</w:t>
            </w:r>
          </w:p>
        </w:tc>
        <w:tc>
          <w:p>
            <w:r>
              <w:t xml:space="preserve">Occurrences</w:t>
            </w:r>
          </w:p>
        </w:tc>
        <w:tc>
          <w:p>
            <w:r>
              <w:t xml:space="preserve">Form</w:t>
            </w:r>
          </w:p>
        </w:tc>
      </w:tr>
      <w:tr>
        <w:tc>
          <w:p>
            <w:r>
              <w:t xml:space="preserve">Jeremiah</w:t>
            </w:r>
          </w:p>
        </w:tc>
        <w:tc>
          <w:p>
            <w:r>
              <w:t xml:space="preserve">7</w:t>
            </w:r>
          </w:p>
        </w:tc>
        <w:tc>
          <w:p>
            <w:r>
              <w:t xml:space="preserve">Full</w:t>
            </w:r>
          </w:p>
        </w:tc>
      </w:tr>
      <w:tr>
        <w:tc>
          <w:p>
            <w:r>
              <w:t xml:space="preserve">Ezekiel</w:t>
            </w:r>
          </w:p>
        </w:tc>
        <w:tc>
          <w:p>
            <w:r>
              <w:t xml:space="preserve">6</w:t>
            </w:r>
          </w:p>
        </w:tc>
        <w:tc>
          <w:p>
            <w:r>
              <w:t xml:space="preserve">Full</w:t>
            </w:r>
          </w:p>
        </w:tc>
      </w:tr>
      <w:tr>
        <w:tc>
          <w:p>
            <w:r>
              <w:t xml:space="preserve">Hosea</w:t>
            </w:r>
          </w:p>
        </w:tc>
        <w:tc>
          <w:p>
            <w:r>
              <w:t xml:space="preserve">1</w:t>
            </w:r>
          </w:p>
        </w:tc>
        <w:tc>
          <w:p>
            <w:r>
              <w:t xml:space="preserve">Reversed</w:t>
            </w:r>
          </w:p>
        </w:tc>
      </w:tr>
      <w:tr>
        <w:tc>
          <w:tcPr>
            <w:gridSpan w:val="3"/>
          </w:tcPr>
          <w:p>
            <w:r>
              <w:t xml:space="preserve">A note spanning the whole table</w:t>
            </w:r>
          </w:p>
        </w:tc>
      </w:tr>
    </w:tbl>
    <w:p>
      <w:r>
        <w:t xml:space="preserve">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w:t>
      </w:r>
    </w:p>
    <w:p>
      <w:r>
        <w:drawing>
          <wp:inline>
            <wp:extent cx="2057400" cy="1371600"/>
            <wp:docPr id="2" name="Picture 1"/>
            <a:graphic>
              <a:graphicData uri="http://schemas.openxmlformats.org/drawingml/2006/picture">
                <pic:pic>
                  <pic:nvPicPr/>
                  <pic:blipFill>
                    <a:blip r:embed="rIdImg1"/>
                  </pic:blipFill>
                </pic:pic>
              </a:graphicData>
            </a:graphic>
          </wp:inline>
        </w:drawing>
      </w:r>
    </w:p>
    <w:p>
      <w:pPr>
        <w:pStyle w:val="Caption"/>
      </w:pPr>
      <w:r>
        <w:t xml:space="preserve">Figure 1. A sample image.</w:t>
      </w:r>
    </w:p>
    <w:p>
      <w:pPr>
        <w:pStyle w:val="Heading3"/>
      </w:pPr>
      <w:r>
        <w:t xml:space="preserve">Later Echoes</w:t>
      </w:r>
    </w:p>
    <w:p>
      <w:r>
        <w:t xml:space="preserve">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w:t>
      </w:r>
      <w:r>
        <w:rPr>
          <w:rStyle w:val="FootnoteReference"/>
        </w:rPr>
        <w:footnoteReference w:id="4"/>
      </w:r>
    </w:p>
    <w:p>
      <w:pPr>
        <w:jc w:val="center"/>
      </w:pPr>
      <w:r>
        <w:t xml:space="preserve">* * *</w:t>
      </w:r>
    </w:p>
    <w:p>
      <w:r>
        <w:t xml:space="preserve">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w:t>
      </w:r>
    </w:p>
    <w:sectPr>
      <w:pgSz w:w="12240" w:h="15840"/>
      <w:pgMar w:top="1440" w:right="1440" w:bottom="1440" w:left="1440" w:header="720" w:footer="720" w:gutter="0"/>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footnote w:type="separator" w:id="-1">
    <w:p>
      <w:r>
        <w:separator/>
      </w:r>
    </w:p>
  </w:footnote>
  <w:footnote w:id="1">
    <w:p>
      <w:pPr>
        <w:pStyle w:val="FootnoteText"/>
      </w:pPr>
      <w:r>
        <w:t xml:space="preserve">See the commentary on Leviticus in </w:t>
      </w:r>
      <w:r>
        <w:rPr>
          <w:i/>
        </w:rPr>
        <w:t xml:space="preserve">The Anchor Bible</w:t>
      </w:r>
      <w:r>
        <w:t xml:space="preserve"> for the priestly setting.</w:t>
      </w:r>
    </w:p>
  </w:footnote>
  <w:footnote w:id="2">
    <w:p>
      <w:pPr>
        <w:pStyle w:val="FootnoteText"/>
      </w:pPr>
      <w:r>
        <w:t xml:space="preserve">On the Greek of John's prologue (</w:t>
      </w:r>
      <w:r>
        <w:t xml:space="preserve">Ἐν ἀρχῇ ἦν ὁ λόγος, </w:t>
      </w:r>
      <w:r>
        <w:t xml:space="preserve">), see </w:t>
      </w:r>
      <w:r>
        <w:rPr>
          <w:i/>
        </w:rPr>
        <w:t xml:space="preserve">A Grammar of New Testament Greek</w:t>
      </w:r>
      <w:r>
        <w:t xml:space="preserve">.</w:t>
      </w:r>
    </w:p>
  </w:footnote>
  <w:footnote w:id="3">
    <w:p>
      <w:pPr>
        <w:pStyle w:val="FootnoteText"/>
      </w:pPr>
      <w:r>
        <w:t xml:space="preserve">This note is long enough to run onto a second page if it falls near the foot.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w:t>
      </w:r>
    </w:p>
  </w:footnote>
  <w:footnote w:id="4">
    <w:p>
      <w:pPr>
        <w:pStyle w:val="FootnoteText"/>
      </w:pPr>
      <w:r>
        <w:t xml:space="preserve">Ibid.</w:t>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abstractNum w:abstractNumId="0">
    <w:lvl w:ilvl="0">
      <w:start w:val="1"/>
      <w:numFmt w:val="bullet"/>
      <w:lvlText w:val=""/>
    </w:lvl>
  </w:abstractNum>
  <w:abstractNum w:abstractNumId="1">
    <w:lvl w:ilvl="0">
      <w:start w:val="1"/>
      <w:numFmt w:val="decimal"/>
      <w:lvlText w:val="%1."/>
    </w:lvl>
    <w:lvl w:ilvl="1">
      <w:start w:val="1"/>
      <w:numFmt w:val="lowerLetter"/>
      <w:lvlText w:val="%2."/>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docDefaults>
    <w:rPrDefault>
      <w:rPr>
        <w:rFonts w:asciiTheme="minorHAnsi" w:hAnsiTheme="minorHAnsi"/>
        <w:sz w:val="24"/>
      </w:rPr>
    </w:rPrDefault>
  </w:docDefaults>
  <w:style w:type="paragraph" w:default="1" w:styleId="Normal">
    <w:name w:val="Normal"/>
    <w:qFormat/>
  </w:style>
  <w:style w:type="paragraph" w:styleId="Heading1">
    <w:name w:val="heading 1"/>
    <w:basedOn w:val="Normal"/>
    <w:link w:val="Heading1Char"/>
    <w:pPr>
      <w:keepNext/>
      <w:outlineLvl w:val="0"/>
    </w:pPr>
    <w:rPr>
      <w:rFonts w:asciiTheme="majorHAnsi" w:hAnsiTheme="majorHAnsi"/>
      <w:sz w:val="32"/>
    </w:rPr>
  </w:style>
  <w:style w:type="paragraph" w:styleId="Heading2">
    <w:name w:val="heading 2"/>
    <w:basedOn w:val="Normal"/>
    <w:pPr>
      <w:outlineLvl w:val="1"/>
    </w:pPr>
  </w:style>
  <w:style w:type="character" w:customStyle="1" w:styleId="Heading1Char">
    <w:name w:val="Heading 1 Char"/>
    <w:link w:val="Heading1"/>
  </w:style>
  <w:style w:type="paragraph" w:styleId="Title">
    <w:name w:val="Title"/>
    <w:basedOn w:val="Normal"/>
    <w:rPr>
      <w:sz w:val="56"/>
    </w:rPr>
  </w:style>
  <w:style w:type="paragraph" w:styleId="Subtitle">
    <w:name w:val="Subtitle"/>
    <w:basedOn w:val="Normal"/>
  </w:style>
  <w:style w:type="paragraph" w:styleId="Quote">
    <w:name w:val="Quote"/>
    <w:basedOn w:val="Normal"/>
    <w:pPr>
      <w:ind w:left="720"/>
    </w:pPr>
    <w:rPr>
      <w:sz w:val="22"/>
    </w:rPr>
  </w:style>
  <w:style w:type="paragraph" w:styleId="FootnoteText">
    <w:name w:val="footnote text"/>
    <w:basedOn w:val="Normal"/>
    <w:rPr>
      <w:sz w:val="20"/>
    </w:rPr>
  </w:style>
  <w:style w:type="character" w:styleId="FootnoteReference">
    <w:name w:val="footnote reference"/>
    <w:rPr>
      <w:vertAlign w:val="superscript"/>
    </w:rPr>
  </w:style>
  <w:style w:type="character" w:styleId="Emphasis">
    <w:name w:val="Emphasis"/>
    <w:rPr>
      <w:i/>
    </w:rPr>
  </w:style>
  <w:style w:type="paragraph" w:styleId="TOC1">
    <w:name w:val="toc 1"/>
    <w:basedOn w:val="Normal"/>
  </w:style>
  <w:style w:type="paragraph" w:customStyle="1" w:styleId="ChapterHead">
    <w:name w:val="Chapter Head"/>
    <w:basedOn w:val="Heading1"/>
  </w:style>
  <w:style w:type="paragraph" w:customStyle="1" w:styleId="Fancy">
    <w:name w:val="Fancy Para"/>
    <w:basedOn w:val="Normal"/>
  </w:style>
  <w:style w:type="paragraph" w:customStyle="1" w:styleId="PartTitle">
    <w:name w:val="Part Title"/>
    <w:pPr>
      <w:outlineLvl w:val="0"/>
    </w:pPr>
  </w:style>
  <w:style w:type="paragraph" w:customStyle="1" w:styleId="Epigraph">
    <w:name w:val="Epigraph"/>
    <w:basedOn w:val="Normal"/>
    <w:pPr>
      <w:jc w:val="center"/>
      <w:ind w:left="1440" w:right="1440"/>
    </w:pPr>
    <w:rPr>
      <w:i/>
      <w:sz w:val="20"/>
    </w:rPr>
  </w:style>
  <w:style w:type="character" w:customStyle="1" w:styleId="ScriptureRef">
    <w:name w:val="Scripture Ref"/>
    <w:rPr>
      <w:smallCaps/>
    </w:rPr>
  </w:style>
  <w:style w:type="paragraph" w:styleId="ListParagraph">
    <w:name w:val="List Paragraph"/>
    <w:basedOn w:val="Normal"/>
    <w:pPr>
      <w:ind w:left="720"/>
    </w:pPr>
  </w:style>
  <w:style w:type="paragraph" w:styleId="Caption">
    <w:name w:val="caption"/>
    <w:basedOn w:val="Normal"/>
    <w:rPr>
      <w:i/>
      <w:sz w:val="18"/>
    </w:rPr>
  </w:style>
  <w:style w:type="paragraph" w:styleId="Heading3">
    <w:name w:val="heading 3"/>
    <w:basedOn w:val="Normal"/>
    <w:pPr>
      <w:outlineLvl w:val="2"/>
    </w:pPr>
  </w:style>
</w:styles>
</file>

<file path=word/_rels/document.xml.rels><Relationships xmlns="http://schemas.openxmlformats.org/package/2006/relationships"><Relationship Id="rIdS" Type="http://schemas.openxmlformats.org/officeDocument/2006/relationships/styles" Target="styles.xml"/><Relationship Id="rIdT" Type="http://schemas.openxmlformats.org/officeDocument/2006/relationships/theme" Target="theme/theme1.xml"/><Relationship Id="rIdF" Type="http://schemas.openxmlformats.org/officeDocument/2006/relationships/footnotes" Target="footnotes.xml"/><Relationship Id="rIdImg1" Type="http://schemas.openxmlformats.org/officeDocument/2006/relationships/image" Target="media/image1.jpeg"/><Relationship Id="rIdN" Type="http://schemas.openxmlformats.org/officeDocument/2006/relationships/numbering" Target="numbering.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4472C4"/>
      </a:accent2>
      <a:accent3>
        <a:srgbClr val="4472C4"/>
      </a:accent3>
      <a:accent4>
        <a:srgbClr val="4472C4"/>
      </a:accent4>
      <a:accent5>
        <a:srgbClr val="4472C4"/>
      </a:accent5>
      <a:accent6>
        <a:srgbClr val="4472C4"/>
      </a:accent6>
      <a:hlink>
        <a:srgbClr val="0563C1"/>
      </a:hlink>
      <a:folHlink>
        <a:srgbClr val="954F72"/>
      </a:folHlink>
    </a:clrScheme>
    <a:fontScheme name="Office">
      <a:majorFont>
        <a:latin typeface="Calibri Light"/>
        <a:ea typeface=""/>
        <a:cs typeface=""/>
      </a:majorFont>
      <a:minorFont>
        <a:latin typeface="Calibri"/>
        <a:ea typeface=""/>
        <a:cs typeface=""/>
      </a:minorFont>
    </a:fontScheme>
  </a:themeElements>
</a:theme>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file>