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Default Extension="emf" ContentType="image/x-e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xmlns:mc="http://schemas.openxmlformats.org/markup-compatibility/2006" xmlns:wps="http://schemas.microsoft.com/office/word/2010/wordprocessingShape" xmlns:v="urn:schemas-microsoft-com:vml">
  <w:body>
    <w:p>
      <w:pPr>
        <w:pStyle w:val="Heading1"/>
      </w:pPr>
      <w:r>
        <w:t xml:space="preserve">Covenant and Community</w:t>
      </w:r>
    </w:p>
    <w:p>
      <w:r>
        <w:t xml:space="preserve">Readers in the early church heard these passages through the Greek translation. That translation smooths some difficulties of the Hebrew and sharpens others. A careful edition keeps both voices audible without forcing them into agreement. The apparatus at the foot of the page records where the witnesses part ways. Some of these differences are accidents of copying; others are deliberate. Distinguishing the two requires attention to the habits of each scribe. The argument of this chapter proceeds from the clearer cases to the harder ones. Office workers, affluent patrons and fifty-five official scribes all appear in the record. The covenant formula recurs throughout the prophets with small but telling changes. Each change of wording marks a shift in the relationship the text describes. Readers in the early church heard these passages through the Greek translation. That translation smooths some difficulties of the Hebrew and sharpens others. A careful edition keeps both voices audible without forcing them into agreement. The apparatus at the foot of the page records where the witnesses part ways. Some of these differences are accidents of copying; others are deliberate. Distinguishing the two requires attention to the habits of each scribe. The argument of this chapter proceeds from the clearer cases to the harder ones. Office workers, affluent patrons and fifty-five official scribes all appear in the record. The covenant formula recurs throughout the prophets with small but telling changes. Each change of wording marks a shift in the relationship the text describes. Readers in the early church heard these passages through the Greek translation. That translation smooths some difficulties of the Hebrew and sharpens others. A careful edition keeps both voices audible without forcing them into agreement. The apparatus at the foot of the page records where the witnesses part ways. Some of these differences are accidents of copying; others are deliberate.</w:t>
      </w:r>
      <w:r>
        <w:rPr>
          <w:rStyle w:val="FootnoteReference"/>
        </w:rPr>
        <w:footnoteReference w:id="1"/>
      </w:r>
    </w:p>
    <w:p>
      <w:pPr>
        <w:pStyle w:val="Quote"/>
      </w:pPr>
      <w:r>
        <w:t xml:space="preserve">A block quotation set off from the text, as a reader would expect in a book of this kind. That translation smooths some difficulties of the Hebrew and sharpens others. A careful edition keeps both voices audible without forcing them into agreement. The apparatus at the foot of the page records where the witnesses part ways. Some of these differences are accidents of copying; others are deliberate. Distinguishing the two requires attention to the habits of each scribe.</w:t>
      </w:r>
    </w:p>
    <w:p>
      <w:r>
        <w:t xml:space="preserve">A careful edition keeps both voices audible without forcing them into agreement. The apparatus at the foot of the page records where the witnesses part ways. Some of these differences are accidents of copying; others are deliberate. Distinguishing the two requires attention to the habits of each scribe. The argument of this chapter proceeds from the clearer cases to the harder ones. Office workers, affluent patrons and fifty-five official scribes all appear in the record. The covenant formula recurs throughout the prophets with small but telling changes. Each change of wording marks a shift in the relationship the text describes. Readers in the early church heard these passages through the Greek translation. That translation smooths some difficulties of the Hebrew and sharpens others. A careful edition keeps both voices audible without forcing them into agreement. The apparatus at the foot of the page records where the witnesses part ways. Some of these differences are accidents of copying; others are deliberate. Distinguishing the two requires attention to the habits of each scribe. The argument of this chapter proceeds from the clearer cases to the harder ones. Office workers, affluent patrons and fifty-five official scribes all appear in the record. The covenant formula recurs throughout the prophets with small but telling changes. Each change of wording marks a shift in the relationship the text describes. Readers in the early church heard these passages through the Greek translation. That translation smooths some difficulties of the Hebrew and sharpens others. A careful edition keeps both voices audible without forcing them into agreement.</w:t>
      </w:r>
      <w:r>
        <w:rPr>
          <w:rStyle w:val="FootnoteReference"/>
        </w:rPr>
        <w:footnoteReference w:id="2"/>
      </w:r>
    </w:p>
    <w:p>
      <w:pPr>
        <w:pStyle w:val="Heading1"/>
      </w:pPr>
      <w:r>
        <w:t xml:space="preserve">Bibliography</w:t>
      </w:r>
    </w:p>
    <w:p>
      <w:r>
        <w:t xml:space="preserve">Author, A. N. </w:t>
      </w:r>
      <w:r>
        <w:rPr>
          <w:i/>
        </w:rPr>
        <w:t xml:space="preserve">The Covenant in the Prophets</w:t>
      </w:r>
      <w:r>
        <w:t xml:space="preserve">. City: Press, 2020.</w:t>
      </w:r>
    </w:p>
    <w:p>
      <w:r>
        <w:t xml:space="preserve">Writer, B. </w:t>
      </w:r>
      <w:r>
        <w:rPr>
          <w:i/>
        </w:rPr>
        <w:t xml:space="preserve">Greek and Hebrew Together</w:t>
      </w:r>
      <w:r>
        <w:t xml:space="preserve">. City: Press, 2018.</w:t>
      </w:r>
    </w:p>
    <w:sectPr>
      <w:pgSz w:w="12240" w:h="15840"/>
      <w:pgMar w:top="1440" w:right="1440" w:bottom="1440" w:left="1440" w:header="720" w:footer="720" w:gutter="0"/>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xmlns:mc="http://schemas.openxmlformats.org/markup-compatibility/2006" xmlns:wps="http://schemas.microsoft.com/office/word/2010/wordprocessingShape" xmlns:v="urn:schemas-microsoft-com:vml">
  <w:footnote w:type="separator" w:id="-1">
    <w:p>
      <w:r>
        <w:separator/>
      </w:r>
    </w:p>
  </w:footnote>
  <w:footnote w:id="1">
    <w:p>
      <w:pPr>
        <w:pStyle w:val="FootnoteText"/>
      </w:pPr>
      <w:r>
        <w:t xml:space="preserve">Numbering restarts in each chapter.</w:t>
      </w:r>
    </w:p>
  </w:footnote>
  <w:footnote w:id="2">
    <w:p>
      <w:pPr>
        <w:pStyle w:val="FootnoteText"/>
      </w:pPr>
      <w:r>
        <w:t xml:space="preserve">A second note.</w:t>
      </w:r>
    </w:p>
  </w:footnote>
</w:footnote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xmlns:mc="http://schemas.openxmlformats.org/markup-compatibility/2006" xmlns:wps="http://schemas.microsoft.com/office/word/2010/wordprocessingShape" xmlns:v="urn:schemas-microsoft-com:vml">
  <w:docDefaults>
    <w:rPrDefault>
      <w:rPr>
        <w:rFonts w:asciiTheme="minorHAnsi" w:hAnsiTheme="minorHAnsi"/>
        <w:sz w:val="24"/>
      </w:rPr>
    </w:rPrDefault>
  </w:docDefaults>
  <w:style w:type="paragraph" w:default="1" w:styleId="Normal">
    <w:name w:val="Normal"/>
    <w:qFormat/>
  </w:style>
  <w:style w:type="paragraph" w:styleId="Heading1">
    <w:name w:val="heading 1"/>
    <w:basedOn w:val="Normal"/>
    <w:link w:val="Heading1Char"/>
    <w:pPr>
      <w:keepNext/>
      <w:outlineLvl w:val="0"/>
    </w:pPr>
    <w:rPr>
      <w:rFonts w:asciiTheme="majorHAnsi" w:hAnsiTheme="majorHAnsi"/>
      <w:sz w:val="32"/>
    </w:rPr>
  </w:style>
  <w:style w:type="paragraph" w:styleId="Heading2">
    <w:name w:val="heading 2"/>
    <w:basedOn w:val="Normal"/>
    <w:pPr>
      <w:outlineLvl w:val="1"/>
    </w:pPr>
  </w:style>
  <w:style w:type="character" w:customStyle="1" w:styleId="Heading1Char">
    <w:name w:val="Heading 1 Char"/>
    <w:link w:val="Heading1"/>
  </w:style>
  <w:style w:type="paragraph" w:styleId="Title">
    <w:name w:val="Title"/>
    <w:basedOn w:val="Normal"/>
    <w:rPr>
      <w:sz w:val="56"/>
    </w:rPr>
  </w:style>
  <w:style w:type="paragraph" w:styleId="Subtitle">
    <w:name w:val="Subtitle"/>
    <w:basedOn w:val="Normal"/>
  </w:style>
  <w:style w:type="paragraph" w:styleId="Quote">
    <w:name w:val="Quote"/>
    <w:basedOn w:val="Normal"/>
    <w:pPr>
      <w:ind w:left="720"/>
    </w:pPr>
    <w:rPr>
      <w:sz w:val="22"/>
    </w:rPr>
  </w:style>
  <w:style w:type="paragraph" w:styleId="FootnoteText">
    <w:name w:val="footnote text"/>
    <w:basedOn w:val="Normal"/>
    <w:rPr>
      <w:sz w:val="20"/>
    </w:rPr>
  </w:style>
  <w:style w:type="character" w:styleId="FootnoteReference">
    <w:name w:val="footnote reference"/>
    <w:rPr>
      <w:vertAlign w:val="superscript"/>
    </w:rPr>
  </w:style>
  <w:style w:type="character" w:styleId="Emphasis">
    <w:name w:val="Emphasis"/>
    <w:rPr>
      <w:i/>
    </w:rPr>
  </w:style>
  <w:style w:type="paragraph" w:styleId="TOC1">
    <w:name w:val="toc 1"/>
    <w:basedOn w:val="Normal"/>
  </w:style>
  <w:style w:type="paragraph" w:customStyle="1" w:styleId="ChapterHead">
    <w:name w:val="Chapter Head"/>
    <w:basedOn w:val="Heading1"/>
  </w:style>
  <w:style w:type="paragraph" w:customStyle="1" w:styleId="Fancy">
    <w:name w:val="Fancy Para"/>
    <w:basedOn w:val="Normal"/>
  </w:style>
  <w:style w:type="paragraph" w:customStyle="1" w:styleId="PartTitle">
    <w:name w:val="Part Title"/>
    <w:pPr>
      <w:outlineLvl w:val="0"/>
    </w:pPr>
  </w:style>
  <w:style w:type="paragraph" w:customStyle="1" w:styleId="Epigraph">
    <w:name w:val="Epigraph"/>
    <w:basedOn w:val="Normal"/>
    <w:pPr>
      <w:jc w:val="center"/>
      <w:ind w:left="1440" w:right="1440"/>
    </w:pPr>
    <w:rPr>
      <w:i/>
      <w:sz w:val="20"/>
    </w:rPr>
  </w:style>
  <w:style w:type="character" w:customStyle="1" w:styleId="ScriptureRef">
    <w:name w:val="Scripture Ref"/>
    <w:rPr>
      <w:smallCaps/>
    </w:rPr>
  </w:style>
  <w:style w:type="paragraph" w:styleId="ListParagraph">
    <w:name w:val="List Paragraph"/>
    <w:basedOn w:val="Normal"/>
    <w:pPr>
      <w:ind w:left="720"/>
    </w:pPr>
  </w:style>
  <w:style w:type="paragraph" w:styleId="Caption">
    <w:name w:val="caption"/>
    <w:basedOn w:val="Normal"/>
    <w:rPr>
      <w:i/>
      <w:sz w:val="18"/>
    </w:rPr>
  </w:style>
  <w:style w:type="paragraph" w:styleId="Heading3">
    <w:name w:val="heading 3"/>
    <w:basedOn w:val="Normal"/>
    <w:pPr>
      <w:outlineLvl w:val="2"/>
    </w:pPr>
  </w:style>
</w:styles>
</file>

<file path=word/_rels/document.xml.rels><Relationships xmlns="http://schemas.openxmlformats.org/package/2006/relationships"><Relationship Id="rIdS" Type="http://schemas.openxmlformats.org/officeDocument/2006/relationships/styles" Target="styles.xml"/><Relationship Id="rIdT" Type="http://schemas.openxmlformats.org/officeDocument/2006/relationships/theme" Target="theme/theme1.xml"/><Relationship Id="rIdF"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4472C4"/>
      </a:accent2>
      <a:accent3>
        <a:srgbClr val="4472C4"/>
      </a:accent3>
      <a:accent4>
        <a:srgbClr val="4472C4"/>
      </a:accent4>
      <a:accent5>
        <a:srgbClr val="4472C4"/>
      </a:accent5>
      <a:accent6>
        <a:srgbClr val="4472C4"/>
      </a:accent6>
      <a:hlink>
        <a:srgbClr val="0563C1"/>
      </a:hlink>
      <a:folHlink>
        <a:srgbClr val="954F72"/>
      </a:folHlink>
    </a:clrScheme>
    <a:fontScheme name="Office">
      <a:majorFont>
        <a:latin typeface="Calibri Light"/>
        <a:ea typeface=""/>
        <a:cs typeface=""/>
      </a:majorFont>
      <a:minorFont>
        <a:latin typeface="Calibri"/>
        <a:ea typeface=""/>
        <a:cs typeface=""/>
      </a:minorFont>
    </a:fontScheme>
  </a:themeElements>
</a:theme>
</file>

<file path=docProps/app.xml><?xml version="1.0" encoding="utf-8"?>
<Properties xmlns="http://schemas.openxmlformats.org/officeDocument/2006/extended-properties"/>
</file>

<file path=docProps/core.xml><?xml version="1.0" encoding="utf-8"?>
<cp:coreProperties xmlns:cp="http://schemas.openxmlformats.org/package/2006/metadata/core-properties" xmlns:dc="http://purl.org/dc/elements/1.1/"/>
</file>