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Default Extension="emf" ContentType="image/x-e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notes.xml" ContentType="application/vnd.openxmlformats-officedocument.wordprocessingml.footnotes+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xmlns:mc="http://schemas.openxmlformats.org/markup-compatibility/2006" xmlns:wps="http://schemas.microsoft.com/office/word/2010/wordprocessingShape" xmlns:v="urn:schemas-microsoft-com:vml">
  <w:body>
    <w:p>
      <w:pPr>
        <w:pStyle w:val="Heading1"/>
      </w:pPr>
      <w:r>
        <w:t xml:space="preserve">The Formula in the Prophets</w:t>
      </w:r>
    </w:p>
    <w:p>
      <w:pPr>
        <w:pStyle w:val="Epigraph"/>
      </w:pPr>
      <w:r>
        <w:t xml:space="preserve">I will be their God, and they shall be my people.</w:t>
      </w:r>
    </w:p>
    <w:p>
      <w:r>
        <w:t xml:space="preserve">The covenant formula recurs throughout the prophets with small but telling changes. Each change of wording marks a shift in the relationship the text describes. Readers in the early church heard these passages through the Greek translation. That translation smooths some difficulties of the Hebrew and sharpens others. A careful edition keeps both voices audible without forcing them into agreement. The apparatus at the foot of the page records where the witnesses part ways. Some of these differences are accidents of copying; others are deliberate. Distinguishing the two requires attention to the habits of each scribe. The formula first appears in </w:t>
      </w:r>
      <w:r>
        <w:rPr>
          <w:rStyle w:val="ScriptureRef"/>
        </w:rPr>
        <w:t xml:space="preserve">Lev 26:12</w:t>
      </w:r>
      <w:r>
        <w:t xml:space="preserve">.</w:t>
      </w:r>
      <w:r>
        <w:rPr>
          <w:rStyle w:val="FootnoteReference"/>
        </w:rPr>
        <w:footnoteReference w:id="1"/>
      </w:r>
      <w:r>
        <w:t xml:space="preserve"> Each change of wording marks a shift in the relationship the text describes. Readers in the early church heard these passages through the Greek translation. That translation smooths some difficulties of the Hebrew and sharpens others. A careful edition keeps both voices audible without forcing them into agreement. The apparatus at the foot of the page records where the witnesses part ways.</w:t>
      </w:r>
    </w:p>
    <w:p>
      <w:r>
        <w:t xml:space="preserve">Genesis 1:1 reads </w:t>
      </w:r>
      <w:r>
        <w:rPr>
          <w:rtl/>
        </w:rPr>
        <w:t xml:space="preserve">בְּרֵאשִׁ֖ית בָּרָ֣א אֱלֹהִ֑ים אֵ֥ת הַשָּׁמַ֖יִם וְאֵ֥ת הָאָֽרֶץ׃</w:t>
      </w:r>
      <w:r>
        <w:t xml:space="preserve"> (unpointed: </w:t>
      </w:r>
      <w:r>
        <w:rPr>
          <w:rtl/>
        </w:rPr>
        <w:t xml:space="preserve">בראשית ברא אלהים</w:t>
      </w:r>
      <w:r>
        <w:t xml:space="preserve">), and John 1:1 reads </w:t>
      </w:r>
      <w:r>
        <w:t xml:space="preserve">Ἐν ἀρχῇ ἦν ὁ λόγος, καὶ ὁ λόγος ἦν πρὸς τὸν θεόν, καὶ θεὸς ἦν ὁ λόγος.</w:t>
      </w:r>
      <w:r>
        <w:t xml:space="preserve"> Readers in the early church heard these passages through the Greek translation. That translation smooths some difficulties of the Hebrew and sharpens others. A careful edition keeps both voices audible without forcing them into agreement. The apparatus at the foot of the page records where the witnesses part ways.</w:t>
      </w:r>
      <w:r>
        <w:rPr>
          <w:rStyle w:val="FootnoteReference"/>
        </w:rPr>
        <w:footnoteReference w:id="2"/>
      </w:r>
    </w:p>
    <w:p>
      <w:pPr>
        <w:pStyle w:val="Heading2"/>
      </w:pPr>
      <w:r>
        <w:t xml:space="preserve">Jeremiah</w:t>
      </w:r>
    </w:p>
    <w:p>
      <w:r>
        <w:t xml:space="preserve">That translation smooths some difficulties of the Hebrew and sharpens others. A careful edition keeps both voices audible without forcing them into agreement. The apparatus at the foot of the page records where the witnesses part ways. Some of these differences are accidents of copying; others are deliberate. Distinguishing the two requires attention to the habits of each scribe. The argument of this chapter proceeds from the clearer cases to the harder ones. Office workers, affluent patrons and fifty-five official scribes all appear in the record. The covenant formula recurs throughout the prophets with small but telling changes. Each change of wording marks a shift in the relationship the text describes. Readers in the early church heard these passages through the Greek translation. Some words are </w:t>
      </w:r>
      <w:r>
        <w:rPr>
          <w:b/>
        </w:rPr>
        <w:t xml:space="preserve">bold</w:t>
      </w:r>
      <w:r>
        <w:t xml:space="preserve">, some </w:t>
      </w:r>
      <w:r>
        <w:rPr>
          <w:smallCaps/>
        </w:rPr>
        <w:t xml:space="preserve">small capitals</w:t>
      </w:r>
      <w:r>
        <w:t xml:space="preserve">, and a superscript</w:t>
      </w:r>
      <w:r>
        <w:rPr>
          <w:vertAlign w:val="superscript"/>
        </w:rPr>
        <w:t xml:space="preserve">2</w:t>
      </w:r>
      <w:r>
        <w:t xml:space="preserve">.</w:t>
      </w:r>
      <w:r>
        <w:rPr>
          <w:rStyle w:val="FootnoteReference"/>
        </w:rPr>
        <w:footnoteReference w:id="3"/>
      </w:r>
    </w:p>
    <w:p>
      <w:r>
        <w:t xml:space="preserve">Three points follow:</w:t>
      </w:r>
    </w:p>
    <w:p>
      <w:pPr>
        <w:pStyle w:val="ListParagraph"/>
        <w:numPr>
          <w:ilvl w:val="0"/>
          <w:numId w:val="2"/>
        </w:numPr>
      </w:pPr>
      <w:r>
        <w:t xml:space="preserve">The formula is covenantal.</w:t>
      </w:r>
    </w:p>
    <w:p>
      <w:pPr>
        <w:pStyle w:val="ListParagraph"/>
        <w:numPr>
          <w:ilvl w:val="0"/>
          <w:numId w:val="2"/>
        </w:numPr>
      </w:pPr>
      <w:r>
        <w:t xml:space="preserve">It has two halves.</w:t>
      </w:r>
    </w:p>
    <w:p>
      <w:pPr>
        <w:pStyle w:val="ListParagraph"/>
        <w:numPr>
          <w:ilvl w:val="1"/>
          <w:numId w:val="2"/>
        </w:numPr>
      </w:pPr>
      <w:r>
        <w:t xml:space="preserve">God speaks first.</w:t>
      </w:r>
    </w:p>
    <w:p>
      <w:pPr>
        <w:pStyle w:val="ListParagraph"/>
        <w:numPr>
          <w:ilvl w:val="1"/>
          <w:numId w:val="2"/>
        </w:numPr>
      </w:pPr>
      <w:r>
        <w:t xml:space="preserve">The people answer.</w:t>
      </w:r>
    </w:p>
    <w:p>
      <w:pPr>
        <w:pStyle w:val="ListParagraph"/>
        <w:numPr>
          <w:ilvl w:val="0"/>
          <w:numId w:val="2"/>
        </w:numPr>
      </w:pPr>
      <w:r>
        <w:t xml:space="preserve">It recurs in Ezekiel.</w:t>
      </w:r>
    </w:p>
    <w:p>
      <w:pPr>
        <w:pStyle w:val="Heading2"/>
      </w:pPr>
      <w:r>
        <w:t xml:space="preserve">Ezekiel</w:t>
      </w:r>
    </w:p>
    <w:p>
      <w:r>
        <w:t xml:space="preserve">A careful edition keeps both voices audible without forcing them into agreement. The apparatus at the foot of the page records where the witnesses part ways. Some of these differences are accidents of copying; others are deliberate. Distinguishing the two requires attention to the habits of each scribe. The argument of this chapter proceeds from the clearer cases to the harder ones. Office workers, affluent patrons and fifty-five official scribes all appear in the record. The covenant formula recurs throughout the prophets with small but telling changes. Each change of wording marks a shift in the relationship the text describes. Readers in the early church heard these passages through the Greek translation. That translation smooths some difficulties of the Hebrew and sharpens others. A careful edition keeps both voices audible without forcing them into agreement. The apparatus at the foot of the page records where the witnesses part ways. Some of these differences are accidents of copying; others are deliberate.</w:t>
      </w:r>
    </w:p>
    <w:tbl>
      <w:tblPr/>
      <w:tblGrid>
        <w:gridCol w:w="3000"/>
        <w:gridCol w:w="2000"/>
        <w:gridCol w:w="2500"/>
      </w:tblGrid>
      <w:tr>
        <w:trPr>
          <w:tblHeader/>
        </w:trPr>
        <w:tc>
          <w:p>
            <w:r>
              <w:t xml:space="preserve">Book</w:t>
            </w:r>
          </w:p>
        </w:tc>
        <w:tc>
          <w:p>
            <w:r>
              <w:t xml:space="preserve">Occurrences</w:t>
            </w:r>
          </w:p>
        </w:tc>
        <w:tc>
          <w:p>
            <w:r>
              <w:t xml:space="preserve">Form</w:t>
            </w:r>
          </w:p>
        </w:tc>
      </w:tr>
      <w:tr>
        <w:tc>
          <w:p>
            <w:r>
              <w:t xml:space="preserve">Jeremiah</w:t>
            </w:r>
          </w:p>
        </w:tc>
        <w:tc>
          <w:p>
            <w:r>
              <w:t xml:space="preserve">7</w:t>
            </w:r>
          </w:p>
        </w:tc>
        <w:tc>
          <w:p>
            <w:r>
              <w:t xml:space="preserve">Full</w:t>
            </w:r>
          </w:p>
        </w:tc>
      </w:tr>
      <w:tr>
        <w:tc>
          <w:p>
            <w:r>
              <w:t xml:space="preserve">Ezekiel</w:t>
            </w:r>
          </w:p>
        </w:tc>
        <w:tc>
          <w:p>
            <w:r>
              <w:t xml:space="preserve">6</w:t>
            </w:r>
          </w:p>
        </w:tc>
        <w:tc>
          <w:p>
            <w:r>
              <w:t xml:space="preserve">Full</w:t>
            </w:r>
          </w:p>
        </w:tc>
      </w:tr>
      <w:tr>
        <w:tc>
          <w:p>
            <w:r>
              <w:t xml:space="preserve">Hosea</w:t>
            </w:r>
          </w:p>
        </w:tc>
        <w:tc>
          <w:p>
            <w:r>
              <w:t xml:space="preserve">1</w:t>
            </w:r>
          </w:p>
        </w:tc>
        <w:tc>
          <w:p>
            <w:r>
              <w:t xml:space="preserve">Reversed</w:t>
            </w:r>
          </w:p>
        </w:tc>
      </w:tr>
      <w:tr>
        <w:tc>
          <w:tcPr>
            <w:gridSpan w:val="3"/>
          </w:tcPr>
          <w:p>
            <w:r>
              <w:t xml:space="preserve">A note spanning the whole table</w:t>
            </w:r>
          </w:p>
        </w:tc>
      </w:tr>
    </w:tbl>
    <w:p>
      <w:r>
        <w:t xml:space="preserve">The apparatus at the foot of the page records where the witnesses part ways. Some of these differences are accidents of copying; others are deliberate. Distinguishing the two requires attention to the habits of each scribe. The argument of this chapter proceeds from the clearer cases to the harder ones. Office workers, affluent patrons and fifty-five official scribes all appear in the record. The covenant formula recurs throughout the prophets with small but telling changes. Each change of wording marks a shift in the relationship the text describes.</w:t>
      </w:r>
    </w:p>
    <w:p>
      <w:r>
        <w:drawing>
          <wp:inline>
            <wp:extent cx="2057400" cy="1371600"/>
            <wp:docPr id="2" name="Picture 1"/>
            <a:graphic>
              <a:graphicData uri="http://schemas.openxmlformats.org/drawingml/2006/picture">
                <pic:pic>
                  <pic:nvPicPr/>
                  <pic:blipFill>
                    <a:blip r:embed="rIdImg1"/>
                  </pic:blipFill>
                </pic:pic>
              </a:graphicData>
            </a:graphic>
          </wp:inline>
        </w:drawing>
      </w:r>
    </w:p>
    <w:p>
      <w:pPr>
        <w:pStyle w:val="Caption"/>
      </w:pPr>
      <w:r>
        <w:t xml:space="preserve">Figure 1. A sample image.</w:t>
      </w:r>
    </w:p>
    <w:p>
      <w:pPr>
        <w:pStyle w:val="Heading3"/>
      </w:pPr>
      <w:r>
        <w:t xml:space="preserve">Later Echoes</w:t>
      </w:r>
    </w:p>
    <w:p>
      <w:r>
        <w:t xml:space="preserve">Some of these differences are accidents of copying; others are deliberate. Distinguishing the two requires attention to the habits of each scribe. The argument of this chapter proceeds from the clearer cases to the harder ones. Office workers, affluent patrons and fifty-five official scribes all appear in the record. The covenant formula recurs throughout the prophets with small but telling changes. Each change of wording marks a shift in the relationship the text describes. Readers in the early church heard these passages through the Greek translation. That translation smooths some difficulties of the Hebrew and sharpens others. A careful edition keeps both voices audible without forcing them into agreement. The apparatus at the foot of the page records where the witnesses part ways. Some of these differences are accidents of copying; others are deliberate. Distinguishing the two requires attention to the habits of each scribe. The argument of this chapter proceeds from the clearer cases to the harder ones. Office workers, affluent patrons and fifty-five official scribes all appear in the record. The covenant formula recurs throughout the prophets with small but telling changes. Each change of wording marks a shift in the relationship the text describes. Readers in the early church heard these passages through the Greek translation.</w:t>
      </w:r>
      <w:r>
        <w:rPr>
          <w:rStyle w:val="FootnoteReference"/>
        </w:rPr>
        <w:footnoteReference w:id="4"/>
      </w:r>
    </w:p>
    <w:p>
      <w:pPr>
        <w:jc w:val="center"/>
      </w:pPr>
      <w:r>
        <w:t xml:space="preserve">* * *</w:t>
      </w:r>
    </w:p>
    <w:p>
      <w:r>
        <w:t xml:space="preserve">Distinguishing the two requires attention to the habits of each scribe. The argument of this chapter proceeds from the clearer cases to the harder ones. Office workers, affluent patrons and fifty-five official scribes all appear in the record. The covenant formula recurs throughout the prophets with small but telling changes. Each change of wording marks a shift in the relationship the text describes. Readers in the early church heard these passages through the Greek translation. That translation smooths some difficulties of the Hebrew and sharpens others. A careful edition keeps both voices audible without forcing them into agreement. The apparatus at the foot of the page records where the witnesses part ways. Some of these differences are accidents of copying; others are deliberate. Distinguishing the two requires attention to the habits of each scribe. The argument of this chapter proceeds from the clearer cases to the harder ones. Office workers, affluent patrons and fifty-five official scribes all appear in the record.</w:t>
      </w:r>
    </w:p>
    <w:sectPr>
      <w:pgSz w:w="12240" w:h="15840"/>
      <w:pgMar w:top="1440" w:right="1440" w:bottom="1440" w:left="1440" w:header="720" w:footer="720" w:gutter="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xmlns:mc="http://schemas.openxmlformats.org/markup-compatibility/2006" xmlns:wps="http://schemas.microsoft.com/office/word/2010/wordprocessingShape" xmlns:v="urn:schemas-microsoft-com:vml">
  <w:footnote w:type="separator" w:id="-1">
    <w:p>
      <w:r>
        <w:separator/>
      </w:r>
    </w:p>
  </w:footnote>
  <w:footnote w:id="1">
    <w:p>
      <w:pPr>
        <w:pStyle w:val="FootnoteText"/>
      </w:pPr>
      <w:r>
        <w:t xml:space="preserve">See the commentary on Leviticus in </w:t>
      </w:r>
      <w:r>
        <w:rPr>
          <w:i/>
        </w:rPr>
        <w:t xml:space="preserve">The Anchor Bible</w:t>
      </w:r>
      <w:r>
        <w:t xml:space="preserve"> for the priestly setting.</w:t>
      </w:r>
    </w:p>
  </w:footnote>
  <w:footnote w:id="2">
    <w:p>
      <w:pPr>
        <w:pStyle w:val="FootnoteText"/>
      </w:pPr>
      <w:r>
        <w:t xml:space="preserve">On the Greek of John's prologue (</w:t>
      </w:r>
      <w:r>
        <w:t xml:space="preserve">Ἐν ἀρχῇ ἦν ὁ λόγος, </w:t>
      </w:r>
      <w:r>
        <w:t xml:space="preserve">), see </w:t>
      </w:r>
      <w:r>
        <w:rPr>
          <w:i/>
        </w:rPr>
        <w:t xml:space="preserve">A Grammar of New Testament Greek</w:t>
      </w:r>
      <w:r>
        <w:t xml:space="preserve">.</w:t>
      </w:r>
    </w:p>
  </w:footnote>
  <w:footnote w:id="3">
    <w:p>
      <w:pPr>
        <w:pStyle w:val="FootnoteText"/>
      </w:pPr>
      <w:r>
        <w:t xml:space="preserve">This note is long enough to run onto a second page if it falls near the foot. The argument of this chapter proceeds from the clearer cases to the harder ones. Office workers, affluent patrons and fifty-five official scribes all appear in the record. The covenant formula recurs throughout the prophets with small but telling changes. Each change of wording marks a shift in the relationship the text describes. Readers in the early church heard these passages through the Greek translation. That translation smooths some difficulties of the Hebrew and sharpens others. A careful edition keeps both voices audible without forcing them into agreement. The apparatus at the foot of the page records where the witnesses part ways. Some of these differences are accidents of copying; others are deliberate. Distinguishing the two requires attention to the habits of each scribe.</w:t>
      </w:r>
    </w:p>
  </w:footnote>
  <w:footnote w:id="4">
    <w:p>
      <w:pPr>
        <w:pStyle w:val="FootnoteText"/>
      </w:pPr>
      <w:r>
        <w:t xml:space="preserve">Ibid.</w:t>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xmlns:mc="http://schemas.openxmlformats.org/markup-compatibility/2006" xmlns:wps="http://schemas.microsoft.com/office/word/2010/wordprocessingShape" xmlns:v="urn:schemas-microsoft-com:vml">
  <w:abstractNum w:abstractNumId="0">
    <w:lvl w:ilvl="0">
      <w:start w:val="1"/>
      <w:numFmt w:val="bullet"/>
      <w:lvlText w:val=""/>
    </w:lvl>
  </w:abstractNum>
  <w:abstractNum w:abstractNumId="1">
    <w:lvl w:ilvl="0">
      <w:start w:val="1"/>
      <w:numFmt w:val="decimal"/>
      <w:lvlText w:val="%1."/>
    </w:lvl>
    <w:lvl w:ilvl="1">
      <w:start w:val="1"/>
      <w:numFmt w:val="lowerLetter"/>
      <w:lvlText w:val="%2."/>
    </w:lvl>
  </w:abstractNum>
  <w:num w:numId="1">
    <w:abstractNumId w:val="0"/>
  </w:num>
  <w:num w:numId="2">
    <w:abstractNumId w:val="1"/>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xmlns:mc="http://schemas.openxmlformats.org/markup-compatibility/2006" xmlns:wps="http://schemas.microsoft.com/office/word/2010/wordprocessingShape" xmlns:v="urn:schemas-microsoft-com:vml">
  <w:docDefaults>
    <w:rPrDefault>
      <w:rPr>
        <w:rFonts w:asciiTheme="minorHAnsi" w:hAnsiTheme="minorHAnsi"/>
        <w:sz w:val="24"/>
      </w:rPr>
    </w:rPrDefault>
  </w:docDefaults>
  <w:style w:type="paragraph" w:default="1" w:styleId="Normal">
    <w:name w:val="Normal"/>
    <w:qFormat/>
  </w:style>
  <w:style w:type="paragraph" w:styleId="Heading1">
    <w:name w:val="heading 1"/>
    <w:basedOn w:val="Normal"/>
    <w:link w:val="Heading1Char"/>
    <w:pPr>
      <w:keepNext/>
      <w:outlineLvl w:val="0"/>
    </w:pPr>
    <w:rPr>
      <w:rFonts w:asciiTheme="majorHAnsi" w:hAnsiTheme="majorHAnsi"/>
      <w:sz w:val="32"/>
    </w:rPr>
  </w:style>
  <w:style w:type="paragraph" w:styleId="Heading2">
    <w:name w:val="heading 2"/>
    <w:basedOn w:val="Normal"/>
    <w:pPr>
      <w:outlineLvl w:val="1"/>
    </w:pPr>
  </w:style>
  <w:style w:type="character" w:customStyle="1" w:styleId="Heading1Char">
    <w:name w:val="Heading 1 Char"/>
    <w:link w:val="Heading1"/>
  </w:style>
  <w:style w:type="paragraph" w:styleId="Title">
    <w:name w:val="Title"/>
    <w:basedOn w:val="Normal"/>
    <w:rPr>
      <w:sz w:val="56"/>
    </w:rPr>
  </w:style>
  <w:style w:type="paragraph" w:styleId="Subtitle">
    <w:name w:val="Subtitle"/>
    <w:basedOn w:val="Normal"/>
  </w:style>
  <w:style w:type="paragraph" w:styleId="Quote">
    <w:name w:val="Quote"/>
    <w:basedOn w:val="Normal"/>
    <w:pPr>
      <w:ind w:left="720"/>
    </w:pPr>
    <w:rPr>
      <w:sz w:val="22"/>
    </w:rPr>
  </w:style>
  <w:style w:type="paragraph" w:styleId="FootnoteText">
    <w:name w:val="footnote text"/>
    <w:basedOn w:val="Normal"/>
    <w:rPr>
      <w:sz w:val="20"/>
    </w:rPr>
  </w:style>
  <w:style w:type="character" w:styleId="FootnoteReference">
    <w:name w:val="footnote reference"/>
    <w:rPr>
      <w:vertAlign w:val="superscript"/>
    </w:rPr>
  </w:style>
  <w:style w:type="character" w:styleId="Emphasis">
    <w:name w:val="Emphasis"/>
    <w:rPr>
      <w:i/>
    </w:rPr>
  </w:style>
  <w:style w:type="paragraph" w:styleId="TOC1">
    <w:name w:val="toc 1"/>
    <w:basedOn w:val="Normal"/>
  </w:style>
  <w:style w:type="paragraph" w:customStyle="1" w:styleId="ChapterHead">
    <w:name w:val="Chapter Head"/>
    <w:basedOn w:val="Heading1"/>
  </w:style>
  <w:style w:type="paragraph" w:customStyle="1" w:styleId="Fancy">
    <w:name w:val="Fancy Para"/>
    <w:basedOn w:val="Normal"/>
  </w:style>
  <w:style w:type="paragraph" w:customStyle="1" w:styleId="PartTitle">
    <w:name w:val="Part Title"/>
    <w:pPr>
      <w:outlineLvl w:val="0"/>
    </w:pPr>
  </w:style>
  <w:style w:type="paragraph" w:customStyle="1" w:styleId="Epigraph">
    <w:name w:val="Epigraph"/>
    <w:basedOn w:val="Normal"/>
    <w:pPr>
      <w:jc w:val="center"/>
      <w:ind w:left="1440" w:right="1440"/>
    </w:pPr>
    <w:rPr>
      <w:i/>
      <w:sz w:val="20"/>
    </w:rPr>
  </w:style>
  <w:style w:type="character" w:customStyle="1" w:styleId="ScriptureRef">
    <w:name w:val="Scripture Ref"/>
    <w:rPr>
      <w:smallCaps/>
    </w:rPr>
  </w:style>
  <w:style w:type="paragraph" w:styleId="ListParagraph">
    <w:name w:val="List Paragraph"/>
    <w:basedOn w:val="Normal"/>
    <w:pPr>
      <w:ind w:left="720"/>
    </w:pPr>
  </w:style>
  <w:style w:type="paragraph" w:styleId="Caption">
    <w:name w:val="caption"/>
    <w:basedOn w:val="Normal"/>
    <w:rPr>
      <w:i/>
      <w:sz w:val="18"/>
    </w:rPr>
  </w:style>
  <w:style w:type="paragraph" w:styleId="Heading3">
    <w:name w:val="heading 3"/>
    <w:basedOn w:val="Normal"/>
    <w:pPr>
      <w:outlineLvl w:val="2"/>
    </w:pPr>
  </w:style>
</w:styles>
</file>

<file path=word/_rels/document.xml.rels><Relationships xmlns="http://schemas.openxmlformats.org/package/2006/relationships"><Relationship Id="rIdS" Type="http://schemas.openxmlformats.org/officeDocument/2006/relationships/styles" Target="styles.xml"/><Relationship Id="rIdT" Type="http://schemas.openxmlformats.org/officeDocument/2006/relationships/theme" Target="theme/theme1.xml"/><Relationship Id="rIdF" Type="http://schemas.openxmlformats.org/officeDocument/2006/relationships/footnotes" Target="footnotes.xml"/><Relationship Id="rIdImg1" Type="http://schemas.openxmlformats.org/officeDocument/2006/relationships/image" Target="media/image1.jpeg"/><Relationship Id="rIdN"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4472C4"/>
      </a:accent2>
      <a:accent3>
        <a:srgbClr val="4472C4"/>
      </a:accent3>
      <a:accent4>
        <a:srgbClr val="4472C4"/>
      </a:accent4>
      <a:accent5>
        <a:srgbClr val="4472C4"/>
      </a:accent5>
      <a:accent6>
        <a:srgbClr val="4472C4"/>
      </a:accent6>
      <a:hlink>
        <a:srgbClr val="0563C1"/>
      </a:hlink>
      <a:folHlink>
        <a:srgbClr val="954F72"/>
      </a:folHlink>
    </a:clrScheme>
    <a:fontScheme name="Office">
      <a:majorFont>
        <a:latin typeface="Calibri Light"/>
        <a:ea typeface=""/>
        <a:cs typeface=""/>
      </a:majorFont>
      <a:minorFont>
        <a:latin typeface="Calibri"/>
        <a:ea typeface=""/>
        <a:cs typeface=""/>
      </a:minorFont>
    </a:fontScheme>
  </a:themeElements>
</a:theme>
</file>

<file path=docProps/app.xml><?xml version="1.0" encoding="utf-8"?>
<Properties xmlns="http://schemas.openxmlformats.org/officeDocument/2006/extended-properties"/>
</file>

<file path=docProps/core.xml><?xml version="1.0" encoding="utf-8"?>
<cp:coreProperties xmlns:cp="http://schemas.openxmlformats.org/package/2006/metadata/core-properties" xmlns:dc="http://purl.org/dc/elements/1.1/"/>
</file>