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HYRA洪水工作台</w:t>
      </w:r>
    </w:p>
    <w:p>
      <w:pPr>
        <w:pStyle w:val="Subtitle"/>
      </w:pPr>
      <w:r>
        <w:t>Merewether对照实验结果报告</w:t>
      </w:r>
    </w:p>
    <w:p>
      <w:r>
        <w:rPr>
          <w:b w:val="0"/>
        </w:rPr>
        <w:t>报告日期：2026-10-23。实验完成日期：2026-10-20；输入及边界核验补充于2026-10-23。本报告汇总已有实验，未新增全域模拟。五组结果均重新根据归档40点数据核算流速RMSE，与原记录一致。</w:t>
      </w:r>
    </w:p>
    <w:p>
      <w:pPr>
        <w:pStyle w:val="Heading1"/>
      </w:pPr>
      <w:r>
        <w:t>结论</w:t>
      </w:r>
    </w:p>
    <w:p>
      <w:r>
        <w:rPr>
          <w:b w:val="0"/>
        </w:rPr>
      </w:r>
      <w:r>
        <w:rPr>
          <w:b/>
        </w:rPr>
        <w:t>工作台已完成与独立物理实验观测的对照，但当前结果尚不足以支持“已通过现实洪水精度验证”。</w:t>
      </w:r>
      <w:r>
        <w:rPr>
          <w:b w:val="0"/>
        </w:rPr>
        <w:t>地面与障碍分层后，最大流速RMSE由0.738降至0.659 m/s，改善10.7%；40个测点中25个的绝对速度误差减小。局部持续过快、方向偏差和漏淹仍然存在。</w:t>
      </w:r>
    </w:p>
    <w:p>
      <w:r>
        <w:rPr>
          <w:b w:val="0"/>
        </w:rPr>
        <w:t>本案例使用Merewether真实地点的缩尺物理模型实验资料，以恒定估计峰值流量驱动。它检验的是固定来水下的最大流速与局部流路，</w:t>
      </w:r>
      <w:r>
        <w:rPr>
          <w:b/>
        </w:rPr>
        <w:t>尚未检验真实事件的完整涨退水过程、洪峰到达时间或逐时淹没范围</w:t>
      </w:r>
      <w:r>
        <w:rPr>
          <w:b w:val="0"/>
        </w:rPr>
        <w:t>。本报告不把物理实验、历史洪水记录和模型计算值混为同一种真值。</w:t>
      </w:r>
    </w:p>
    <w:p>
      <w:pPr>
        <w:pStyle w:val="Heading1"/>
      </w:pPr>
      <w:r>
        <w:t>数据与实验条件</w:t>
      </w:r>
    </w:p>
    <w:p>
      <w:r>
        <w:rPr>
          <w:b w:val="0"/>
        </w:rPr>
        <w:t>数据采用Ayog与Sharifian（2022）公开配套包的Test 4，对应Kesserwani等（2023）的浅水流速研究。资料包含原型尺度DEM、边界与参数文件、40个实测最大流速／方向点以及4个水位采样坐标。包内没有对应的实测水位数值和逐时速度序列。尺度已由数据作者换算，本地没有再次缩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1"/>
              </w:rPr>
              <w:t>条件</w:t>
            </w:r>
          </w:p>
        </w:tc>
        <w:tc>
          <w:tcPr>
            <w:tcW w:type="dxa" w:w="8136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1"/>
              </w:rPr>
              <w:t>设置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原始地形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696×2197格，格宽0.175米，覆盖121.8×384.475米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主计算网格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174×550格，格宽0.7米，共95,700格；北侧补齐0.525米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来水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南侧38米入口，单位宽流量0.5184 m²/s，总流量19.6992 m³/s，恒定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初始状态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干地形，无降雨、入渗、基流或预热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边界布局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北侧开放，东西及南侧入口外封闭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主糙率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统一Manning n=0.042；沿用来源作者的率定值，本项目未重新率定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数值方法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本地Rusanov通量、MUSCL二阶重构、SSP-RK2、CFL=0.4，低弗劳德修正关闭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计算窗口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0–800秒，五组均完整完成</w:t>
            </w:r>
          </w:p>
        </w:tc>
      </w:tr>
    </w:tbl>
    <w:p>
      <w:pPr>
        <w:spacing w:after="0"/>
      </w:pPr>
    </w:p>
    <w:p>
      <w:r>
        <w:rPr>
          <w:b w:val="0"/>
        </w:rPr>
        <w:t>主评分每0.5秒读取40个固定点的速度大小，取整个窗口内最大值，并保留该时刻的同一对速度分量。水深不足1厘米时速度记零；未有效进水点仍进入全部40点的速度评分。方向误差只对观测和模型速度都不低于0.05 m/s的点计算。</w:t>
      </w:r>
    </w:p>
    <w:p>
      <w:pPr>
        <w:pStyle w:val="Heading1"/>
      </w:pPr>
      <w:r>
        <w:t>五组全域对照结果</w:t>
      </w:r>
    </w:p>
    <w:p>
      <w:r>
        <w:rPr>
          <w:b w:val="0"/>
        </w:rPr>
        <w:t>RMSE为均方根误差，MAE为平均绝对误差；速度偏差为“模型减观测”的平均值。正偏差表示整体倾向高估。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>
        <w:trPr>
          <w:cantSplit/>
          <w:tblHeader/>
        </w:trPr>
        <w:tc>
          <w:tcPr>
            <w:tcW w:type="dxa" w:w="2376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地形表示</w:t>
            </w:r>
          </w:p>
        </w:tc>
        <w:tc>
          <w:tcPr>
            <w:tcW w:type="dxa" w:w="981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格宽(m)</w:t>
            </w:r>
          </w:p>
        </w:tc>
        <w:tc>
          <w:tcPr>
            <w:tcW w:type="dxa" w:w="981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981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最大流速RMSE(m/s)</w:t>
            </w:r>
          </w:p>
        </w:tc>
        <w:tc>
          <w:tcPr>
            <w:tcW w:type="dxa" w:w="981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最大流速MAE(m/s)</w:t>
            </w:r>
          </w:p>
        </w:tc>
        <w:tc>
          <w:tcPr>
            <w:tcW w:type="dxa" w:w="981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速度偏差(m/s)</w:t>
            </w:r>
          </w:p>
        </w:tc>
        <w:tc>
          <w:tcPr>
            <w:tcW w:type="dxa" w:w="981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方向MAE(°)</w:t>
            </w:r>
          </w:p>
        </w:tc>
        <w:tc>
          <w:tcPr>
            <w:tcW w:type="dxa" w:w="981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方向点数</w:t>
            </w:r>
          </w:p>
        </w:tc>
        <w:tc>
          <w:tcPr>
            <w:tcW w:type="dxa" w:w="981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未达1cm点数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最高高程合并：主基线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0.7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0.042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0.738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0.599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+0.275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27.6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最高高程合并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1.4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0.042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0.764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0.559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+0.222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30.5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最高高程合并：糙率对照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1.4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0.020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1.335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1.115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+0.876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26.1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均值高程合并：诊断对照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1.4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0.042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0.734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0.612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+0.276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28.2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地面与障碍分层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0.7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0.042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0.659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0.529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+0.198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24.2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981"/>
          </w:tcPr>
          <w:p>
            <w:pPr>
              <w:spacing w:after="80" w:before="80" w:line="259" w:lineRule="auto"/>
            </w:pPr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1</w:t>
            </w:r>
            <w:r>
              <w:rPr>
                <w:b w:val="0"/>
                <w:sz w:val="20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>不同方向点数会影响方向均值的直接比较。限定为分层前后共同有效的37点时，方向MAE由27.60°降至24.46°。</w:t>
      </w:r>
    </w:p>
    <w:p>
      <w:r>
        <w:rPr>
          <w:b w:val="0"/>
        </w:rPr>
      </w:r>
      <w:r>
        <w:rPr>
          <w:b/>
        </w:rPr>
        <w:t>地形分层带来了可测量改善。</w:t>
      </w:r>
      <w:r>
        <w:rPr>
          <w:b w:val="0"/>
        </w:rPr>
        <w:t>同一0.7米网格、来水、糙率和数值内核下，RMSE降低10.7%，MAE降低11.7%，未有效进水点由2个减为1个。该变更同时改变了地面聚合与障碍表示，尚未分离两者各自贡献。</w:t>
      </w:r>
    </w:p>
    <w:p>
      <w:r>
        <w:rPr>
          <w:b w:val="0"/>
        </w:rPr>
      </w:r>
      <w:r>
        <w:rPr>
          <w:b/>
        </w:rPr>
        <w:t>加密与调糙率没有呈现简单规律。</w:t>
      </w:r>
      <w:r>
        <w:rPr>
          <w:b w:val="0"/>
        </w:rPr>
        <w:t>最高高程组从1.4米改为0.7米后，RMSE略降而MAE升高，不能据两档网格宣称收敛。在1.4米最高高程组，把n从0.042降为0.02后速度误差显著增大；这只支持该配置下的敏感性结论。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46520" cy="4297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-flo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分层后的水流与40点最大速度对照。左图黑色为障碍，点颜色为速度误差；右图黑点为实测、橙叉为基线、蓝点为分层结果。底图为计算水深，不能视为实测淹没范围。</w:t>
      </w:r>
    </w:p>
    <w:p>
      <w:pPr>
        <w:pStyle w:val="Heading1"/>
      </w:pPr>
      <w:r>
        <w:t>局部差距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1962"/>
        <w:gridCol w:w="1962"/>
        <w:gridCol w:w="1962"/>
        <w:gridCol w:w="1962"/>
      </w:tblGrid>
      <w:tr>
        <w:trPr>
          <w:cantSplit/>
          <w:tblHeader/>
        </w:trPr>
        <w:tc>
          <w:tcPr>
            <w:tcW w:type="dxa" w:w="2376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1"/>
              </w:rPr>
              <w:t>点位</w:t>
            </w:r>
          </w:p>
        </w:tc>
        <w:tc>
          <w:tcPr>
            <w:tcW w:type="dxa" w:w="1962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1"/>
              </w:rPr>
              <w:t>实测最大速度(m/s)</w:t>
            </w:r>
          </w:p>
        </w:tc>
        <w:tc>
          <w:tcPr>
            <w:tcW w:type="dxa" w:w="1962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1"/>
              </w:rPr>
              <w:t>基线(m/s)</w:t>
            </w:r>
          </w:p>
        </w:tc>
        <w:tc>
          <w:tcPr>
            <w:tcW w:type="dxa" w:w="1962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1"/>
              </w:rPr>
              <w:t>分层后(m/s)</w:t>
            </w:r>
          </w:p>
        </w:tc>
        <w:tc>
          <w:tcPr>
            <w:tcW w:type="dxa" w:w="1962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1"/>
              </w:rPr>
              <w:t>现象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14-F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0.80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2.72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0.93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明显改善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20-F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0.40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0.00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0.29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恢复有效进水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14-H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0.80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2.16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1.77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改善后仍过快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15-H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1.50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2.75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2.65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仍显著过快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14-G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0.90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1.78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2.23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分层后误差增大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19-J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1.60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0.00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0.00</w:t>
            </w:r>
          </w:p>
        </w:tc>
        <w:tc>
          <w:tcPr>
            <w:tcW w:type="dxa" w:w="1962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仍未达到1厘米水深</w:t>
            </w:r>
          </w:p>
        </w:tc>
      </w:tr>
    </w:tbl>
    <w:p>
      <w:pPr>
        <w:spacing w:after="0"/>
      </w:pPr>
    </w:p>
    <w:p>
      <w:r>
        <w:rPr>
          <w:b w:val="0"/>
        </w:rPr>
        <w:t>主基线误差最大的5点贡献49.7%的总平方误差，前10点贡献67.5%。这提示局部通道和阻水结构值得优先检查，但不能由误差集中就断言几何是唯一主因。分层后的平均速度偏差仍为+0.198 m/s，也不能用“入口动量不足”直接解释所有过快位置。</w:t>
      </w:r>
    </w:p>
    <w:p>
      <w:pPr>
        <w:pStyle w:val="Heading1"/>
      </w:pPr>
      <w:r>
        <w:t>已确认的问题与尚未确定的原因</w:t>
      </w:r>
    </w:p>
    <w:p>
      <w:pPr>
        <w:pStyle w:val="Heading2"/>
      </w:pPr>
      <w:r>
        <w:t>地图几何</w:t>
      </w:r>
    </w:p>
    <w:p>
      <w:r>
        <w:rPr>
          <w:b w:val="0"/>
        </w:rPr>
        <w:t>最高高程合并曾将前三个水位采样位置的地面抬高约3.53、3.72、5.24米，使测点落入扩大的高障碍占地。分层修正了部分此类流路，但其障碍轮廓来自DEM推断，障碍下地面是估计值。</w:t>
      </w:r>
    </w:p>
    <w:p>
      <w:r>
        <w:rPr>
          <w:b w:val="0"/>
        </w:rPr>
        <w:t>原实验的细桥墩约0.35–0.52米，小于0.7米格宽。分层粗格仍额外封闭约304.90 m²原始地面，并遗漏约200.84 m²原始障碍占地。当前未实现粗格内部部分通水或子网格阻力。</w:t>
      </w:r>
    </w:p>
    <w:p>
      <w:pPr>
        <w:pStyle w:val="Heading2"/>
      </w:pPr>
      <w:r>
        <w:t>输入与入口动量</w:t>
      </w:r>
    </w:p>
    <w:p>
      <w:r>
        <w:rPr>
          <w:b w:val="0"/>
        </w:rPr>
        <w:t>原数据包、运行配置、观测点和入口宽度已核验一致，总来水换算正确。后续官方8.0 CPU DG2边界函数探针确认：工作台设置的临界水深下限会降低浅水阶段的入口平流动量。</w:t>
      </w:r>
    </w:p>
    <w:p>
      <w:r>
        <w:rPr>
          <w:b w:val="0"/>
        </w:rPr>
        <w:t>入口水深0.10米时，工作台的总法向动量通量约为原函数的34.4%。但在已保存100–800秒快照中，只有约6.1%的入口宽度受下限影响；800秒在相同水深上比较，两公式的入口积分动量通量差约0.78%。这是一项固定水深诊断，</w:t>
      </w:r>
      <w:r>
        <w:rPr>
          <w:b/>
        </w:rPr>
        <w:t>不是原DG2全域对照，也不是全域误差贡献率</w:t>
      </w:r>
      <w:r>
        <w:rPr>
          <w:b w:val="0"/>
        </w:rPr>
        <w:t>。启动阶段的后续影响尚未通过单因素全域实验确定。</w:t>
      </w:r>
    </w:p>
    <w:p>
      <w:pPr>
        <w:pStyle w:val="Heading2"/>
      </w:pPr>
      <w:r>
        <w:t>出口和数值方法</w:t>
      </w:r>
    </w:p>
    <w:p>
      <w:r>
        <w:rPr>
          <w:b w:val="0"/>
        </w:rPr>
        <w:t>工作台开放边界只出不进，官方8.0 CPU DG2的FREE分支采用状态外推后计算HLL通量，两者不等价。尚未量化该差异对本案例的影响。也未完成同一几何下与完整ANUGA或LISFLOOD模型的独立全域交叉比较。</w:t>
      </w:r>
    </w:p>
    <w:p>
      <w:pPr>
        <w:pStyle w:val="Heading1"/>
      </w:pPr>
      <w:r>
        <w:t>本轮可信度边界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1"/>
              </w:rPr>
              <w:t>检查内容</w:t>
            </w:r>
          </w:p>
        </w:tc>
        <w:tc>
          <w:tcPr>
            <w:tcW w:type="dxa" w:w="8136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21"/>
              </w:rPr>
              <w:t>当前证据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文件来源与输入一致性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哈希、原包内容、40点身份、坐标换算与38米入口核验通过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水量守恒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五组归档水量残差绝对值均小于3×10⁻¹¹ m³；不能替代精度验证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最大流速与方向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有独立物理实验观测；已量化误差，仍存在明显偏差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水位误差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缺实测水位数值，未评分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到达时间／洪峰时间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缺实验逐时真值，未验证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逐时淹没范围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没有对应观测，未验证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全域网格收敛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未建立；0.175米局部人工边界检查不能替代全域验证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准稳态</w:t>
            </w:r>
          </w:p>
        </w:tc>
        <w:tc>
          <w:tcPr>
            <w:tcW w:type="dxa" w:w="8136"/>
          </w:tcPr>
          <w:p>
            <w:pPr>
              <w:spacing w:after="80" w:before="80" w:line="259" w:lineRule="auto"/>
            </w:pPr>
            <w:r>
              <w:rPr>
                <w:b w:val="0"/>
                <w:sz w:val="21"/>
              </w:rPr>
              <w:t>基线满足本地诊断；分层组未满足同一全域诊断，不能将其称为已全域稳定</w:t>
            </w:r>
          </w:p>
        </w:tc>
      </w:tr>
    </w:tbl>
    <w:p>
      <w:pPr>
        <w:spacing w:after="0"/>
      </w:pPr>
    </w:p>
    <w:p>
      <w:r>
        <w:rPr>
          <w:b w:val="0"/>
        </w:rPr>
        <w:t>本轮没有预先定义精度验收阈值，因此不据事后误差大小宣称验收通过。40点属于同一个实验案例，五种配置也不是五场独立洪水；当前改善幅度不能直接解释为跨事件泛化能力。</w:t>
      </w:r>
    </w:p>
    <w:p>
      <w:pPr>
        <w:pStyle w:val="Heading1"/>
      </w:pPr>
      <w:r>
        <w:t>后续工作优先级</w:t>
      </w:r>
    </w:p>
    <w:p>
      <w:r>
        <w:rPr>
          <w:b w:val="0"/>
        </w:rPr>
        <w:t>1. 保持同一地图、糙率和评分，进行入口边界单因素全域对照，细记录0–100秒入口状态，判断启动差异是否改善40点结果。</w:t>
      </w:r>
    </w:p>
    <w:p>
      <w:r>
        <w:rPr>
          <w:b w:val="0"/>
        </w:rPr>
        <w:t>2. 独立检查出口边界，避免入口与出口同时修改后无法归因。</w:t>
      </w:r>
    </w:p>
    <w:p>
      <w:r>
        <w:rPr>
          <w:b w:val="0"/>
        </w:rPr>
        <w:t>3. 核验关键墙、桥墩与通道几何，再进行同条件细网格／成熟求解器对照。</w:t>
      </w:r>
    </w:p>
    <w:p>
      <w:r>
        <w:rPr>
          <w:b w:val="0"/>
        </w:rPr>
        <w:t>4. 若评价目标是现实洪水发展过程，需要另行补齐时变来水、实测水位时间序列及多时相淹没观测。</w:t>
      </w:r>
    </w:p>
    <w:p>
      <w:pPr>
        <w:pStyle w:val="Heading1"/>
      </w:pPr>
      <w:r>
        <w:t>资料来源与核验说明</w:t>
      </w:r>
    </w:p>
    <w:p>
      <w:r>
        <w:t>数据来源为Ayog与Sharifian于2022年发布的配套数据包 Test 4，许可为CC BY 4.0。公开地址 https://zenodo.org/records/6914888 。</w:t>
      </w:r>
    </w:p>
    <w:p>
      <w:r>
        <w:t>参考论文为Kesserwani等于2023年发表于Journal of Hydraulic Engineering的 Shallow-flow velocity predictions using discontinuous Galerkin solutions。DOI 10.1061/JHEND8.HYENG-13244。</w:t>
      </w:r>
    </w:p>
    <w:p>
      <w:r>
        <w:t>边界参考源码为官方LISFLOOD-FP 8.0发布包，DOI 10.5281/zenodo.4073011。已校验发布包MD5，并编译原边界函数做受控探针；尚未获得2023年论文实际运行二进制或精确提交版本。</w:t>
      </w:r>
    </w:p>
    <w:p>
      <w:r>
        <w:t>本报告数值来自五组完整800秒运行的归档数据。各组最大流速RMSE已从全部40点重新计算核对；分层改善比例按未四舍五入数值计算。图1已嵌入本文件，阅读报告无需访问项目目录。</w:t>
      </w:r>
    </w:p>
    <w:p>
      <w:r>
        <w:t>本次输入核验和边界探针没有新增全域洪水计算。Harvey真实水位工作台属于观测接入与回放，尚无对应完整事件的求解精度结果，未纳入本报告评分。</w:t>
      </w:r>
    </w:p>
    <w:sectPr w:rsidR="00FC693F" w:rsidRPr="0006063C" w:rsidSect="00034616"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HYRA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Merewether对照实验结果报告</dc:title>
  <dc:subject>洪水工作台物理实验验证及输入核验</dc:subject>
  <dc:creator>HYRA项目组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