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sz w:val="40"/>
        </w:rPr>
        <w:t>问题2 建模大纲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2026 年全国大学生数学建模竞赛 B 题</w:t>
      </w:r>
    </w:p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摘要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针对首次检测到全向干扰源后第二检测点选择问题，建立几何信息增益、再次接收可靠性、移动时间与边界风险联合优化模型。模型调用问题1的鲁棒定位评价器，枚举圆域内有限候选点并预测二次观测后的定位不确定性，以综合评分确定下一检测位置。该策略避免把有效接收半径误解为已测距离区间，并以可解释几何规则作为主模型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1"/>
        </w:rPr>
        <w:t>关键词：主动感知；bearing-only 定位；交会角；信息增益；风险规划</w:t>
      </w:r>
    </w:p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一 问题重述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机器狗在首个检测点 S_1 对一个全向干扰源获得 direction 结果后，需要选择第二检测点 S_2。S_2 应尽量使两次示向度形成优良交会，同时提高再次接收机会，并控制移动时间和圆域边界风险。要求给出第二检测点选择原则和候选区域。</w:t>
      </w:r>
    </w:p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二 问题分析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首次 direction 给出带 ±1° 误差的方向约束，以及目标距 S_1 大于 5 m、至多 1500 m 的上界；它不意味着距离必在 1000 至 1500 m。过近会使交会角过小而放大误差，过远会增加移动成本或失去接收机会。因此应预测定位精度、接收可靠性和时间成本后综合择优。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问题1输出</w:t>
            </w:r>
          </w:p>
        </w:tc>
        <w:tc>
          <w:tcPr>
            <w:tcW w:type="dxa" w:w="4533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问题2调用方式</w:t>
            </w:r>
          </w:p>
        </w:tc>
      </w:tr>
      <w:tr>
        <w:tc>
          <w:tcPr>
            <w:tcW w:type="dxa" w:w="4533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纯 AOA 交会域 P_AOA</w:t>
            </w:r>
          </w:p>
        </w:tc>
        <w:tc>
          <w:tcPr>
            <w:tcW w:type="dxa" w:w="4533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仅由角度带半平面求交；保留问题1的纯几何口径</w:t>
            </w:r>
          </w:p>
        </w:tc>
      </w:tr>
      <w:tr>
        <w:tc>
          <w:tcPr>
            <w:tcW w:type="dxa" w:w="4533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物理可行域 P_phys</w:t>
            </w:r>
          </w:p>
        </w:tc>
        <w:tc>
          <w:tcPr>
            <w:tcW w:type="dxa" w:w="4533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问题2将 P_AOA 与半径1800m作业圆相交后得到，用于候选点与接收评价</w:t>
            </w:r>
          </w:p>
        </w:tc>
      </w:tr>
      <w:tr>
        <w:tc>
          <w:tcPr>
            <w:tcW w:type="dxa" w:w="4533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区域直径 D_P</w:t>
            </w:r>
          </w:p>
        </w:tc>
        <w:tc>
          <w:tcPr>
            <w:tcW w:type="dxa" w:w="4533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评价候选第二点的预期不确定性收缩</w:t>
            </w:r>
          </w:p>
        </w:tc>
      </w:tr>
      <w:tr>
        <w:tc>
          <w:tcPr>
            <w:tcW w:type="dxa" w:w="4533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最小外接圆 R_mec</w:t>
            </w:r>
          </w:p>
        </w:tc>
        <w:tc>
          <w:tcPr>
            <w:tcW w:type="dxa" w:w="4533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判断二次观测后是否接近可清除精度</w:t>
            </w:r>
          </w:p>
        </w:tc>
      </w:tr>
    </w:tbl>
    <w:p/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三 模型假设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假设内容</w:t>
            </w:r>
          </w:p>
        </w:tc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依据与影响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H1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本问对象为全向源。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题目限定；接收范围可视作未知半径圆。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H2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有效接收半径 r_e∈[1000,1500] m。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题设区间；用于保守接收评价。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H3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候选第二点位于作业圆盘内。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满足机器狗活动边界。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H4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第二次测量仍有 ±1° 固定误差。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继承问题1；通过改变构型取信息。</w:t>
            </w:r>
          </w:p>
        </w:tc>
      </w:tr>
    </w:tbl>
    <w:p/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四 符号说明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符号</w:t>
            </w:r>
          </w:p>
        </w:tc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单位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S_1,S_2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第一、第二检测点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m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P_AOA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问题1的纯AOA交会定位区域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m²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P_phys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P_AOA与作业圆盘相交后的物理可行域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m²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A_1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首次观测后的初始物理可行区域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m²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C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第二检测点候选集合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α(S_2,G)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对候选目标的交会角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°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P_rec(S_2)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再次接收的保守可靠性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T_move(S_2)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移动时间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s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J(S_2)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综合评分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-</w:t>
            </w:r>
          </w:p>
        </w:tc>
      </w:tr>
    </w:tbl>
    <w:p/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五 模型建立与求解</w:t>
      </w:r>
    </w:p>
    <w:p>
      <w:pPr>
        <w:pStyle w:val="Heading2"/>
        <w:spacing w:before="200" w:after="100"/>
      </w:pPr>
      <w:r>
        <w:rPr>
          <w:rFonts w:ascii="黑体" w:hAnsi="黑体" w:eastAsia="黑体"/>
          <w:b/>
          <w:sz w:val="25"/>
        </w:rPr>
        <w:t>5.1 初始可行区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先按问题1的口径，将首次角度带与其他AOA约束求交得到纯交会域 P_AOA；再将其与半径1800m作业圆盘 D 相交，得到物理可行域 P_phys。发生 direction 而非 near 时，目标距 S_1 大于5m、且不超过1500m，据此得到首次初始区域 A_1。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P</w:t>
      </w:r>
      <w:r>
        <w:rPr>
          <w:rFonts w:ascii="Cambria Math" w:hAnsi="Cambria Math" w:eastAsia="Cambria Math"/>
          <w:b w:val="0"/>
          <w:sz w:val="16"/>
          <w:vertAlign w:val="subscript"/>
        </w:rPr>
        <w:t>AOA</w:t>
      </w:r>
      <w:r>
        <w:rPr>
          <w:rFonts w:ascii="Cambria Math" w:hAnsi="Cambria Math" w:eastAsia="Cambria Math"/>
          <w:b w:val="0"/>
          <w:sz w:val="22"/>
        </w:rPr>
        <w:t>=∩_</w:t>
      </w:r>
      <w:r>
        <w:rPr>
          <w:rFonts w:ascii="Cambria Math" w:hAnsi="Cambria Math" w:eastAsia="Cambria Math"/>
          <w:b w:val="0"/>
          <w:sz w:val="22"/>
        </w:rPr>
        <w:t>i</w:t>
      </w:r>
      <w:r>
        <w:rPr>
          <w:rFonts w:ascii="Cambria Math" w:hAnsi="Cambria Math" w:eastAsia="Cambria Math"/>
          <w:b w:val="0"/>
          <w:sz w:val="22"/>
        </w:rPr>
        <w:t xml:space="preserve"> </w:t>
      </w:r>
      <w:r>
        <w:rPr>
          <w:rFonts w:ascii="Cambria Math" w:hAnsi="Cambria Math" w:eastAsia="Cambria Math"/>
          <w:b w:val="0"/>
          <w:sz w:val="22"/>
        </w:rPr>
        <w:t>B</w:t>
      </w:r>
      <w:r>
        <w:rPr>
          <w:rFonts w:ascii="Cambria Math" w:hAnsi="Cambria Math" w:eastAsia="Cambria Math"/>
          <w:b w:val="0"/>
          <w:sz w:val="16"/>
          <w:vertAlign w:val="subscript"/>
        </w:rPr>
        <w:t>i</w:t>
      </w:r>
      <w:r>
        <w:rPr>
          <w:rFonts w:ascii="Cambria Math" w:hAnsi="Cambria Math" w:eastAsia="Cambria Math"/>
          <w:b w:val="0"/>
          <w:sz w:val="22"/>
        </w:rPr>
        <w:t xml:space="preserve">,       </w:t>
      </w:r>
      <w:r>
        <w:rPr>
          <w:rFonts w:ascii="Cambria Math" w:hAnsi="Cambria Math" w:eastAsia="Cambria Math"/>
          <w:b w:val="0"/>
          <w:sz w:val="22"/>
        </w:rPr>
        <w:t>P</w:t>
      </w:r>
      <w:r>
        <w:rPr>
          <w:rFonts w:ascii="Cambria Math" w:hAnsi="Cambria Math" w:eastAsia="Cambria Math"/>
          <w:b w:val="0"/>
          <w:sz w:val="16"/>
          <w:vertAlign w:val="subscript"/>
        </w:rPr>
        <w:t>phys</w:t>
      </w:r>
      <w:r>
        <w:rPr>
          <w:rFonts w:ascii="Cambria Math" w:hAnsi="Cambria Math" w:eastAsia="Cambria Math"/>
          <w:b w:val="0"/>
          <w:sz w:val="22"/>
        </w:rPr>
        <w:t>=</w:t>
      </w:r>
      <w:r>
        <w:rPr>
          <w:rFonts w:ascii="Cambria Math" w:hAnsi="Cambria Math" w:eastAsia="Cambria Math"/>
          <w:b w:val="0"/>
          <w:sz w:val="22"/>
        </w:rPr>
        <w:t>P</w:t>
      </w:r>
      <w:r>
        <w:rPr>
          <w:rFonts w:ascii="Cambria Math" w:hAnsi="Cambria Math" w:eastAsia="Cambria Math"/>
          <w:b w:val="0"/>
          <w:sz w:val="16"/>
          <w:vertAlign w:val="subscript"/>
        </w:rPr>
        <w:t>AOA</w:t>
      </w:r>
      <w:r>
        <w:rPr>
          <w:rFonts w:ascii="Cambria Math" w:hAnsi="Cambria Math" w:eastAsia="Cambria Math"/>
          <w:b w:val="0"/>
          <w:sz w:val="22"/>
        </w:rPr>
        <w:t xml:space="preserve"> ∩ {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:||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||≤1800}</w:t>
      </w:r>
      <w:r>
        <w:rPr>
          <w:rFonts w:ascii="Cambria Math" w:hAnsi="Cambria Math" w:eastAsia="Cambria Math"/>
          <w:b w:val="0"/>
          <w:sz w:val="21"/>
        </w:rPr>
        <w:t xml:space="preserve">    (1)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A</w:t>
      </w:r>
      <w:r>
        <w:rPr>
          <w:rFonts w:ascii="Cambria Math" w:hAnsi="Cambria Math" w:eastAsia="Cambria Math"/>
          <w:b w:val="0"/>
          <w:sz w:val="16"/>
          <w:vertAlign w:val="subscript"/>
        </w:rPr>
        <w:t>1</w:t>
      </w:r>
      <w:r>
        <w:rPr>
          <w:rFonts w:ascii="Cambria Math" w:hAnsi="Cambria Math" w:eastAsia="Cambria Math"/>
          <w:b w:val="0"/>
          <w:sz w:val="22"/>
        </w:rPr>
        <w:t>=</w:t>
      </w:r>
      <w:r>
        <w:rPr>
          <w:rFonts w:ascii="Cambria Math" w:hAnsi="Cambria Math" w:eastAsia="Cambria Math"/>
          <w:b w:val="0"/>
          <w:sz w:val="22"/>
        </w:rPr>
        <w:t>P</w:t>
      </w:r>
      <w:r>
        <w:rPr>
          <w:rFonts w:ascii="Cambria Math" w:hAnsi="Cambria Math" w:eastAsia="Cambria Math"/>
          <w:b w:val="0"/>
          <w:sz w:val="16"/>
          <w:vertAlign w:val="subscript"/>
        </w:rPr>
        <w:t>phys</w:t>
      </w:r>
      <w:r>
        <w:rPr>
          <w:rFonts w:ascii="Cambria Math" w:hAnsi="Cambria Math" w:eastAsia="Cambria Math"/>
          <w:b w:val="0"/>
          <w:sz w:val="22"/>
        </w:rPr>
        <w:t xml:space="preserve"> ∩ {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:5&lt;||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-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1</w:t>
      </w:r>
      <w:r>
        <w:rPr>
          <w:rFonts w:ascii="Cambria Math" w:hAnsi="Cambria Math" w:eastAsia="Cambria Math"/>
          <w:b w:val="0"/>
          <w:sz w:val="22"/>
        </w:rPr>
        <w:t>||≤1500}</w:t>
      </w:r>
      <w:r>
        <w:rPr>
          <w:rFonts w:ascii="Cambria Math" w:hAnsi="Cambria Math" w:eastAsia="Cambria Math"/>
          <w:b w:val="0"/>
          <w:sz w:val="21"/>
        </w:rPr>
        <w:t xml:space="preserve">    (2)</w:t>
      </w:r>
    </w:p>
    <w:p>
      <w:pPr>
        <w:pStyle w:val="Heading2"/>
        <w:spacing w:before="200" w:after="100"/>
      </w:pPr>
      <w:r>
        <w:rPr>
          <w:rFonts w:ascii="黑体" w:hAnsi="黑体" w:eastAsia="黑体"/>
          <w:b/>
          <w:sz w:val="25"/>
        </w:rPr>
        <w:t>5.2 候选点生成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以 S_1 为中心，采用离散半径和方位生成有限候选点，剔除作业圆盘外、移动距离过长或后续机动空间不足的点。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C</w:t>
      </w:r>
      <w:r>
        <w:rPr>
          <w:rFonts w:ascii="Cambria Math" w:hAnsi="Cambria Math" w:eastAsia="Cambria Math"/>
          <w:b w:val="0"/>
          <w:sz w:val="22"/>
        </w:rPr>
        <w:t>={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1</w:t>
      </w:r>
      <w:r>
        <w:rPr>
          <w:rFonts w:ascii="Cambria Math" w:hAnsi="Cambria Math" w:eastAsia="Cambria Math"/>
          <w:b w:val="0"/>
          <w:sz w:val="22"/>
        </w:rPr>
        <w:t>+</w:t>
      </w:r>
      <w:r>
        <w:rPr>
          <w:rFonts w:ascii="Cambria Math" w:hAnsi="Cambria Math" w:eastAsia="Cambria Math"/>
          <w:b w:val="0"/>
          <w:sz w:val="22"/>
        </w:rPr>
        <w:t>d</w:t>
      </w:r>
      <w:r>
        <w:rPr>
          <w:rFonts w:ascii="Cambria Math" w:hAnsi="Cambria Math" w:eastAsia="Cambria Math"/>
          <w:b w:val="0"/>
          <w:sz w:val="22"/>
        </w:rPr>
        <w:t>(</w:t>
      </w:r>
      <w:r>
        <w:rPr>
          <w:rFonts w:ascii="Cambria Math" w:hAnsi="Cambria Math" w:eastAsia="Cambria Math"/>
          <w:b w:val="0"/>
          <w:sz w:val="22"/>
        </w:rPr>
        <w:t>cos</w:t>
      </w:r>
      <w:r>
        <w:rPr>
          <w:rFonts w:ascii="Cambria Math" w:hAnsi="Cambria Math" w:eastAsia="Cambria Math"/>
          <w:b w:val="0"/>
          <w:sz w:val="22"/>
        </w:rPr>
        <w:t>ψ,</w:t>
      </w:r>
      <w:r>
        <w:rPr>
          <w:rFonts w:ascii="Cambria Math" w:hAnsi="Cambria Math" w:eastAsia="Cambria Math"/>
          <w:b w:val="0"/>
          <w:sz w:val="22"/>
        </w:rPr>
        <w:t>sin</w:t>
      </w:r>
      <w:r>
        <w:rPr>
          <w:rFonts w:ascii="Cambria Math" w:hAnsi="Cambria Math" w:eastAsia="Cambria Math"/>
          <w:b w:val="0"/>
          <w:sz w:val="22"/>
        </w:rPr>
        <w:t>ψ):</w:t>
      </w:r>
      <w:r>
        <w:rPr>
          <w:rFonts w:ascii="Cambria Math" w:hAnsi="Cambria Math" w:eastAsia="Cambria Math"/>
          <w:b w:val="0"/>
          <w:sz w:val="22"/>
        </w:rPr>
        <w:t>d</w:t>
      </w:r>
      <w:r>
        <w:rPr>
          <w:rFonts w:ascii="Cambria Math" w:hAnsi="Cambria Math" w:eastAsia="Cambria Math"/>
          <w:b w:val="0"/>
          <w:sz w:val="22"/>
        </w:rPr>
        <w:t>∈</w:t>
      </w:r>
      <w:r>
        <w:rPr>
          <w:rFonts w:ascii="Cambria Math" w:hAnsi="Cambria Math" w:eastAsia="Cambria Math"/>
          <w:b w:val="0"/>
          <w:sz w:val="22"/>
        </w:rPr>
        <w:t>D</w:t>
      </w:r>
      <w:r>
        <w:rPr>
          <w:rFonts w:ascii="Cambria Math" w:hAnsi="Cambria Math" w:eastAsia="Cambria Math"/>
          <w:b w:val="0"/>
          <w:sz w:val="16"/>
          <w:vertAlign w:val="subscript"/>
        </w:rPr>
        <w:t>set</w:t>
      </w:r>
      <w:r>
        <w:rPr>
          <w:rFonts w:ascii="Cambria Math" w:hAnsi="Cambria Math" w:eastAsia="Cambria Math"/>
          <w:b w:val="0"/>
          <w:sz w:val="22"/>
        </w:rPr>
        <w:t>,ψ∈Ψ_</w:t>
      </w:r>
      <w:r>
        <w:rPr>
          <w:rFonts w:ascii="Cambria Math" w:hAnsi="Cambria Math" w:eastAsia="Cambria Math"/>
          <w:b w:val="0"/>
          <w:sz w:val="22"/>
        </w:rPr>
        <w:t>set</w:t>
      </w:r>
      <w:r>
        <w:rPr>
          <w:rFonts w:ascii="Cambria Math" w:hAnsi="Cambria Math" w:eastAsia="Cambria Math"/>
          <w:b w:val="0"/>
          <w:sz w:val="22"/>
        </w:rPr>
        <w:t xml:space="preserve">} ∩ </w:t>
      </w:r>
      <w:r>
        <w:rPr>
          <w:rFonts w:ascii="Cambria Math" w:hAnsi="Cambria Math" w:eastAsia="Cambria Math"/>
          <w:b w:val="0"/>
          <w:sz w:val="22"/>
        </w:rPr>
        <w:t>D</w:t>
      </w:r>
      <w:r>
        <w:rPr>
          <w:rFonts w:ascii="Cambria Math" w:hAnsi="Cambria Math" w:eastAsia="Cambria Math"/>
          <w:b w:val="0"/>
          <w:sz w:val="21"/>
        </w:rPr>
        <w:t xml:space="preserve">    (3)</w:t>
      </w:r>
    </w:p>
    <w:p>
      <w:pPr>
        <w:pStyle w:val="Heading2"/>
        <w:spacing w:before="200" w:after="100"/>
      </w:pPr>
      <w:r>
        <w:rPr>
          <w:rFonts w:ascii="黑体" w:hAnsi="黑体" w:eastAsia="黑体"/>
          <w:b/>
          <w:sz w:val="25"/>
        </w:rPr>
        <w:t>5.3 几何质量和接收可靠性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对 A_1 中离散候选目标 G，计算交会角并以 sin²α 度量几何质量；统计候选目标到 S_2 距离不超过 1000 m 的比例，作为对未知接收半径的保守可靠性指标。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Q</w:t>
      </w:r>
      <w:r>
        <w:rPr>
          <w:rFonts w:ascii="Cambria Math" w:hAnsi="Cambria Math" w:eastAsia="Cambria Math"/>
          <w:b w:val="0"/>
          <w:sz w:val="16"/>
          <w:vertAlign w:val="subscript"/>
        </w:rPr>
        <w:t>geo</w:t>
      </w:r>
      <w:r>
        <w:rPr>
          <w:rFonts w:ascii="Cambria Math" w:hAnsi="Cambria Math" w:eastAsia="Cambria Math"/>
          <w:b w:val="0"/>
          <w:sz w:val="22"/>
        </w:rPr>
        <w:t>(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)=</w:t>
      </w:r>
      <w:r>
        <w:rPr>
          <w:rFonts w:ascii="Cambria Math" w:hAnsi="Cambria Math" w:eastAsia="Cambria Math"/>
          <w:b w:val="0"/>
          <w:sz w:val="22"/>
        </w:rPr>
        <w:t>mean</w:t>
      </w:r>
      <w:r>
        <w:rPr>
          <w:rFonts w:ascii="Cambria Math" w:hAnsi="Cambria Math" w:eastAsia="Cambria Math"/>
          <w:b w:val="0"/>
          <w:sz w:val="22"/>
        </w:rPr>
        <w:t>_{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∈</w:t>
      </w:r>
      <w:r>
        <w:rPr>
          <w:rFonts w:ascii="Cambria Math" w:hAnsi="Cambria Math" w:eastAsia="Cambria Math"/>
          <w:b w:val="0"/>
          <w:sz w:val="22"/>
        </w:rPr>
        <w:t>A</w:t>
      </w:r>
      <w:r>
        <w:rPr>
          <w:rFonts w:ascii="Cambria Math" w:hAnsi="Cambria Math" w:eastAsia="Cambria Math"/>
          <w:b w:val="0"/>
          <w:sz w:val="16"/>
          <w:vertAlign w:val="subscript"/>
        </w:rPr>
        <w:t>1</w:t>
      </w:r>
      <w:r>
        <w:rPr>
          <w:rFonts w:ascii="Cambria Math" w:hAnsi="Cambria Math" w:eastAsia="Cambria Math"/>
          <w:b w:val="0"/>
          <w:sz w:val="22"/>
        </w:rPr>
        <w:t>}[</w:t>
      </w:r>
      <w:r>
        <w:rPr>
          <w:rFonts w:ascii="Cambria Math" w:hAnsi="Cambria Math" w:eastAsia="Cambria Math"/>
          <w:b w:val="0"/>
          <w:sz w:val="22"/>
        </w:rPr>
        <w:t>sin</w:t>
      </w:r>
      <w:r>
        <w:rPr>
          <w:rFonts w:ascii="Cambria Math" w:hAnsi="Cambria Math" w:eastAsia="Cambria Math"/>
          <w:b w:val="0"/>
          <w:sz w:val="22"/>
        </w:rPr>
        <w:t>²α(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,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)]</w:t>
      </w:r>
      <w:r>
        <w:rPr>
          <w:rFonts w:ascii="Cambria Math" w:hAnsi="Cambria Math" w:eastAsia="Cambria Math"/>
          <w:b w:val="0"/>
          <w:sz w:val="21"/>
        </w:rPr>
        <w:t xml:space="preserve">    (4)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P</w:t>
      </w:r>
      <w:r>
        <w:rPr>
          <w:rFonts w:ascii="Cambria Math" w:hAnsi="Cambria Math" w:eastAsia="Cambria Math"/>
          <w:b w:val="0"/>
          <w:sz w:val="16"/>
          <w:vertAlign w:val="subscript"/>
        </w:rPr>
        <w:t>rec</w:t>
      </w:r>
      <w:r>
        <w:rPr>
          <w:rFonts w:ascii="Cambria Math" w:hAnsi="Cambria Math" w:eastAsia="Cambria Math"/>
          <w:b w:val="0"/>
          <w:sz w:val="22"/>
        </w:rPr>
        <w:t>(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)=</w:t>
      </w:r>
      <w:r>
        <w:rPr>
          <w:rFonts w:ascii="Cambria Math" w:hAnsi="Cambria Math" w:eastAsia="Cambria Math"/>
          <w:b w:val="0"/>
          <w:sz w:val="22"/>
        </w:rPr>
        <w:t>mean</w:t>
      </w:r>
      <w:r>
        <w:rPr>
          <w:rFonts w:ascii="Cambria Math" w:hAnsi="Cambria Math" w:eastAsia="Cambria Math"/>
          <w:b w:val="0"/>
          <w:sz w:val="22"/>
        </w:rPr>
        <w:t>_{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∈</w:t>
      </w:r>
      <w:r>
        <w:rPr>
          <w:rFonts w:ascii="Cambria Math" w:hAnsi="Cambria Math" w:eastAsia="Cambria Math"/>
          <w:b w:val="0"/>
          <w:sz w:val="22"/>
        </w:rPr>
        <w:t>A</w:t>
      </w:r>
      <w:r>
        <w:rPr>
          <w:rFonts w:ascii="Cambria Math" w:hAnsi="Cambria Math" w:eastAsia="Cambria Math"/>
          <w:b w:val="0"/>
          <w:sz w:val="16"/>
          <w:vertAlign w:val="subscript"/>
        </w:rPr>
        <w:t>1</w:t>
      </w:r>
      <w:r>
        <w:rPr>
          <w:rFonts w:ascii="Cambria Math" w:hAnsi="Cambria Math" w:eastAsia="Cambria Math"/>
          <w:b w:val="0"/>
          <w:sz w:val="22"/>
        </w:rPr>
        <w:t>}[</w:t>
      </w:r>
      <w:r>
        <w:rPr>
          <w:rFonts w:ascii="Cambria Math" w:hAnsi="Cambria Math" w:eastAsia="Cambria Math"/>
          <w:b w:val="0"/>
          <w:sz w:val="22"/>
        </w:rPr>
        <w:t>I</w:t>
      </w:r>
      <w:r>
        <w:rPr>
          <w:rFonts w:ascii="Cambria Math" w:hAnsi="Cambria Math" w:eastAsia="Cambria Math"/>
          <w:b w:val="0"/>
          <w:sz w:val="22"/>
        </w:rPr>
        <w:t>(||</w:t>
      </w:r>
      <w:r>
        <w:rPr>
          <w:rFonts w:ascii="Cambria Math" w:hAnsi="Cambria Math" w:eastAsia="Cambria Math"/>
          <w:b w:val="0"/>
          <w:sz w:val="22"/>
        </w:rPr>
        <w:t>G</w:t>
      </w:r>
      <w:r>
        <w:rPr>
          <w:rFonts w:ascii="Cambria Math" w:hAnsi="Cambria Math" w:eastAsia="Cambria Math"/>
          <w:b w:val="0"/>
          <w:sz w:val="22"/>
        </w:rPr>
        <w:t>-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||≤1000)]</w:t>
      </w:r>
      <w:r>
        <w:rPr>
          <w:rFonts w:ascii="Cambria Math" w:hAnsi="Cambria Math" w:eastAsia="Cambria Math"/>
          <w:b w:val="0"/>
          <w:sz w:val="21"/>
        </w:rPr>
        <w:t xml:space="preserve">    (5)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T</w:t>
      </w:r>
      <w:r>
        <w:rPr>
          <w:rFonts w:ascii="Cambria Math" w:hAnsi="Cambria Math" w:eastAsia="Cambria Math"/>
          <w:b w:val="0"/>
          <w:sz w:val="16"/>
          <w:vertAlign w:val="subscript"/>
        </w:rPr>
        <w:t>move</w:t>
      </w:r>
      <w:r>
        <w:rPr>
          <w:rFonts w:ascii="Cambria Math" w:hAnsi="Cambria Math" w:eastAsia="Cambria Math"/>
          <w:b w:val="0"/>
          <w:sz w:val="22"/>
        </w:rPr>
        <w:t>(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)=||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-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1</w:t>
      </w:r>
      <w:r>
        <w:rPr>
          <w:rFonts w:ascii="Cambria Math" w:hAnsi="Cambria Math" w:eastAsia="Cambria Math"/>
          <w:b w:val="0"/>
          <w:sz w:val="22"/>
        </w:rPr>
        <w:t>||/5</w:t>
      </w:r>
      <w:r>
        <w:rPr>
          <w:rFonts w:ascii="Cambria Math" w:hAnsi="Cambria Math" w:eastAsia="Cambria Math"/>
          <w:b w:val="0"/>
          <w:sz w:val="21"/>
        </w:rPr>
        <w:t xml:space="preserve">    (6)</w:t>
      </w:r>
    </w:p>
    <w:p>
      <w:pPr>
        <w:pStyle w:val="Heading2"/>
        <w:spacing w:before="200" w:after="100"/>
      </w:pPr>
      <w:r>
        <w:rPr>
          <w:rFonts w:ascii="黑体" w:hAnsi="黑体" w:eastAsia="黑体"/>
          <w:b/>
          <w:sz w:val="25"/>
        </w:rPr>
        <w:t>5.4 联合评分与更新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将几何质量、再次接收可靠性、移动时间、边界风险及由问题1预测的最小外接圆半径归一化并加权。评分最高者为下一检测点；取得第二次观测后，立即调用问题1更新真实可行区域。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J</w:t>
      </w:r>
      <w:r>
        <w:rPr>
          <w:rFonts w:ascii="Cambria Math" w:hAnsi="Cambria Math" w:eastAsia="Cambria Math"/>
          <w:b w:val="0"/>
          <w:sz w:val="22"/>
        </w:rPr>
        <w:t>=</w:t>
      </w:r>
      <w:r>
        <w:rPr>
          <w:rFonts w:ascii="Cambria Math" w:hAnsi="Cambria Math" w:eastAsia="Cambria Math"/>
          <w:b w:val="0"/>
          <w:sz w:val="22"/>
        </w:rPr>
        <w:t>w</w:t>
      </w:r>
      <w:r>
        <w:rPr>
          <w:rFonts w:ascii="Cambria Math" w:hAnsi="Cambria Math" w:eastAsia="Cambria Math"/>
          <w:b w:val="0"/>
          <w:sz w:val="16"/>
          <w:vertAlign w:val="subscript"/>
        </w:rPr>
        <w:t>1Q</w:t>
      </w:r>
      <w:r>
        <w:rPr>
          <w:rFonts w:ascii="Cambria Math" w:hAnsi="Cambria Math" w:eastAsia="Cambria Math"/>
          <w:b w:val="0"/>
          <w:sz w:val="22"/>
        </w:rPr>
        <w:t>_</w:t>
      </w:r>
      <w:r>
        <w:rPr>
          <w:rFonts w:ascii="Cambria Math" w:hAnsi="Cambria Math" w:eastAsia="Cambria Math"/>
          <w:b w:val="0"/>
          <w:sz w:val="22"/>
        </w:rPr>
        <w:t>geo</w:t>
      </w:r>
      <w:r>
        <w:rPr>
          <w:rFonts w:ascii="Cambria Math" w:hAnsi="Cambria Math" w:eastAsia="Cambria Math"/>
          <w:b w:val="0"/>
          <w:sz w:val="22"/>
        </w:rPr>
        <w:t>+</w:t>
      </w:r>
      <w:r>
        <w:rPr>
          <w:rFonts w:ascii="Cambria Math" w:hAnsi="Cambria Math" w:eastAsia="Cambria Math"/>
          <w:b w:val="0"/>
          <w:sz w:val="22"/>
        </w:rPr>
        <w:t>w</w:t>
      </w:r>
      <w:r>
        <w:rPr>
          <w:rFonts w:ascii="Cambria Math" w:hAnsi="Cambria Math" w:eastAsia="Cambria Math"/>
          <w:b w:val="0"/>
          <w:sz w:val="16"/>
          <w:vertAlign w:val="subscript"/>
        </w:rPr>
        <w:t>2P</w:t>
      </w:r>
      <w:r>
        <w:rPr>
          <w:rFonts w:ascii="Cambria Math" w:hAnsi="Cambria Math" w:eastAsia="Cambria Math"/>
          <w:b w:val="0"/>
          <w:sz w:val="22"/>
        </w:rPr>
        <w:t>_</w:t>
      </w:r>
      <w:r>
        <w:rPr>
          <w:rFonts w:ascii="Cambria Math" w:hAnsi="Cambria Math" w:eastAsia="Cambria Math"/>
          <w:b w:val="0"/>
          <w:sz w:val="22"/>
        </w:rPr>
        <w:t>rec</w:t>
      </w:r>
      <w:r>
        <w:rPr>
          <w:rFonts w:ascii="Cambria Math" w:hAnsi="Cambria Math" w:eastAsia="Cambria Math"/>
          <w:b w:val="0"/>
          <w:sz w:val="22"/>
        </w:rPr>
        <w:t>-</w:t>
      </w:r>
      <w:r>
        <w:rPr>
          <w:rFonts w:ascii="Cambria Math" w:hAnsi="Cambria Math" w:eastAsia="Cambria Math"/>
          <w:b w:val="0"/>
          <w:sz w:val="22"/>
        </w:rPr>
        <w:t>w</w:t>
      </w:r>
      <w:r>
        <w:rPr>
          <w:rFonts w:ascii="Cambria Math" w:hAnsi="Cambria Math" w:eastAsia="Cambria Math"/>
          <w:b w:val="0"/>
          <w:sz w:val="16"/>
          <w:vertAlign w:val="subscript"/>
        </w:rPr>
        <w:t>3T</w:t>
      </w:r>
      <w:r>
        <w:rPr>
          <w:rFonts w:ascii="Cambria Math" w:hAnsi="Cambria Math" w:eastAsia="Cambria Math"/>
          <w:b w:val="0"/>
          <w:sz w:val="22"/>
        </w:rPr>
        <w:t>_</w:t>
      </w:r>
      <w:r>
        <w:rPr>
          <w:rFonts w:ascii="Cambria Math" w:hAnsi="Cambria Math" w:eastAsia="Cambria Math"/>
          <w:b w:val="0"/>
          <w:sz w:val="22"/>
        </w:rPr>
        <w:t>move</w:t>
      </w:r>
      <w:r>
        <w:rPr>
          <w:rFonts w:ascii="Cambria Math" w:hAnsi="Cambria Math" w:eastAsia="Cambria Math"/>
          <w:b w:val="0"/>
          <w:sz w:val="22"/>
        </w:rPr>
        <w:t>-</w:t>
      </w:r>
      <w:r>
        <w:rPr>
          <w:rFonts w:ascii="Cambria Math" w:hAnsi="Cambria Math" w:eastAsia="Cambria Math"/>
          <w:b w:val="0"/>
          <w:sz w:val="22"/>
        </w:rPr>
        <w:t>w</w:t>
      </w:r>
      <w:r>
        <w:rPr>
          <w:rFonts w:ascii="Cambria Math" w:hAnsi="Cambria Math" w:eastAsia="Cambria Math"/>
          <w:b w:val="0"/>
          <w:sz w:val="16"/>
          <w:vertAlign w:val="subscript"/>
        </w:rPr>
        <w:t>4R</w:t>
      </w:r>
      <w:r>
        <w:rPr>
          <w:rFonts w:ascii="Cambria Math" w:hAnsi="Cambria Math" w:eastAsia="Cambria Math"/>
          <w:b w:val="0"/>
          <w:sz w:val="22"/>
        </w:rPr>
        <w:t>_</w:t>
      </w:r>
      <w:r>
        <w:rPr>
          <w:rFonts w:ascii="Cambria Math" w:hAnsi="Cambria Math" w:eastAsia="Cambria Math"/>
          <w:b w:val="0"/>
          <w:sz w:val="22"/>
        </w:rPr>
        <w:t>boundary</w:t>
      </w:r>
      <w:r>
        <w:rPr>
          <w:rFonts w:ascii="Cambria Math" w:hAnsi="Cambria Math" w:eastAsia="Cambria Math"/>
          <w:b w:val="0"/>
          <w:sz w:val="22"/>
        </w:rPr>
        <w:t>-</w:t>
      </w:r>
      <w:r>
        <w:rPr>
          <w:rFonts w:ascii="Cambria Math" w:hAnsi="Cambria Math" w:eastAsia="Cambria Math"/>
          <w:b w:val="0"/>
          <w:sz w:val="22"/>
        </w:rPr>
        <w:t>w</w:t>
      </w:r>
      <w:r>
        <w:rPr>
          <w:rFonts w:ascii="Cambria Math" w:hAnsi="Cambria Math" w:eastAsia="Cambria Math"/>
          <w:b w:val="0"/>
          <w:sz w:val="16"/>
          <w:vertAlign w:val="subscript"/>
        </w:rPr>
        <w:t>5R</w:t>
      </w:r>
      <w:r>
        <w:rPr>
          <w:rFonts w:ascii="Cambria Math" w:hAnsi="Cambria Math" w:eastAsia="Cambria Math"/>
          <w:b w:val="0"/>
          <w:sz w:val="22"/>
        </w:rPr>
        <w:t>_</w:t>
      </w:r>
      <w:r>
        <w:rPr>
          <w:rFonts w:ascii="Cambria Math" w:hAnsi="Cambria Math" w:eastAsia="Cambria Math"/>
          <w:b w:val="0"/>
          <w:sz w:val="22"/>
        </w:rPr>
        <w:t>mec</w:t>
      </w:r>
      <w:r>
        <w:rPr>
          <w:rFonts w:ascii="Cambria Math" w:hAnsi="Cambria Math" w:eastAsia="Cambria Math"/>
          <w:b w:val="0"/>
          <w:sz w:val="16"/>
          <w:vertAlign w:val="superscript"/>
        </w:rPr>
        <w:t>pred</w:t>
      </w:r>
      <w:r>
        <w:rPr>
          <w:rFonts w:ascii="Cambria Math" w:hAnsi="Cambria Math" w:eastAsia="Cambria Math"/>
          <w:b w:val="0"/>
          <w:sz w:val="21"/>
        </w:rPr>
        <w:t xml:space="preserve">    (7)</w:t>
      </w:r>
    </w:p>
    <w:p>
      <w:pPr>
        <w:spacing w:before="60" w:after="100"/>
        <w:jc w:val="center"/>
      </w:pP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*=</w:t>
      </w:r>
      <w:r>
        <w:rPr>
          <w:rFonts w:ascii="Cambria Math" w:hAnsi="Cambria Math" w:eastAsia="Cambria Math"/>
          <w:b w:val="0"/>
          <w:sz w:val="22"/>
        </w:rPr>
        <w:t>arg</w:t>
      </w:r>
      <w:r>
        <w:rPr>
          <w:rFonts w:ascii="Cambria Math" w:hAnsi="Cambria Math" w:eastAsia="Cambria Math"/>
          <w:b w:val="0"/>
          <w:sz w:val="22"/>
        </w:rPr>
        <w:t xml:space="preserve"> </w:t>
      </w:r>
      <w:r>
        <w:rPr>
          <w:rFonts w:ascii="Cambria Math" w:hAnsi="Cambria Math" w:eastAsia="Cambria Math"/>
          <w:b w:val="0"/>
          <w:sz w:val="22"/>
        </w:rPr>
        <w:t>max</w:t>
      </w:r>
      <w:r>
        <w:rPr>
          <w:rFonts w:ascii="Cambria Math" w:hAnsi="Cambria Math" w:eastAsia="Cambria Math"/>
          <w:b w:val="0"/>
          <w:sz w:val="22"/>
        </w:rPr>
        <w:t>_{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∈</w:t>
      </w:r>
      <w:r>
        <w:rPr>
          <w:rFonts w:ascii="Cambria Math" w:hAnsi="Cambria Math" w:eastAsia="Cambria Math"/>
          <w:b w:val="0"/>
          <w:sz w:val="22"/>
        </w:rPr>
        <w:t>C</w:t>
      </w:r>
      <w:r>
        <w:rPr>
          <w:rFonts w:ascii="Cambria Math" w:hAnsi="Cambria Math" w:eastAsia="Cambria Math"/>
          <w:b w:val="0"/>
          <w:sz w:val="22"/>
        </w:rPr>
        <w:t>}</w:t>
      </w:r>
      <w:r>
        <w:rPr>
          <w:rFonts w:ascii="Cambria Math" w:hAnsi="Cambria Math" w:eastAsia="Cambria Math"/>
          <w:b w:val="0"/>
          <w:sz w:val="22"/>
        </w:rPr>
        <w:t>J</w:t>
      </w:r>
      <w:r>
        <w:rPr>
          <w:rFonts w:ascii="Cambria Math" w:hAnsi="Cambria Math" w:eastAsia="Cambria Math"/>
          <w:b w:val="0"/>
          <w:sz w:val="22"/>
        </w:rPr>
        <w:t>(</w:t>
      </w:r>
      <w:r>
        <w:rPr>
          <w:rFonts w:ascii="Cambria Math" w:hAnsi="Cambria Math" w:eastAsia="Cambria Math"/>
          <w:b w:val="0"/>
          <w:sz w:val="22"/>
        </w:rPr>
        <w:t>S</w:t>
      </w:r>
      <w:r>
        <w:rPr>
          <w:rFonts w:ascii="Cambria Math" w:hAnsi="Cambria Math" w:eastAsia="Cambria Math"/>
          <w:b w:val="0"/>
          <w:sz w:val="16"/>
          <w:vertAlign w:val="subscript"/>
        </w:rPr>
        <w:t>2</w:t>
      </w:r>
      <w:r>
        <w:rPr>
          <w:rFonts w:ascii="Cambria Math" w:hAnsi="Cambria Math" w:eastAsia="Cambria Math"/>
          <w:b w:val="0"/>
          <w:sz w:val="22"/>
        </w:rPr>
        <w:t>)</w:t>
      </w:r>
      <w:r>
        <w:rPr>
          <w:rFonts w:ascii="Cambria Math" w:hAnsi="Cambria Math" w:eastAsia="Cambria Math"/>
          <w:b w:val="0"/>
          <w:sz w:val="21"/>
        </w:rPr>
        <w:t xml:space="preserve">    (8)</w:t>
      </w:r>
    </w:p>
    <w:p>
      <w:pPr>
        <w:pStyle w:val="ListBullet"/>
        <w:spacing w:line="312" w:lineRule="auto"/>
      </w:pPr>
      <w:r>
        <w:rPr>
          <w:rFonts w:ascii="宋体" w:hAnsi="宋体" w:eastAsia="宋体"/>
          <w:b w:val="0"/>
          <w:sz w:val="21"/>
        </w:rPr>
        <w:t>构造 A_1 并生成候选集合 C。</w:t>
      </w:r>
    </w:p>
    <w:p>
      <w:pPr>
        <w:pStyle w:val="ListBullet"/>
        <w:spacing w:line="312" w:lineRule="auto"/>
      </w:pPr>
      <w:r>
        <w:rPr>
          <w:rFonts w:ascii="宋体" w:hAnsi="宋体" w:eastAsia="宋体"/>
          <w:b w:val="0"/>
          <w:sz w:val="21"/>
        </w:rPr>
        <w:t>逐点计算交会角、保守接收比例、移动时间和边界风险。</w:t>
      </w:r>
    </w:p>
    <w:p>
      <w:pPr>
        <w:pStyle w:val="ListBullet"/>
        <w:spacing w:line="312" w:lineRule="auto"/>
      </w:pPr>
      <w:r>
        <w:rPr>
          <w:rFonts w:ascii="宋体" w:hAnsi="宋体" w:eastAsia="宋体"/>
          <w:b w:val="0"/>
          <w:sz w:val="21"/>
        </w:rPr>
        <w:t>选取评分最大的 S_2* 并执行第二次检测。</w:t>
      </w:r>
    </w:p>
    <w:p>
      <w:pPr>
        <w:pStyle w:val="ListBullet"/>
        <w:spacing w:line="312" w:lineRule="auto"/>
      </w:pPr>
      <w:r>
        <w:rPr>
          <w:rFonts w:ascii="宋体" w:hAnsi="宋体" w:eastAsia="宋体"/>
          <w:b w:val="0"/>
          <w:sz w:val="21"/>
        </w:rPr>
        <w:t>direction 时调用问题1更新；near 时优先清除；否则更新风险后继续选点。</w:t>
      </w:r>
    </w:p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六 模型检验与结果呈现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对照策略</w:t>
            </w:r>
          </w:p>
        </w:tc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比较指标</w:t>
            </w:r>
          </w:p>
        </w:tc>
        <w:tc>
          <w:tcPr>
            <w:tcW w:type="dxa" w:w="3022"/>
            <w:shd w:fill="1F4E78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固定 90° 几何点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D_P、R_mec、移动时间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检验只追求交会角的局限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最近可达点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二次接收率、总耗时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检验只追求接收可靠性的局限</w:t>
            </w:r>
          </w:p>
        </w:tc>
      </w:tr>
      <w:tr>
        <w:tc>
          <w:tcPr>
            <w:tcW w:type="dxa" w:w="3022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随机候选点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综合评分、结果方差</w:t>
            </w:r>
          </w:p>
        </w:tc>
        <w:tc>
          <w:tcPr>
            <w:tcW w:type="dxa" w:w="3022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检验本文策略稳定性</w:t>
            </w:r>
          </w:p>
        </w:tc>
      </w:tr>
      <w:tr>
        <w:tc>
          <w:tcPr>
            <w:tcW w:type="dxa" w:w="3022"/>
            <w:shd w:fill="EAF2F8"/>
          </w:tcPr>
          <w:p>
            <w:pPr>
              <w:spacing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联合评分策略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定位尺度、接收率、移动时间</w:t>
            </w:r>
          </w:p>
        </w:tc>
        <w:tc>
          <w:tcPr>
            <w:tcW w:type="dxa" w:w="3022"/>
            <w:shd w:fill="EAF2F8"/>
          </w:tcPr>
          <w:p>
            <w:pPr>
              <w:spacing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17"/>
              </w:rPr>
              <w:t>说明多目标折中收益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建议图表：初始扇形与候选点示意图、综合评分热力图、交会角与预测 R_mec 曲线、四种策略对比柱状图。对测向误差、接收半径先验和权重做 ±10% 扰动。</w:t>
      </w:r>
    </w:p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七 本问结论与后续接口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1"/>
        </w:rPr>
        <w:t>本问输出下一检测点 S_2* 及评分分解。问题3、4每发现一个新频道或未收敛区域，即调用该局部主动选点器；全局层负责选择优先处理的频道或区域。</w:t>
      </w:r>
    </w:p>
    <w:p>
      <w:pPr>
        <w:pStyle w:val="Heading1"/>
        <w:spacing w:before="200" w:after="100"/>
      </w:pPr>
      <w:r>
        <w:rPr>
          <w:rFonts w:ascii="黑体" w:hAnsi="黑体" w:eastAsia="黑体"/>
          <w:b/>
          <w:sz w:val="30"/>
        </w:rPr>
        <w:t>参考文献</w:t>
      </w:r>
    </w:p>
    <w:p>
      <w:pPr>
        <w:spacing w:line="300" w:lineRule="auto"/>
        <w:ind w:left="369" w:hanging="369"/>
      </w:pPr>
      <w:r>
        <w:rPr>
          <w:rFonts w:ascii="宋体" w:hAnsi="宋体" w:eastAsia="宋体"/>
          <w:b w:val="0"/>
          <w:sz w:val="19"/>
        </w:rPr>
        <w:t>[1] Zhao Y, et al. Optimal Placement of Bearing-only Sensors for Target Localization[C]. American Control Conference, 2012.</w:t>
      </w:r>
    </w:p>
    <w:p>
      <w:pPr>
        <w:spacing w:line="300" w:lineRule="auto"/>
        <w:ind w:left="369" w:hanging="369"/>
      </w:pPr>
      <w:r>
        <w:rPr>
          <w:rFonts w:ascii="宋体" w:hAnsi="宋体" w:eastAsia="宋体"/>
          <w:b w:val="0"/>
          <w:sz w:val="19"/>
        </w:rPr>
        <w:t>[2] Tokekar P, et al. Active Target Localization for Bearing Based Robotic Telemetry[C]. IROS, 2011.</w:t>
      </w:r>
    </w:p>
    <w:p>
      <w:pPr>
        <w:spacing w:line="300" w:lineRule="auto"/>
        <w:ind w:left="369" w:hanging="369"/>
      </w:pPr>
      <w:r>
        <w:rPr>
          <w:rFonts w:ascii="宋体" w:hAnsi="宋体" w:eastAsia="宋体"/>
          <w:b w:val="0"/>
          <w:sz w:val="19"/>
        </w:rPr>
        <w:t>[3] Tokekar P, et al. Cautious greedy strategy for bearing-only active localization: Analysis and field experiments[J]. Journal of Field Robotics, 2014.</w:t>
      </w:r>
    </w:p>
    <w:p>
      <w:pPr>
        <w:spacing w:line="300" w:lineRule="auto"/>
        <w:ind w:left="369" w:hanging="369"/>
      </w:pPr>
      <w:r>
        <w:rPr>
          <w:rFonts w:ascii="宋体" w:hAnsi="宋体" w:eastAsia="宋体"/>
          <w:b w:val="0"/>
          <w:sz w:val="19"/>
        </w:rPr>
        <w:t>[4] 罗双喜，等. 多站交叉定位相对 GDOP 及其测向站分布问题研究[J]. 2020.</w:t>
      </w:r>
    </w:p>
    <w:sectPr w:rsidR="00FC693F" w:rsidRPr="0006063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