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7E71" w14:textId="77777777" w:rsidR="005660F8" w:rsidRPr="005660F8" w:rsidRDefault="005660F8" w:rsidP="005660F8">
      <w:pPr>
        <w:shd w:val="clear" w:color="auto" w:fill="FFFFFF"/>
        <w:spacing w:line="825" w:lineRule="atLeast"/>
        <w:textAlignment w:val="baseline"/>
        <w:outlineLvl w:val="0"/>
        <w:rPr>
          <w:rFonts w:ascii="Playfair Display" w:eastAsia="Times New Roman" w:hAnsi="Playfair Display" w:cs="Open Sans"/>
          <w:b/>
          <w:bCs/>
          <w:color w:val="1B1B1B"/>
          <w:kern w:val="36"/>
          <w:sz w:val="48"/>
          <w:szCs w:val="48"/>
          <w:lang w:eastAsia="es-ES"/>
        </w:rPr>
      </w:pPr>
      <w:r w:rsidRPr="005660F8">
        <w:rPr>
          <w:rFonts w:ascii="Playfair Display" w:eastAsia="Times New Roman" w:hAnsi="Playfair Display" w:cs="Open Sans"/>
          <w:b/>
          <w:bCs/>
          <w:color w:val="1B1B1B"/>
          <w:kern w:val="36"/>
          <w:sz w:val="48"/>
          <w:szCs w:val="48"/>
          <w:lang w:eastAsia="es-ES"/>
        </w:rPr>
        <w:t>La luz se encarece un 35% en la primera quincena de julio y la OCU denuncia que la factura oculta el precio de la energía</w:t>
      </w:r>
    </w:p>
    <w:p w14:paraId="26AFA6DE" w14:textId="77777777" w:rsidR="005660F8" w:rsidRPr="005660F8" w:rsidRDefault="005660F8" w:rsidP="005660F8">
      <w:pPr>
        <w:shd w:val="clear" w:color="auto" w:fill="FFFFFF"/>
        <w:spacing w:line="420" w:lineRule="atLeast"/>
        <w:textAlignment w:val="baseline"/>
        <w:rPr>
          <w:rFonts w:ascii="Playfair Display" w:eastAsia="Times New Roman" w:hAnsi="Playfair Display" w:cs="Open Sans"/>
          <w:color w:val="000000"/>
          <w:sz w:val="27"/>
          <w:szCs w:val="27"/>
          <w:lang w:eastAsia="es-ES"/>
        </w:rPr>
      </w:pPr>
      <w:r w:rsidRPr="005660F8">
        <w:rPr>
          <w:rFonts w:ascii="Playfair Display" w:eastAsia="Times New Roman" w:hAnsi="Playfair Display" w:cs="Open Sans"/>
          <w:color w:val="000000"/>
          <w:sz w:val="27"/>
          <w:szCs w:val="27"/>
          <w:lang w:eastAsia="es-ES"/>
        </w:rPr>
        <w:t>Así con las tarifas de los quince primeros días de este mes, el usuario medio pagará 21,68 euros más que en julio de 2020, cuando la factura se situó en 62,67 euros.</w:t>
      </w:r>
    </w:p>
    <w:p w14:paraId="3BA16931" w14:textId="77777777" w:rsidR="005660F8" w:rsidRPr="005660F8" w:rsidRDefault="005660F8" w:rsidP="005660F8">
      <w:pPr>
        <w:shd w:val="clear" w:color="auto" w:fill="FFFFFF"/>
        <w:spacing w:after="0" w:line="240" w:lineRule="auto"/>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b/>
          <w:bCs/>
          <w:caps/>
          <w:color w:val="000000"/>
          <w:sz w:val="27"/>
          <w:szCs w:val="27"/>
          <w:bdr w:val="none" w:sz="0" w:space="0" w:color="auto" w:frame="1"/>
          <w:lang w:eastAsia="es-ES"/>
        </w:rPr>
        <w:t>NOTICIA</w:t>
      </w:r>
    </w:p>
    <w:p w14:paraId="3A4D4EC6" w14:textId="77777777" w:rsidR="005660F8" w:rsidRPr="005660F8" w:rsidRDefault="005660F8" w:rsidP="005660F8">
      <w:pPr>
        <w:shd w:val="clear" w:color="auto" w:fill="FFFFFF"/>
        <w:spacing w:after="30" w:line="240" w:lineRule="atLeast"/>
        <w:textAlignment w:val="baseline"/>
        <w:rPr>
          <w:rFonts w:ascii="Open Sans" w:eastAsia="Times New Roman" w:hAnsi="Open Sans" w:cs="Open Sans"/>
          <w:caps/>
          <w:color w:val="000000"/>
          <w:sz w:val="27"/>
          <w:szCs w:val="27"/>
          <w:lang w:eastAsia="es-ES"/>
        </w:rPr>
      </w:pPr>
      <w:r w:rsidRPr="005660F8">
        <w:rPr>
          <w:rFonts w:ascii="Open Sans" w:eastAsia="Times New Roman" w:hAnsi="Open Sans" w:cs="Open Sans"/>
          <w:caps/>
          <w:color w:val="000000"/>
          <w:sz w:val="27"/>
          <w:szCs w:val="27"/>
          <w:bdr w:val="none" w:sz="0" w:space="0" w:color="auto" w:frame="1"/>
          <w:lang w:eastAsia="es-ES"/>
        </w:rPr>
        <w:t>ACTUALIZADA 16/7/2021 A LAS 12:00</w:t>
      </w:r>
    </w:p>
    <w:p w14:paraId="42D3D0D4" w14:textId="77777777" w:rsidR="005660F8" w:rsidRPr="005660F8" w:rsidRDefault="005660F8" w:rsidP="005660F8">
      <w:pPr>
        <w:numPr>
          <w:ilvl w:val="0"/>
          <w:numId w:val="1"/>
        </w:numPr>
        <w:shd w:val="clear" w:color="auto" w:fill="FFFFFF"/>
        <w:spacing w:after="0" w:line="255" w:lineRule="atLeast"/>
        <w:textAlignment w:val="baseline"/>
        <w:rPr>
          <w:rFonts w:ascii="Open Sans" w:eastAsia="Times New Roman" w:hAnsi="Open Sans" w:cs="Open Sans"/>
          <w:b/>
          <w:bCs/>
          <w:caps/>
          <w:color w:val="3B3B3B"/>
          <w:sz w:val="27"/>
          <w:szCs w:val="27"/>
          <w:lang w:eastAsia="es-ES"/>
        </w:rPr>
      </w:pPr>
      <w:hyperlink r:id="rId5" w:history="1">
        <w:r w:rsidRPr="005660F8">
          <w:rPr>
            <w:rFonts w:ascii="Open Sans" w:eastAsia="Times New Roman" w:hAnsi="Open Sans" w:cs="Open Sans"/>
            <w:b/>
            <w:bCs/>
            <w:caps/>
            <w:color w:val="3B3B3B"/>
            <w:sz w:val="27"/>
            <w:szCs w:val="27"/>
            <w:bdr w:val="none" w:sz="0" w:space="0" w:color="auto" w:frame="1"/>
            <w:lang w:eastAsia="es-ES"/>
          </w:rPr>
          <w:t>HERALDO.ES</w:t>
        </w:r>
      </w:hyperlink>
    </w:p>
    <w:p w14:paraId="52FF391E" w14:textId="77777777" w:rsidR="005660F8" w:rsidRPr="005660F8" w:rsidRDefault="005660F8" w:rsidP="005660F8">
      <w:pPr>
        <w:numPr>
          <w:ilvl w:val="0"/>
          <w:numId w:val="2"/>
        </w:numPr>
        <w:shd w:val="clear" w:color="auto" w:fill="3B5998"/>
        <w:spacing w:after="0" w:line="240" w:lineRule="auto"/>
        <w:ind w:left="810"/>
        <w:jc w:val="center"/>
        <w:textAlignment w:val="baseline"/>
        <w:rPr>
          <w:rFonts w:ascii="Open Sans" w:eastAsia="Times New Roman" w:hAnsi="Open Sans" w:cs="Open Sans"/>
          <w:color w:val="FFFFFF"/>
          <w:sz w:val="27"/>
          <w:szCs w:val="27"/>
          <w:lang w:eastAsia="es-ES"/>
        </w:rPr>
      </w:pPr>
    </w:p>
    <w:p w14:paraId="243F2784" w14:textId="77777777" w:rsidR="005660F8" w:rsidRPr="005660F8" w:rsidRDefault="005660F8" w:rsidP="005660F8">
      <w:pPr>
        <w:numPr>
          <w:ilvl w:val="0"/>
          <w:numId w:val="2"/>
        </w:numPr>
        <w:shd w:val="clear" w:color="auto" w:fill="00ACED"/>
        <w:spacing w:after="0" w:line="240" w:lineRule="auto"/>
        <w:ind w:left="810"/>
        <w:jc w:val="center"/>
        <w:textAlignment w:val="baseline"/>
        <w:rPr>
          <w:rFonts w:ascii="Open Sans" w:eastAsia="Times New Roman" w:hAnsi="Open Sans" w:cs="Open Sans"/>
          <w:color w:val="FFFFFF"/>
          <w:sz w:val="27"/>
          <w:szCs w:val="27"/>
          <w:lang w:eastAsia="es-ES"/>
        </w:rPr>
      </w:pPr>
    </w:p>
    <w:p w14:paraId="25DBB0D9" w14:textId="77777777" w:rsidR="005660F8" w:rsidRPr="005660F8" w:rsidRDefault="005660F8" w:rsidP="005660F8">
      <w:pPr>
        <w:numPr>
          <w:ilvl w:val="0"/>
          <w:numId w:val="2"/>
        </w:numPr>
        <w:shd w:val="clear" w:color="auto" w:fill="25D366"/>
        <w:spacing w:line="240" w:lineRule="auto"/>
        <w:ind w:left="810"/>
        <w:jc w:val="center"/>
        <w:textAlignment w:val="baseline"/>
        <w:rPr>
          <w:rFonts w:ascii="Open Sans" w:eastAsia="Times New Roman" w:hAnsi="Open Sans" w:cs="Open Sans"/>
          <w:color w:val="FFFFFF"/>
          <w:sz w:val="27"/>
          <w:szCs w:val="27"/>
          <w:lang w:eastAsia="es-ES"/>
        </w:rPr>
      </w:pPr>
    </w:p>
    <w:p w14:paraId="781C29A7" w14:textId="39ACA5F1" w:rsidR="005660F8" w:rsidRPr="005660F8" w:rsidRDefault="005660F8" w:rsidP="005660F8">
      <w:pPr>
        <w:shd w:val="clear" w:color="auto" w:fill="FFFFFF"/>
        <w:spacing w:after="0" w:line="240" w:lineRule="auto"/>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Teresa Ribera asegura que el precio de la luz seguirá en su línea durante más meses</w:t>
      </w:r>
    </w:p>
    <w:p w14:paraId="6B76EE0A" w14:textId="77777777" w:rsidR="005660F8" w:rsidRPr="005660F8" w:rsidRDefault="005660F8" w:rsidP="005660F8">
      <w:pPr>
        <w:shd w:val="clear" w:color="auto" w:fill="FFFFFF"/>
        <w:spacing w:after="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La</w:t>
      </w:r>
      <w:r w:rsidRPr="005660F8">
        <w:rPr>
          <w:rFonts w:ascii="Open Sans" w:eastAsia="Times New Roman" w:hAnsi="Open Sans" w:cs="Open Sans"/>
          <w:b/>
          <w:bCs/>
          <w:color w:val="000000"/>
          <w:sz w:val="27"/>
          <w:szCs w:val="27"/>
          <w:bdr w:val="none" w:sz="0" w:space="0" w:color="auto" w:frame="1"/>
          <w:lang w:eastAsia="es-ES"/>
        </w:rPr>
        <w:t> factura de la luz</w:t>
      </w:r>
      <w:r w:rsidRPr="005660F8">
        <w:rPr>
          <w:rFonts w:ascii="Open Sans" w:eastAsia="Times New Roman" w:hAnsi="Open Sans" w:cs="Open Sans"/>
          <w:color w:val="000000"/>
          <w:sz w:val="27"/>
          <w:szCs w:val="27"/>
          <w:lang w:eastAsia="es-ES"/>
        </w:rPr>
        <w:t> de un usuario medio se ha encarecido un 34,6% en la primera quincena de julio con respecto al mismo mes del año pasado, según datos de </w:t>
      </w:r>
      <w:r w:rsidRPr="005660F8">
        <w:rPr>
          <w:rFonts w:ascii="Open Sans" w:eastAsia="Times New Roman" w:hAnsi="Open Sans" w:cs="Open Sans"/>
          <w:b/>
          <w:bCs/>
          <w:color w:val="000000"/>
          <w:sz w:val="27"/>
          <w:szCs w:val="27"/>
          <w:bdr w:val="none" w:sz="0" w:space="0" w:color="auto" w:frame="1"/>
          <w:lang w:eastAsia="es-ES"/>
        </w:rPr>
        <w:t>Facua-Consumidores en Acción.</w:t>
      </w:r>
    </w:p>
    <w:p w14:paraId="4C96F7EF" w14:textId="77777777" w:rsidR="005660F8" w:rsidRPr="005660F8" w:rsidRDefault="005660F8" w:rsidP="005660F8">
      <w:pPr>
        <w:shd w:val="clear" w:color="auto" w:fill="FFFFFF"/>
        <w:spacing w:line="240" w:lineRule="auto"/>
        <w:jc w:val="center"/>
        <w:textAlignment w:val="baseline"/>
        <w:rPr>
          <w:rFonts w:ascii="Open Sans" w:eastAsia="Times New Roman" w:hAnsi="Open Sans" w:cs="Open Sans"/>
          <w:color w:val="585858"/>
          <w:sz w:val="27"/>
          <w:szCs w:val="27"/>
          <w:lang w:eastAsia="es-ES"/>
        </w:rPr>
      </w:pPr>
      <w:r w:rsidRPr="005660F8">
        <w:rPr>
          <w:rFonts w:ascii="Open Sans" w:eastAsia="Times New Roman" w:hAnsi="Open Sans" w:cs="Open Sans"/>
          <w:color w:val="585858"/>
          <w:sz w:val="27"/>
          <w:szCs w:val="27"/>
          <w:lang w:eastAsia="es-ES"/>
        </w:rPr>
        <w:t>ADVERTISING</w:t>
      </w:r>
    </w:p>
    <w:p w14:paraId="56B260DE" w14:textId="77777777" w:rsidR="005660F8" w:rsidRPr="005660F8" w:rsidRDefault="005660F8" w:rsidP="005660F8">
      <w:pPr>
        <w:shd w:val="clear" w:color="auto" w:fill="FFFFFF"/>
        <w:spacing w:after="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Según estimaciones de la asociación de consumidores sobre la evolución de la tarifa </w:t>
      </w:r>
      <w:r w:rsidRPr="005660F8">
        <w:rPr>
          <w:rFonts w:ascii="Open Sans" w:eastAsia="Times New Roman" w:hAnsi="Open Sans" w:cs="Open Sans"/>
          <w:b/>
          <w:bCs/>
          <w:color w:val="000000"/>
          <w:sz w:val="27"/>
          <w:szCs w:val="27"/>
          <w:bdr w:val="none" w:sz="0" w:space="0" w:color="auto" w:frame="1"/>
          <w:lang w:eastAsia="es-ES"/>
        </w:rPr>
        <w:t>semirregulada (PVPC)</w:t>
      </w:r>
      <w:r w:rsidRPr="005660F8">
        <w:rPr>
          <w:rFonts w:ascii="Open Sans" w:eastAsia="Times New Roman" w:hAnsi="Open Sans" w:cs="Open Sans"/>
          <w:color w:val="000000"/>
          <w:sz w:val="27"/>
          <w:szCs w:val="27"/>
          <w:lang w:eastAsia="es-ES"/>
        </w:rPr>
        <w:t>, de seguir así las tarifas, la factura mensual se situaría en 84,35 euros, un importe del recibo aún más elevado que el de junio, cuando fue de 81,27 euros.</w:t>
      </w:r>
    </w:p>
    <w:p w14:paraId="143B04B6" w14:textId="77777777" w:rsidR="005660F8" w:rsidRPr="005660F8" w:rsidRDefault="005660F8" w:rsidP="005660F8">
      <w:pPr>
        <w:shd w:val="clear" w:color="auto" w:fill="FFFFFF"/>
        <w:spacing w:after="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Así, c</w:t>
      </w:r>
      <w:r w:rsidRPr="005660F8">
        <w:rPr>
          <w:rFonts w:ascii="Open Sans" w:eastAsia="Times New Roman" w:hAnsi="Open Sans" w:cs="Open Sans"/>
          <w:b/>
          <w:bCs/>
          <w:color w:val="000000"/>
          <w:sz w:val="27"/>
          <w:szCs w:val="27"/>
          <w:bdr w:val="none" w:sz="0" w:space="0" w:color="auto" w:frame="1"/>
          <w:lang w:eastAsia="es-ES"/>
        </w:rPr>
        <w:t>on las tarifas de los quince primeros días de este mes, el usuario medio pagará 21,68 euros más que en julio de 2020, cuando la factura se situó en 62,67 euros.</w:t>
      </w:r>
    </w:p>
    <w:p w14:paraId="37306859" w14:textId="77777777" w:rsidR="005660F8" w:rsidRPr="005660F8" w:rsidRDefault="005660F8" w:rsidP="005660F8">
      <w:pPr>
        <w:shd w:val="clear" w:color="auto" w:fill="FFFFFF"/>
        <w:spacing w:after="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La </w:t>
      </w:r>
      <w:r w:rsidRPr="005660F8">
        <w:rPr>
          <w:rFonts w:ascii="Open Sans" w:eastAsia="Times New Roman" w:hAnsi="Open Sans" w:cs="Open Sans"/>
          <w:b/>
          <w:bCs/>
          <w:color w:val="000000"/>
          <w:sz w:val="27"/>
          <w:szCs w:val="27"/>
          <w:bdr w:val="none" w:sz="0" w:space="0" w:color="auto" w:frame="1"/>
          <w:lang w:eastAsia="es-ES"/>
        </w:rPr>
        <w:t>asociación estima que la bajada del IVA al 10% hasta diciembre mientras el precio medio del megavatio hora</w:t>
      </w:r>
      <w:r w:rsidRPr="005660F8">
        <w:rPr>
          <w:rFonts w:ascii="Open Sans" w:eastAsia="Times New Roman" w:hAnsi="Open Sans" w:cs="Open Sans"/>
          <w:color w:val="000000"/>
          <w:sz w:val="27"/>
          <w:szCs w:val="27"/>
          <w:lang w:eastAsia="es-ES"/>
        </w:rPr>
        <w:t xml:space="preserve"> esté </w:t>
      </w:r>
      <w:r w:rsidRPr="005660F8">
        <w:rPr>
          <w:rFonts w:ascii="Open Sans" w:eastAsia="Times New Roman" w:hAnsi="Open Sans" w:cs="Open Sans"/>
          <w:color w:val="000000"/>
          <w:sz w:val="27"/>
          <w:szCs w:val="27"/>
          <w:lang w:eastAsia="es-ES"/>
        </w:rPr>
        <w:lastRenderedPageBreak/>
        <w:t>por encima de los 45 euros ha amortiguado la subida en 8,44 euros. Si se siguiera aplicando el 21%, el recibo habría batido todos los récords, alcanzado los 92,79 euros.</w:t>
      </w:r>
    </w:p>
    <w:p w14:paraId="571FFAF1" w14:textId="77777777" w:rsidR="005660F8" w:rsidRPr="005660F8" w:rsidRDefault="005660F8" w:rsidP="005660F8">
      <w:pPr>
        <w:shd w:val="clear" w:color="auto" w:fill="FFFFFF"/>
        <w:spacing w:line="210" w:lineRule="atLeast"/>
        <w:textAlignment w:val="baseline"/>
        <w:rPr>
          <w:rFonts w:ascii="Open Sans" w:eastAsia="Times New Roman" w:hAnsi="Open Sans" w:cs="Open Sans"/>
          <w:b/>
          <w:bCs/>
          <w:caps/>
          <w:color w:val="1B1B1B"/>
          <w:sz w:val="27"/>
          <w:szCs w:val="27"/>
          <w:lang w:eastAsia="es-ES"/>
        </w:rPr>
      </w:pPr>
      <w:r w:rsidRPr="005660F8">
        <w:rPr>
          <w:rFonts w:ascii="Open Sans" w:eastAsia="Times New Roman" w:hAnsi="Open Sans" w:cs="Open Sans"/>
          <w:b/>
          <w:bCs/>
          <w:caps/>
          <w:color w:val="1B1B1B"/>
          <w:sz w:val="27"/>
          <w:szCs w:val="27"/>
          <w:bdr w:val="none" w:sz="0" w:space="0" w:color="auto" w:frame="1"/>
          <w:lang w:eastAsia="es-ES"/>
        </w:rPr>
        <w:t>MÁS INFORMACIÓN</w:t>
      </w:r>
    </w:p>
    <w:p w14:paraId="00EADCE0" w14:textId="3A646CBF" w:rsidR="005660F8" w:rsidRPr="005660F8" w:rsidRDefault="005660F8" w:rsidP="005660F8">
      <w:pPr>
        <w:shd w:val="clear" w:color="auto" w:fill="FFFFFF"/>
        <w:spacing w:after="0" w:line="240" w:lineRule="auto"/>
        <w:textAlignment w:val="baseline"/>
        <w:rPr>
          <w:rFonts w:ascii="Open Sans" w:eastAsia="Times New Roman" w:hAnsi="Open Sans" w:cs="Open Sans"/>
          <w:color w:val="000000"/>
          <w:sz w:val="27"/>
          <w:szCs w:val="27"/>
          <w:lang w:eastAsia="es-ES"/>
        </w:rPr>
      </w:pPr>
    </w:p>
    <w:p w14:paraId="4D283160" w14:textId="77777777" w:rsidR="005660F8" w:rsidRPr="005660F8" w:rsidRDefault="005660F8" w:rsidP="005660F8">
      <w:pPr>
        <w:shd w:val="clear" w:color="auto" w:fill="FFFFFF"/>
        <w:spacing w:after="0" w:line="240" w:lineRule="auto"/>
        <w:textAlignment w:val="baseline"/>
        <w:rPr>
          <w:rFonts w:ascii="Open Sans" w:eastAsia="Times New Roman" w:hAnsi="Open Sans" w:cs="Open Sans"/>
          <w:color w:val="000000"/>
          <w:sz w:val="27"/>
          <w:szCs w:val="27"/>
          <w:lang w:eastAsia="es-ES"/>
        </w:rPr>
      </w:pPr>
      <w:hyperlink r:id="rId6" w:history="1">
        <w:r w:rsidRPr="005660F8">
          <w:rPr>
            <w:rFonts w:ascii="Playfair Display" w:eastAsia="Times New Roman" w:hAnsi="Playfair Display" w:cs="Open Sans"/>
            <w:b/>
            <w:bCs/>
            <w:color w:val="1B1B1B"/>
            <w:sz w:val="27"/>
            <w:szCs w:val="27"/>
            <w:bdr w:val="none" w:sz="0" w:space="0" w:color="auto" w:frame="1"/>
            <w:lang w:eastAsia="es-ES"/>
          </w:rPr>
          <w:t>Lavadora, lavavajillas o aire acondicionado: cuánto podemos ahorrar con la bajada del IVA de la luz en la factura</w:t>
        </w:r>
      </w:hyperlink>
    </w:p>
    <w:p w14:paraId="19FB0BF7" w14:textId="61F97759" w:rsidR="005660F8" w:rsidRPr="005660F8" w:rsidRDefault="005660F8" w:rsidP="005660F8">
      <w:pPr>
        <w:shd w:val="clear" w:color="auto" w:fill="FFFFFF"/>
        <w:spacing w:after="0" w:line="240" w:lineRule="auto"/>
        <w:textAlignment w:val="baseline"/>
        <w:rPr>
          <w:rFonts w:ascii="Open Sans" w:eastAsia="Times New Roman" w:hAnsi="Open Sans" w:cs="Open Sans"/>
          <w:color w:val="000000"/>
          <w:sz w:val="27"/>
          <w:szCs w:val="27"/>
          <w:lang w:eastAsia="es-ES"/>
        </w:rPr>
      </w:pPr>
    </w:p>
    <w:p w14:paraId="4F06CABC" w14:textId="77777777" w:rsidR="005660F8" w:rsidRPr="005660F8" w:rsidRDefault="005660F8" w:rsidP="005660F8">
      <w:pPr>
        <w:shd w:val="clear" w:color="auto" w:fill="FFFFFF"/>
        <w:spacing w:line="240" w:lineRule="auto"/>
        <w:textAlignment w:val="baseline"/>
        <w:rPr>
          <w:rFonts w:ascii="Open Sans" w:eastAsia="Times New Roman" w:hAnsi="Open Sans" w:cs="Open Sans"/>
          <w:color w:val="000000"/>
          <w:sz w:val="27"/>
          <w:szCs w:val="27"/>
          <w:lang w:eastAsia="es-ES"/>
        </w:rPr>
      </w:pPr>
      <w:hyperlink r:id="rId7" w:history="1">
        <w:r w:rsidRPr="005660F8">
          <w:rPr>
            <w:rFonts w:ascii="Playfair Display" w:eastAsia="Times New Roman" w:hAnsi="Playfair Display" w:cs="Open Sans"/>
            <w:b/>
            <w:bCs/>
            <w:color w:val="1B1B1B"/>
            <w:sz w:val="27"/>
            <w:szCs w:val="27"/>
            <w:bdr w:val="none" w:sz="0" w:space="0" w:color="auto" w:frame="1"/>
            <w:lang w:eastAsia="es-ES"/>
          </w:rPr>
          <w:t>¿A qué hora será más barato poner la lavadora o el lavavajillas con la nueva factura de la luz?</w:t>
        </w:r>
      </w:hyperlink>
    </w:p>
    <w:p w14:paraId="529C7D7D" w14:textId="77777777" w:rsidR="005660F8" w:rsidRPr="005660F8" w:rsidRDefault="005660F8" w:rsidP="005660F8">
      <w:pPr>
        <w:shd w:val="clear" w:color="auto" w:fill="FFFFFF"/>
        <w:spacing w:after="45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De seguir así las tarifas, el de julio será el tercer recibo más caro a nivel histórico para el usuario medio. Hasta la fecha, las cinco facturas más elevadas han sido los 88,66 euros del primer trimestre de 2012, los 87,81 euros de enero de 2017, los 83,55 euros de septiembre de 2018, los 82,13 euros de mayo de 2021 y los 81,55 euros de febrero de 2021.</w:t>
      </w:r>
    </w:p>
    <w:p w14:paraId="58871387" w14:textId="77777777" w:rsidR="005660F8" w:rsidRPr="005660F8" w:rsidRDefault="005660F8" w:rsidP="005660F8">
      <w:pPr>
        <w:shd w:val="clear" w:color="auto" w:fill="FFFFFF"/>
        <w:spacing w:after="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El usuario medio utilizado po</w:t>
      </w:r>
      <w:r w:rsidRPr="005660F8">
        <w:rPr>
          <w:rFonts w:ascii="Open Sans" w:eastAsia="Times New Roman" w:hAnsi="Open Sans" w:cs="Open Sans"/>
          <w:b/>
          <w:bCs/>
          <w:color w:val="000000"/>
          <w:sz w:val="27"/>
          <w:szCs w:val="27"/>
          <w:bdr w:val="none" w:sz="0" w:space="0" w:color="auto" w:frame="1"/>
          <w:lang w:eastAsia="es-ES"/>
        </w:rPr>
        <w:t>r Facua en sus análisis tiene una potencia contratada de 4,4 kilovatios (kW) -la misma en horario punta y valle</w:t>
      </w:r>
      <w:r w:rsidRPr="005660F8">
        <w:rPr>
          <w:rFonts w:ascii="Open Sans" w:eastAsia="Times New Roman" w:hAnsi="Open Sans" w:cs="Open Sans"/>
          <w:color w:val="000000"/>
          <w:sz w:val="27"/>
          <w:szCs w:val="27"/>
          <w:lang w:eastAsia="es-ES"/>
        </w:rPr>
        <w:t>- y un consumo de 366 kilovatios hora (kWh) mensuales.</w:t>
      </w:r>
    </w:p>
    <w:p w14:paraId="51050A31" w14:textId="77777777" w:rsidR="005660F8" w:rsidRPr="005660F8" w:rsidRDefault="005660F8" w:rsidP="005660F8">
      <w:pPr>
        <w:shd w:val="clear" w:color="auto" w:fill="FFFFFF"/>
        <w:spacing w:after="150" w:line="240" w:lineRule="auto"/>
        <w:textAlignment w:val="baseline"/>
        <w:rPr>
          <w:rFonts w:ascii="Open Sans" w:eastAsia="Times New Roman" w:hAnsi="Open Sans" w:cs="Open Sans"/>
          <w:color w:val="585858"/>
          <w:sz w:val="27"/>
          <w:szCs w:val="27"/>
          <w:lang w:eastAsia="es-ES"/>
        </w:rPr>
      </w:pPr>
      <w:r w:rsidRPr="005660F8">
        <w:rPr>
          <w:rFonts w:ascii="Open Sans" w:eastAsia="Times New Roman" w:hAnsi="Open Sans" w:cs="Open Sans"/>
          <w:color w:val="585858"/>
          <w:sz w:val="27"/>
          <w:szCs w:val="27"/>
          <w:lang w:eastAsia="es-ES"/>
        </w:rPr>
        <w:t>ADVERTISING</w:t>
      </w:r>
    </w:p>
    <w:p w14:paraId="4964E612" w14:textId="77777777" w:rsidR="005660F8" w:rsidRPr="005660F8" w:rsidRDefault="005660F8" w:rsidP="005660F8">
      <w:pPr>
        <w:shd w:val="clear" w:color="auto" w:fill="FFFFFF"/>
        <w:spacing w:after="45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En cuanto a los porcentajes de consumo en los tres tramos horarios del nuevo sistema de facturación, la asociación toma como referencia el perfil de usuario medio tradicional sin discriminación horaria publicado por la Comisión Nacional de los Mercados y la Competencia (CNMC), que consume el 45% de la electricidad en el horario valle, el 29% en el horario punta y el 26% en el horario llano. SUBIDA DEL KWH.</w:t>
      </w:r>
    </w:p>
    <w:p w14:paraId="3EDB2C70" w14:textId="77777777" w:rsidR="005660F8" w:rsidRPr="005660F8" w:rsidRDefault="005660F8" w:rsidP="005660F8">
      <w:pPr>
        <w:shd w:val="clear" w:color="auto" w:fill="FFFFFF"/>
        <w:spacing w:after="45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 xml:space="preserve">En lo que va julio, el precio del kWh se situó en una media de 11,88 céntimos. En los primeros 15 días de julio, el precio medio ha sido de 13,43 céntimos en horario valle, 17,76 céntimos en horario llano </w:t>
      </w:r>
      <w:r w:rsidRPr="005660F8">
        <w:rPr>
          <w:rFonts w:ascii="Open Sans" w:eastAsia="Times New Roman" w:hAnsi="Open Sans" w:cs="Open Sans"/>
          <w:color w:val="000000"/>
          <w:sz w:val="27"/>
          <w:szCs w:val="27"/>
          <w:lang w:eastAsia="es-ES"/>
        </w:rPr>
        <w:lastRenderedPageBreak/>
        <w:t>y 28,86 céntimos en horario punta. La media aritmética entre los tres tramos ha sido de 20,02 céntimos, un 68,5% más que hace un año.</w:t>
      </w:r>
    </w:p>
    <w:p w14:paraId="79448DBD" w14:textId="77777777" w:rsidR="005660F8" w:rsidRPr="005660F8" w:rsidRDefault="005660F8" w:rsidP="005660F8">
      <w:pPr>
        <w:shd w:val="clear" w:color="auto" w:fill="FFFFFF"/>
        <w:spacing w:after="45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Facua ha convocado este jueves concentraciones contra el tarifazo eléctrico en 45 capitales y la ciudad autónoma de Melilla. La asociación plantea un decálogo de reivindicaciones al Gobierno, entre ellas un cambio en las reglas de la subasta del mercado mayorista, la bajada del IVA de forma permanente, el control de las ofertas fraudulentas de las eléctricas, y la aprobación de un nuevo modelo de bono social que represente al menos un 50% de descuento en la factura y del que se puedan beneficiar las familias que cobren no más de dos salarios mínimos, que aumentarían hasta tres en función del número y características de miembros.</w:t>
      </w:r>
    </w:p>
    <w:p w14:paraId="55FE8FAF" w14:textId="77777777" w:rsidR="005660F8" w:rsidRPr="005660F8" w:rsidRDefault="005660F8" w:rsidP="005660F8">
      <w:pPr>
        <w:shd w:val="clear" w:color="auto" w:fill="FFFFFF"/>
        <w:spacing w:before="225" w:after="225" w:line="270" w:lineRule="atLeast"/>
        <w:textAlignment w:val="baseline"/>
        <w:outlineLvl w:val="1"/>
        <w:rPr>
          <w:rFonts w:ascii="Playfair Display" w:eastAsia="Times New Roman" w:hAnsi="Playfair Display" w:cs="Open Sans"/>
          <w:b/>
          <w:bCs/>
          <w:color w:val="000000"/>
          <w:sz w:val="36"/>
          <w:szCs w:val="36"/>
          <w:lang w:eastAsia="es-ES"/>
        </w:rPr>
      </w:pPr>
      <w:r w:rsidRPr="005660F8">
        <w:rPr>
          <w:rFonts w:ascii="Playfair Display" w:eastAsia="Times New Roman" w:hAnsi="Playfair Display" w:cs="Open Sans"/>
          <w:b/>
          <w:bCs/>
          <w:color w:val="000000"/>
          <w:sz w:val="36"/>
          <w:szCs w:val="36"/>
          <w:lang w:eastAsia="es-ES"/>
        </w:rPr>
        <w:t>La OCU denuncia que la factura oculta el precio de la energía</w:t>
      </w:r>
    </w:p>
    <w:p w14:paraId="21DB0883" w14:textId="77777777" w:rsidR="005660F8" w:rsidRPr="005660F8" w:rsidRDefault="005660F8" w:rsidP="005660F8">
      <w:pPr>
        <w:shd w:val="clear" w:color="auto" w:fill="FFFFFF"/>
        <w:spacing w:after="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Por otra parte, la Organización de Consumidores y Usuarios (OC</w:t>
      </w:r>
      <w:r w:rsidRPr="005660F8">
        <w:rPr>
          <w:rFonts w:ascii="Open Sans" w:eastAsia="Times New Roman" w:hAnsi="Open Sans" w:cs="Open Sans"/>
          <w:b/>
          <w:bCs/>
          <w:color w:val="000000"/>
          <w:sz w:val="27"/>
          <w:szCs w:val="27"/>
          <w:bdr w:val="none" w:sz="0" w:space="0" w:color="auto" w:frame="1"/>
          <w:lang w:eastAsia="es-ES"/>
        </w:rPr>
        <w:t>U) ha denunciado que la factura de la tarifa regulada (PVPC) oculta el precio de la energía.</w:t>
      </w:r>
    </w:p>
    <w:p w14:paraId="6AE25E8E" w14:textId="77777777" w:rsidR="005660F8" w:rsidRPr="005660F8" w:rsidRDefault="005660F8" w:rsidP="005660F8">
      <w:pPr>
        <w:shd w:val="clear" w:color="auto" w:fill="FFFFFF"/>
        <w:spacing w:after="45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En un comunicado, la asociación señala que bajo el epígrafe 'coste de la energía', la factura de los hogares con tarifa regulada PVPC recoge únicamente el importe total a facturar. Así, no consta el precio detallado del consumo eléctrico en cada uno de los tramos horarios (punta, llano y valle).</w:t>
      </w:r>
    </w:p>
    <w:p w14:paraId="09526D0B" w14:textId="77777777" w:rsidR="005660F8" w:rsidRPr="005660F8" w:rsidRDefault="005660F8" w:rsidP="005660F8">
      <w:pPr>
        <w:shd w:val="clear" w:color="auto" w:fill="FFFFFF"/>
        <w:spacing w:after="45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t>OCU cree que esta falta de detalle sobre el consumo según el horario dificulta el cambio de hábitos de consumo que pretendía la reciente reforma normativa e impide comparar el precio de la tarifa regulada PVPC con las tarifas del mercado libre, "lo que lastra la libre competencia".</w:t>
      </w:r>
    </w:p>
    <w:p w14:paraId="3A2DF16C" w14:textId="77777777" w:rsidR="005660F8" w:rsidRPr="005660F8" w:rsidRDefault="005660F8" w:rsidP="005660F8">
      <w:pPr>
        <w:shd w:val="clear" w:color="auto" w:fill="FFFFFF"/>
        <w:spacing w:after="450" w:line="420" w:lineRule="atLeast"/>
        <w:textAlignment w:val="baseline"/>
        <w:rPr>
          <w:rFonts w:ascii="Open Sans" w:eastAsia="Times New Roman" w:hAnsi="Open Sans" w:cs="Open Sans"/>
          <w:color w:val="000000"/>
          <w:sz w:val="27"/>
          <w:szCs w:val="27"/>
          <w:lang w:eastAsia="es-ES"/>
        </w:rPr>
      </w:pPr>
      <w:r w:rsidRPr="005660F8">
        <w:rPr>
          <w:rFonts w:ascii="Open Sans" w:eastAsia="Times New Roman" w:hAnsi="Open Sans" w:cs="Open Sans"/>
          <w:color w:val="000000"/>
          <w:sz w:val="27"/>
          <w:szCs w:val="27"/>
          <w:lang w:eastAsia="es-ES"/>
        </w:rPr>
        <w:lastRenderedPageBreak/>
        <w:t>Por ello, solicita al Ministerio de Transición Ecológica rectificar la reciente normativa sobre facturación de la tarifa regulada PVPC para que se reorganice la información por tramos horarios, recogiendo tanto el desglose de cada concepto (peaje, cargos y energía) como su suma.</w:t>
      </w:r>
    </w:p>
    <w:p w14:paraId="6D4F2C7F" w14:textId="77777777" w:rsidR="00B30BB6" w:rsidRDefault="00B30BB6"/>
    <w:sectPr w:rsidR="00B30B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279"/>
    <w:multiLevelType w:val="multilevel"/>
    <w:tmpl w:val="E1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D1B6C"/>
    <w:multiLevelType w:val="multilevel"/>
    <w:tmpl w:val="45E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F8"/>
    <w:rsid w:val="001102D6"/>
    <w:rsid w:val="001F1F52"/>
    <w:rsid w:val="005660F8"/>
    <w:rsid w:val="00B30B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5486"/>
  <w15:chartTrackingRefBased/>
  <w15:docId w15:val="{240AD958-51E4-49BC-9758-D7AE32A6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4821">
      <w:bodyDiv w:val="1"/>
      <w:marLeft w:val="0"/>
      <w:marRight w:val="0"/>
      <w:marTop w:val="0"/>
      <w:marBottom w:val="0"/>
      <w:divBdr>
        <w:top w:val="none" w:sz="0" w:space="0" w:color="auto"/>
        <w:left w:val="none" w:sz="0" w:space="0" w:color="auto"/>
        <w:bottom w:val="none" w:sz="0" w:space="0" w:color="auto"/>
        <w:right w:val="none" w:sz="0" w:space="0" w:color="auto"/>
      </w:divBdr>
      <w:divsChild>
        <w:div w:id="2052805">
          <w:marLeft w:val="0"/>
          <w:marRight w:val="0"/>
          <w:marTop w:val="0"/>
          <w:marBottom w:val="0"/>
          <w:divBdr>
            <w:top w:val="none" w:sz="0" w:space="0" w:color="auto"/>
            <w:left w:val="none" w:sz="0" w:space="0" w:color="auto"/>
            <w:bottom w:val="none" w:sz="0" w:space="0" w:color="auto"/>
            <w:right w:val="none" w:sz="0" w:space="0" w:color="auto"/>
          </w:divBdr>
          <w:divsChild>
            <w:div w:id="1433551791">
              <w:marLeft w:val="0"/>
              <w:marRight w:val="0"/>
              <w:marTop w:val="0"/>
              <w:marBottom w:val="330"/>
              <w:divBdr>
                <w:top w:val="none" w:sz="0" w:space="0" w:color="auto"/>
                <w:left w:val="none" w:sz="0" w:space="0" w:color="auto"/>
                <w:bottom w:val="none" w:sz="0" w:space="0" w:color="auto"/>
                <w:right w:val="none" w:sz="0" w:space="0" w:color="auto"/>
              </w:divBdr>
            </w:div>
            <w:div w:id="535506217">
              <w:marLeft w:val="0"/>
              <w:marRight w:val="0"/>
              <w:marTop w:val="0"/>
              <w:marBottom w:val="390"/>
              <w:divBdr>
                <w:top w:val="none" w:sz="0" w:space="0" w:color="auto"/>
                <w:left w:val="none" w:sz="0" w:space="0" w:color="auto"/>
                <w:bottom w:val="none" w:sz="0" w:space="0" w:color="auto"/>
                <w:right w:val="none" w:sz="0" w:space="0" w:color="auto"/>
              </w:divBdr>
            </w:div>
          </w:divsChild>
        </w:div>
        <w:div w:id="238491347">
          <w:marLeft w:val="0"/>
          <w:marRight w:val="0"/>
          <w:marTop w:val="0"/>
          <w:marBottom w:val="600"/>
          <w:divBdr>
            <w:top w:val="single" w:sz="6" w:space="0" w:color="000000"/>
            <w:left w:val="none" w:sz="0" w:space="0" w:color="auto"/>
            <w:bottom w:val="single" w:sz="6" w:space="0" w:color="000000"/>
            <w:right w:val="none" w:sz="0" w:space="0" w:color="auto"/>
          </w:divBdr>
          <w:divsChild>
            <w:div w:id="1221791272">
              <w:marLeft w:val="0"/>
              <w:marRight w:val="0"/>
              <w:marTop w:val="0"/>
              <w:marBottom w:val="0"/>
              <w:divBdr>
                <w:top w:val="none" w:sz="0" w:space="0" w:color="auto"/>
                <w:left w:val="none" w:sz="0" w:space="0" w:color="auto"/>
                <w:bottom w:val="none" w:sz="0" w:space="0" w:color="auto"/>
                <w:right w:val="none" w:sz="0" w:space="0" w:color="auto"/>
              </w:divBdr>
              <w:divsChild>
                <w:div w:id="434254199">
                  <w:marLeft w:val="0"/>
                  <w:marRight w:val="0"/>
                  <w:marTop w:val="240"/>
                  <w:marBottom w:val="0"/>
                  <w:divBdr>
                    <w:top w:val="none" w:sz="0" w:space="0" w:color="auto"/>
                    <w:left w:val="none" w:sz="0" w:space="0" w:color="auto"/>
                    <w:bottom w:val="none" w:sz="0" w:space="0" w:color="auto"/>
                    <w:right w:val="none" w:sz="0" w:space="0" w:color="auto"/>
                  </w:divBdr>
                  <w:divsChild>
                    <w:div w:id="1938440310">
                      <w:marLeft w:val="0"/>
                      <w:marRight w:val="0"/>
                      <w:marTop w:val="0"/>
                      <w:marBottom w:val="30"/>
                      <w:divBdr>
                        <w:top w:val="none" w:sz="0" w:space="0" w:color="auto"/>
                        <w:left w:val="none" w:sz="0" w:space="0" w:color="auto"/>
                        <w:bottom w:val="none" w:sz="0" w:space="0" w:color="auto"/>
                        <w:right w:val="none" w:sz="0" w:space="0" w:color="auto"/>
                      </w:divBdr>
                    </w:div>
                    <w:div w:id="1281768579">
                      <w:marLeft w:val="0"/>
                      <w:marRight w:val="0"/>
                      <w:marTop w:val="0"/>
                      <w:marBottom w:val="0"/>
                      <w:divBdr>
                        <w:top w:val="none" w:sz="0" w:space="0" w:color="auto"/>
                        <w:left w:val="none" w:sz="0" w:space="0" w:color="auto"/>
                        <w:bottom w:val="none" w:sz="0" w:space="0" w:color="auto"/>
                        <w:right w:val="none" w:sz="0" w:space="0" w:color="auto"/>
                      </w:divBdr>
                      <w:divsChild>
                        <w:div w:id="9394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5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4230866">
          <w:marLeft w:val="0"/>
          <w:marRight w:val="0"/>
          <w:marTop w:val="0"/>
          <w:marBottom w:val="0"/>
          <w:divBdr>
            <w:top w:val="none" w:sz="0" w:space="0" w:color="auto"/>
            <w:left w:val="none" w:sz="0" w:space="0" w:color="auto"/>
            <w:bottom w:val="none" w:sz="0" w:space="0" w:color="auto"/>
            <w:right w:val="none" w:sz="0" w:space="0" w:color="auto"/>
          </w:divBdr>
          <w:divsChild>
            <w:div w:id="919292704">
              <w:marLeft w:val="0"/>
              <w:marRight w:val="0"/>
              <w:marTop w:val="0"/>
              <w:marBottom w:val="0"/>
              <w:divBdr>
                <w:top w:val="none" w:sz="0" w:space="0" w:color="auto"/>
                <w:left w:val="none" w:sz="0" w:space="0" w:color="auto"/>
                <w:bottom w:val="none" w:sz="0" w:space="0" w:color="auto"/>
                <w:right w:val="none" w:sz="0" w:space="0" w:color="auto"/>
              </w:divBdr>
              <w:divsChild>
                <w:div w:id="1185511213">
                  <w:marLeft w:val="0"/>
                  <w:marRight w:val="0"/>
                  <w:marTop w:val="0"/>
                  <w:marBottom w:val="0"/>
                  <w:divBdr>
                    <w:top w:val="none" w:sz="0" w:space="0" w:color="auto"/>
                    <w:left w:val="none" w:sz="0" w:space="0" w:color="auto"/>
                    <w:bottom w:val="none" w:sz="0" w:space="0" w:color="auto"/>
                    <w:right w:val="none" w:sz="0" w:space="0" w:color="auto"/>
                  </w:divBdr>
                  <w:divsChild>
                    <w:div w:id="1764229248">
                      <w:marLeft w:val="0"/>
                      <w:marRight w:val="0"/>
                      <w:marTop w:val="0"/>
                      <w:marBottom w:val="0"/>
                      <w:divBdr>
                        <w:top w:val="none" w:sz="0" w:space="0" w:color="auto"/>
                        <w:left w:val="none" w:sz="0" w:space="0" w:color="auto"/>
                        <w:bottom w:val="none" w:sz="0" w:space="0" w:color="auto"/>
                        <w:right w:val="none" w:sz="0" w:space="0" w:color="auto"/>
                      </w:divBdr>
                      <w:divsChild>
                        <w:div w:id="1876306516">
                          <w:marLeft w:val="0"/>
                          <w:marRight w:val="0"/>
                          <w:marTop w:val="0"/>
                          <w:marBottom w:val="0"/>
                          <w:divBdr>
                            <w:top w:val="none" w:sz="0" w:space="0" w:color="auto"/>
                            <w:left w:val="none" w:sz="0" w:space="0" w:color="auto"/>
                            <w:bottom w:val="none" w:sz="0" w:space="0" w:color="auto"/>
                            <w:right w:val="none" w:sz="0" w:space="0" w:color="auto"/>
                          </w:divBdr>
                          <w:divsChild>
                            <w:div w:id="7089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93146">
              <w:marLeft w:val="0"/>
              <w:marRight w:val="0"/>
              <w:marTop w:val="0"/>
              <w:marBottom w:val="0"/>
              <w:divBdr>
                <w:top w:val="none" w:sz="0" w:space="0" w:color="auto"/>
                <w:left w:val="none" w:sz="0" w:space="0" w:color="auto"/>
                <w:bottom w:val="none" w:sz="0" w:space="0" w:color="auto"/>
                <w:right w:val="none" w:sz="0" w:space="0" w:color="auto"/>
              </w:divBdr>
              <w:divsChild>
                <w:div w:id="1424378234">
                  <w:marLeft w:val="0"/>
                  <w:marRight w:val="0"/>
                  <w:marTop w:val="0"/>
                  <w:marBottom w:val="0"/>
                  <w:divBdr>
                    <w:top w:val="none" w:sz="0" w:space="0" w:color="auto"/>
                    <w:left w:val="none" w:sz="0" w:space="0" w:color="auto"/>
                    <w:bottom w:val="none" w:sz="0" w:space="0" w:color="auto"/>
                    <w:right w:val="none" w:sz="0" w:space="0" w:color="auto"/>
                  </w:divBdr>
                  <w:divsChild>
                    <w:div w:id="1042902815">
                      <w:marLeft w:val="0"/>
                      <w:marRight w:val="0"/>
                      <w:marTop w:val="300"/>
                      <w:marBottom w:val="300"/>
                      <w:divBdr>
                        <w:top w:val="none" w:sz="0" w:space="0" w:color="auto"/>
                        <w:left w:val="none" w:sz="0" w:space="0" w:color="auto"/>
                        <w:bottom w:val="none" w:sz="0" w:space="0" w:color="auto"/>
                        <w:right w:val="none" w:sz="0" w:space="0" w:color="auto"/>
                      </w:divBdr>
                      <w:divsChild>
                        <w:div w:id="750346812">
                          <w:marLeft w:val="0"/>
                          <w:marRight w:val="0"/>
                          <w:marTop w:val="0"/>
                          <w:marBottom w:val="0"/>
                          <w:divBdr>
                            <w:top w:val="none" w:sz="0" w:space="0" w:color="auto"/>
                            <w:left w:val="none" w:sz="0" w:space="0" w:color="auto"/>
                            <w:bottom w:val="none" w:sz="0" w:space="0" w:color="auto"/>
                            <w:right w:val="none" w:sz="0" w:space="0" w:color="auto"/>
                          </w:divBdr>
                          <w:divsChild>
                            <w:div w:id="1761028377">
                              <w:marLeft w:val="0"/>
                              <w:marRight w:val="0"/>
                              <w:marTop w:val="0"/>
                              <w:marBottom w:val="150"/>
                              <w:divBdr>
                                <w:top w:val="none" w:sz="0" w:space="0" w:color="auto"/>
                                <w:left w:val="none" w:sz="0" w:space="0" w:color="auto"/>
                                <w:bottom w:val="none" w:sz="0" w:space="0" w:color="auto"/>
                                <w:right w:val="none" w:sz="0" w:space="0" w:color="auto"/>
                              </w:divBdr>
                              <w:divsChild>
                                <w:div w:id="1064134536">
                                  <w:marLeft w:val="0"/>
                                  <w:marRight w:val="0"/>
                                  <w:marTop w:val="0"/>
                                  <w:marBottom w:val="0"/>
                                  <w:divBdr>
                                    <w:top w:val="none" w:sz="0" w:space="0" w:color="auto"/>
                                    <w:left w:val="none" w:sz="0" w:space="0" w:color="auto"/>
                                    <w:bottom w:val="none" w:sz="0" w:space="0" w:color="auto"/>
                                    <w:right w:val="none" w:sz="0" w:space="0" w:color="auto"/>
                                  </w:divBdr>
                                  <w:divsChild>
                                    <w:div w:id="8732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43609">
                      <w:marLeft w:val="0"/>
                      <w:marRight w:val="0"/>
                      <w:marTop w:val="0"/>
                      <w:marBottom w:val="450"/>
                      <w:divBdr>
                        <w:top w:val="none" w:sz="0" w:space="0" w:color="auto"/>
                        <w:left w:val="none" w:sz="0" w:space="0" w:color="auto"/>
                        <w:bottom w:val="none" w:sz="0" w:space="0" w:color="auto"/>
                        <w:right w:val="none" w:sz="0" w:space="0" w:color="auto"/>
                      </w:divBdr>
                      <w:divsChild>
                        <w:div w:id="261498819">
                          <w:marLeft w:val="0"/>
                          <w:marRight w:val="0"/>
                          <w:marTop w:val="0"/>
                          <w:marBottom w:val="180"/>
                          <w:divBdr>
                            <w:top w:val="none" w:sz="0" w:space="0" w:color="auto"/>
                            <w:left w:val="none" w:sz="0" w:space="0" w:color="auto"/>
                            <w:bottom w:val="none" w:sz="0" w:space="0" w:color="auto"/>
                            <w:right w:val="single" w:sz="12" w:space="8" w:color="005EA8"/>
                          </w:divBdr>
                        </w:div>
                        <w:div w:id="18242070">
                          <w:marLeft w:val="0"/>
                          <w:marRight w:val="0"/>
                          <w:marTop w:val="0"/>
                          <w:marBottom w:val="0"/>
                          <w:divBdr>
                            <w:top w:val="single" w:sz="6" w:space="8" w:color="E3E3E3"/>
                            <w:left w:val="single" w:sz="6" w:space="8" w:color="E3E3E3"/>
                            <w:bottom w:val="single" w:sz="6" w:space="8" w:color="E3E3E3"/>
                            <w:right w:val="single" w:sz="6" w:space="8" w:color="E3E3E3"/>
                          </w:divBdr>
                          <w:divsChild>
                            <w:div w:id="99033761">
                              <w:marLeft w:val="0"/>
                              <w:marRight w:val="180"/>
                              <w:marTop w:val="0"/>
                              <w:marBottom w:val="0"/>
                              <w:divBdr>
                                <w:top w:val="none" w:sz="0" w:space="0" w:color="auto"/>
                                <w:left w:val="none" w:sz="0" w:space="0" w:color="auto"/>
                                <w:bottom w:val="none" w:sz="0" w:space="0" w:color="auto"/>
                                <w:right w:val="none" w:sz="0" w:space="0" w:color="auto"/>
                              </w:divBdr>
                            </w:div>
                          </w:divsChild>
                        </w:div>
                        <w:div w:id="1446577584">
                          <w:marLeft w:val="0"/>
                          <w:marRight w:val="0"/>
                          <w:marTop w:val="0"/>
                          <w:marBottom w:val="0"/>
                          <w:divBdr>
                            <w:top w:val="single" w:sz="6" w:space="8" w:color="E3E3E3"/>
                            <w:left w:val="single" w:sz="6" w:space="8" w:color="E3E3E3"/>
                            <w:bottom w:val="single" w:sz="6" w:space="8" w:color="E3E3E3"/>
                            <w:right w:val="single" w:sz="6" w:space="8" w:color="E3E3E3"/>
                          </w:divBdr>
                          <w:divsChild>
                            <w:div w:id="29637214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983892674">
                      <w:marLeft w:val="0"/>
                      <w:marRight w:val="0"/>
                      <w:marTop w:val="0"/>
                      <w:marBottom w:val="150"/>
                      <w:divBdr>
                        <w:top w:val="none" w:sz="0" w:space="0" w:color="auto"/>
                        <w:left w:val="none" w:sz="0" w:space="0" w:color="auto"/>
                        <w:bottom w:val="none" w:sz="0" w:space="0" w:color="auto"/>
                        <w:right w:val="none" w:sz="0" w:space="0" w:color="auto"/>
                      </w:divBdr>
                      <w:divsChild>
                        <w:div w:id="806970350">
                          <w:marLeft w:val="0"/>
                          <w:marRight w:val="0"/>
                          <w:marTop w:val="0"/>
                          <w:marBottom w:val="0"/>
                          <w:divBdr>
                            <w:top w:val="none" w:sz="0" w:space="0" w:color="auto"/>
                            <w:left w:val="none" w:sz="0" w:space="0" w:color="auto"/>
                            <w:bottom w:val="none" w:sz="0" w:space="0" w:color="auto"/>
                            <w:right w:val="none" w:sz="0" w:space="0" w:color="auto"/>
                          </w:divBdr>
                          <w:divsChild>
                            <w:div w:id="9171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raldo.es/noticias/economia/2021/05/25/nueva-factura-luz-horario-barato-poner-electrodomesticos-consumo-149467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aldo.es/noticias/economia/2021/06/24/bajada-iva-factura-luz-ahorrar-lavadora-lavavajillas-aire-acondicionado-1501892.html" TargetMode="External"/><Relationship Id="rId5" Type="http://schemas.openxmlformats.org/officeDocument/2006/relationships/hyperlink" Target="https://www.heraldo.es/tags/autores/heraldo_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763</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REX</dc:creator>
  <cp:keywords/>
  <dc:description/>
  <cp:lastModifiedBy>TOR REX</cp:lastModifiedBy>
  <cp:revision>1</cp:revision>
  <dcterms:created xsi:type="dcterms:W3CDTF">2021-07-19T10:30:00Z</dcterms:created>
  <dcterms:modified xsi:type="dcterms:W3CDTF">2021-07-19T10:59:00Z</dcterms:modified>
</cp:coreProperties>
</file>