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Revue du dossier de fabrication</w:t>
      </w:r>
    </w:p>
    <w:p>
      <w:pPr>
        <w:pStyle w:val="Heading1"/>
      </w:pPr>
      <w:r>
        <w:t>Objet</w:t>
      </w:r>
    </w:p>
    <w:p>
      <w:pPr/>
      <w:r>
        <w:t>La présente procédure décrit la revue documentaire du dossier de fabrication avant sa transmission au service qualité.</w:t>
      </w:r>
    </w:p>
    <w:p>
      <w:pPr>
        <w:pStyle w:val="Heading1"/>
      </w:pPr>
      <w:r>
        <w:t>Champ d’application</w:t>
      </w:r>
    </w:p>
    <w:p>
      <w:pPr/>
      <w:r>
        <w:t>Cette procédure s’applique aux dossiers du projet Orionex sur le site Belrive.</w:t>
      </w:r>
    </w:p>
    <w:p>
      <w:pPr>
        <w:pStyle w:val="Heading1"/>
      </w:pPr>
      <w:r>
        <w:t>Contrôles préliminaires</w:t>
      </w:r>
    </w:p>
    <w:p>
      <w:pPr/>
      <w:r>
        <w:t>Vérifier le numéro de lot.</w:t>
      </w:r>
    </w:p>
    <w:p>
      <w:pPr/>
      <w:r>
        <w:t>Vérifier la date.</w:t>
      </w:r>
    </w:p>
    <w:p>
      <w:pPr/>
      <w:r>
        <w:t>Vérifier que toutes les pages du dossier sont datées et signées par l’opérateur.</w:t>
      </w:r>
    </w:p>
    <w:p>
      <w:pPr/>
      <w:r>
        <w:t>Joindre une copie du certificat d’analyse au dossier de fabrication.</w:t>
      </w:r>
    </w:p>
    <w:p>
      <w:pPr/>
      <w:r>
        <w:t>Toute correction doit permettre de retrouver l’information initiale et d’identifier son auteur.</w:t>
      </w:r>
    </w:p>
    <w:p>
      <w:pPr/>
      <w:r>
        <w:t>Enregistrer le résultat.</w:t>
      </w:r>
    </w:p>
    <w:p>
      <w:pPr/>
      <w:r>
        <w:t>Vérifier la présence des annexes et consigner toute pièce manquante dans la fiche de suivi.</w:t>
      </w:r>
    </w:p>
    <w:p>
      <w:pPr/>
      <w:r>
        <w:t>Pour les dossiers historiques, utiliser la chemise grise conservée dans l’armoire documentaire.</w:t>
      </w:r>
    </w:p>
    <w:p>
      <w:r>
        <w:br w:type="page"/>
      </w:r>
    </w:p>
    <w:p>
      <w:pPr>
        <w:pStyle w:val="Heading1"/>
      </w:pPr>
      <w:r>
        <w:t>Traitement des écarts</w:t>
      </w:r>
    </w:p>
    <w:p>
      <w:pPr/>
      <w:r>
        <w:t>En cas de pièce manquante, suspendre la transmission du dossier jusqu’à sa réception.</w:t>
      </w:r>
    </w:p>
    <w:p>
      <w:pPr/>
      <w:r>
        <w:t>Identifier l’écart dans la fiche de suivi.</w:t>
      </w:r>
    </w:p>
    <w:p>
      <w:pPr/>
      <w:r>
        <w:t>Informer ensuite le responsable qualité.</w:t>
      </w:r>
    </w:p>
    <w:p>
      <w:pPr/>
      <w:r>
        <w:t>Enregistrer le résultat.</w:t>
      </w:r>
    </w:p>
    <w:p>
      <w:pPr/>
      <w:r>
        <w:t>Le dossier de démonstration comporte 12 annexes et porte la référence BR-204.</w:t>
      </w:r>
    </w:p>
    <w:p>
      <w:pPr/>
      <w:r>
        <w:t>Le registre de démonstration contient 15 entrées.</w:t>
      </w:r>
    </w:p>
    <w:p>
      <w:pPr/>
      <w:r>
        <w:t>Ne pas archiver le dossier incomplet.</w:t>
      </w:r>
    </w:p>
    <w:p>
      <w:pPr/>
      <w:r>
        <w:t>Vérifier le dossier.</w:t>
      </w:r>
    </w:p>
    <w:p>
      <w:pPr/>
      <w:r>
        <w:t>Après la revue des annexes, effectuer une dernière vérification documentaire.</w:t>
      </w:r>
    </w:p>
    <w:p>
      <w:pPr/>
      <w:r>
        <w:t>Vérifier le dossier.</w:t>
      </w:r>
    </w:p>
    <w:p>
      <w:pPr>
        <w:pStyle w:val="Heading1"/>
      </w:pPr>
      <w:r>
        <w:t>Terminologie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cantSplit/>
        </w:trPr>
        <w:tc>
          <w:tcPr>
            <w:tcW w:type="dxa" w:w="4968"/>
          </w:tcPr>
          <w:p>
            <w:r>
              <w:t>Code</w:t>
            </w:r>
          </w:p>
        </w:tc>
        <w:tc>
          <w:tcPr>
            <w:tcW w:type="dxa" w:w="4968"/>
          </w:tcPr>
          <w:p>
            <w:r>
              <w:t>Terme</w:t>
            </w:r>
          </w:p>
        </w:tc>
      </w:tr>
      <w:tr>
        <w:trPr>
          <w:cantSplit/>
        </w:trPr>
        <w:tc>
          <w:tcPr>
            <w:tcW w:type="dxa" w:w="4968"/>
          </w:tcPr>
          <w:p>
            <w:r>
              <w:t>T01</w:t>
            </w:r>
          </w:p>
        </w:tc>
        <w:tc>
          <w:tcPr>
            <w:tcW w:type="dxa" w:w="4968"/>
          </w:tcPr>
          <w:p>
            <w:r>
              <w:t>dossier de fabrication</w:t>
            </w:r>
          </w:p>
        </w:tc>
      </w:tr>
      <w:tr>
        <w:trPr>
          <w:cantSplit/>
        </w:trPr>
        <w:tc>
          <w:tcPr>
            <w:tcW w:type="dxa" w:w="4968"/>
          </w:tcPr>
          <w:p>
            <w:r>
              <w:t>T02</w:t>
            </w:r>
          </w:p>
        </w:tc>
        <w:tc>
          <w:tcPr>
            <w:tcW w:type="dxa" w:w="4968"/>
          </w:tcPr>
          <w:p>
            <w:r>
              <w:t>certificat d’analyse</w:t>
            </w:r>
          </w:p>
        </w:tc>
      </w:tr>
      <w:tr>
        <w:trPr>
          <w:cantSplit/>
        </w:trPr>
        <w:tc>
          <w:tcPr>
            <w:tcW w:type="dxa" w:w="4968"/>
          </w:tcPr>
          <w:p>
            <w:r>
              <w:t>T03</w:t>
            </w:r>
          </w:p>
        </w:tc>
        <w:tc>
          <w:tcPr>
            <w:tcW w:type="dxa" w:w="4968"/>
          </w:tcPr>
          <w:p>
            <w:r>
              <w:t>numéro de lot</w:t>
            </w:r>
          </w:p>
        </w:tc>
      </w:tr>
      <w:tr>
        <w:trPr>
          <w:cantSplit/>
        </w:trPr>
        <w:tc>
          <w:tcPr>
            <w:tcW w:type="dxa" w:w="4968"/>
          </w:tcPr>
          <w:p>
            <w:r>
              <w:t>T04</w:t>
            </w:r>
          </w:p>
        </w:tc>
        <w:tc>
          <w:tcPr>
            <w:tcW w:type="dxa" w:w="4968"/>
          </w:tcPr>
          <w:p>
            <w:r>
              <w:t>traçabilité</w:t>
            </w:r>
          </w:p>
        </w:tc>
      </w:tr>
      <w:tr>
        <w:trPr>
          <w:cantSplit/>
        </w:trPr>
        <w:tc>
          <w:tcPr>
            <w:tcW w:type="dxa" w:w="4968"/>
          </w:tcPr>
          <w:p>
            <w:r>
              <w:t>T05</w:t>
            </w:r>
          </w:p>
        </w:tc>
        <w:tc>
          <w:tcPr>
            <w:tcW w:type="dxa" w:w="4968"/>
          </w:tcPr>
          <w:p>
            <w:r>
              <w:t>assurance qualité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936" w:right="1152" w:bottom="93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t>Usage de test uniquement • EXCLURE PIED DE PAGE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t>SOP DEMO 001 • DOCUMENT FICTIF • EXCLURE EN-TÊTE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2" w:lineRule="auto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SOP DEMO 001</dc:title>
  <dc:subject>Synthetic alignment test fixture; not an operational SOP</dc:subject>
  <dc:creator>Translation aligner test project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