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 Descriptive Statistics: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Distribution of solar farms by county and state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solar farm size (p_area) and capacity (p_cap_ac, p_cap_dc)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Geographic Impact on Solar Farm Efficiency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Spatial Analysis: Utilize GIS techniques to correlate the geographic location (latitude, longitude) of solar farms with efficiency metrics (p_cap_ac/dc).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Environmental Correlation: Assess how local environmental factors, such as county-level climate data (if available), may influence the performance of solar farms.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and County Trends: Evaluate if there are state or county-specific trends that could be influencing solar farm efficiency, such as local policies, average sunlight hours, or temperature variations.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Technological and Design Factors Affecting Efficiency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Orientation Analysis: Investigate the relationship between panel orientation variables (p_axis, p_azimuth, p_tilt) and energy output, to determine optimal design configurations.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Technology Type Evaluation: Compare efficiency across different primary and secondary technology types (p_tech_sec) to identify which technologies perform best under various local conditions.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 Storage Impact: Analyze the role of battery storage (p_battery) in maintaining and enhancing energy efficiency, particularly in terms of energy reliability during non-sunlight hours or peak demand times.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Temporal Trends and Their Implications for Future Solar Farm Development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Over Time: Examine how the size (p_area) and capacity (p_cap_ac, p_cap_dc) of solar farms have changed over the years and what this might suggest about industry trends.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Efficiency Improvements: Use the year of installation (p_year) to assess how new technologies and designs have contributed to improvements in efficiency over time.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Influence: Consider how regional power regulations (p_pwr_reg) and the timing of implementation (linked to p_img_date) have affected the growth and efficiency of solar farms.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 bowl url: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https://www.cbsnews.com/news/super-bowl-2024-to-be-powered-by-nevada-desert-solar-farm/?ftag=CNM-00-10aac3a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Solar Farm Area Trends (Figure 7 left):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Initiated with high areas in 1986, experienced a decrease until 2006, followed by a consistent rise with a slight dip in 2016.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Capacity Growth (Figure 7 right):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Both DC and AC capacities show a continuous upward trend from 1986, with significant fluctuations in 2016 and 2018, indicating technological progress and occasional market floats.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Efficiency Ratio Trends: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A regression algorithm is trained using historical data and factors including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highlight w:val="white"/>
          <w:rtl w:val="0"/>
        </w:rPr>
        <w:t xml:space="preserve">year, the GDP growth(%) &amp; annual changes, temperature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 The visualization 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hows a steady growth in the next 10 years with a notable increase predicted in 2026.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Efficiency Increase Rate: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Marks a peak in 2007, attributed to rising demand catalyzing industry advancements, signifying demand-driven progress in solar technology.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Limitations: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Excludes critical environmental and geographical impacts like weather and sea levels, which significantly affect solar energy potential and farm performance. (空间不够可以删掉limitations)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bsnews.com/news/super-bowl-2024-to-be-powered-by-nevada-desert-solar-farm/?ftag=CNM-00-10aac3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