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Actualización de datos del cliente</w:t>
      </w:r>
    </w:p>
    <w:p>
      <w:r>
        <w:t>Código de proceso: D</w:t>
      </w:r>
    </w:p>
    <w:p>
      <w:r>
        <w:t>Nombre del proceso: Actualización de datos del cliente</w:t>
      </w:r>
    </w:p>
    <w:p>
      <w:r>
        <w:t>Institución: BANCOMEX</w:t>
      </w:r>
    </w:p>
    <w:p>
      <w:r>
        <w:t>Tipo de documento: Procedimiento operativo interno</w:t>
      </w:r>
    </w:p>
    <w:p>
      <w:pPr>
        <w:pStyle w:val="Heading2"/>
      </w:pPr>
      <w:r>
        <w:t>1. Identificación del proceso</w:t>
      </w:r>
    </w:p>
    <w:p>
      <w:r>
        <w:t>Código de proceso: D Nombre del proceso: Actualización de datos del cliente Institución: BANCOMEX Tipo de documento: Procedimiento operativo interno El proceso de actualización de datos del cliente regula la modificación de información registrada en los sistemas internos de BANCOMEX. Incluye cambios en datos generales, fiscales, de contacto, identificación y otros atributos necesarios para mantener expedientes actualizados y consistentes entre plataformas operativas.</w:t>
      </w:r>
    </w:p>
    <w:p>
      <w:pPr>
        <w:pStyle w:val="Heading2"/>
      </w:pPr>
      <w:r>
        <w:t>2. Objetivo</w:t>
      </w:r>
    </w:p>
    <w:p>
      <w:r>
        <w:t>El objetivo es asegurar que cualquier modificación de datos del cliente se realice con documentación válida, autorización suficiente, trazabilidad y apego a reglas internas de integridad de información. El proceso busca evitar cambios no autorizados, duplicidad de registros, inconsistencias entre sistemas y afectaciones a productos o servicios vinculados al cliente.</w:t>
      </w:r>
    </w:p>
    <w:p>
      <w:pPr>
        <w:pStyle w:val="Heading2"/>
      </w:pPr>
      <w:r>
        <w:t>3. Alcance</w:t>
      </w:r>
    </w:p>
    <w:p>
      <w:r>
        <w:t>Este procedimiento aplica para cambios de domicilio, teléfono, correo electrónico, actividad económica, datos fiscales, identificaciones, nombre registrado, información de contacto o corrección de datos generales. No cubre cancelación de productos, aclaraciones sobre movimientos, quejas internas ni incidencias técnicas. Sin embargo, puede relacionarse con otros procesos cuando un dato incorrecto impide completar una operación.</w:t>
      </w:r>
    </w:p>
    <w:p>
      <w:pPr>
        <w:pStyle w:val="Heading2"/>
      </w:pPr>
      <w:r>
        <w:t>4. Entradas requeridas</w:t>
      </w:r>
    </w:p>
    <w:p>
      <w:r>
        <w:t>Para iniciar la actualización se requiere identificar al cliente, dato a modificar, valor actual, nuevo valor solicitado, canal de origen y documentación soporte. En cambios sensibles, como nombre, identificación, datos fiscales o actividad económica, se requiere revisión adicional conforme a reglas internas. Si la documentación es insuficiente, la solicitud queda pendiente hasta recibir complemento.</w:t>
      </w:r>
    </w:p>
    <w:p>
      <w:pPr>
        <w:pStyle w:val="Heading2"/>
      </w:pPr>
      <w:r>
        <w:t>5. Flujo operativo</w:t>
      </w:r>
    </w:p>
    <w:p>
      <w:r>
        <w:t>El proceso inicia con el registro de la solicitud en el portal interno correspondiente. El analista revisa el tipo de dato a modificar y valida si el cambio puede realizarse con la documentación presentada. Posteriormente verifica consistencia entre los datos actuales y los nuevos, así como posibles impactos en productos relacionados. Cuando la información es correcta, se actualiza el dato en el sistema maestro correspondiente y se valida si debe replicarse a otros sistemas. Si existe inconsistencia documental, posible duplicidad de cliente o conflicto entre plataformas, el caso debe escalarse antes de aplicar cualquier modificación.</w:t>
      </w:r>
    </w:p>
    <w:p>
      <w:pPr>
        <w:pStyle w:val="Heading2"/>
      </w:pPr>
      <w:r>
        <w:t>6. Validaciones obligatorias</w:t>
      </w:r>
    </w:p>
    <w:p>
      <w:r>
        <w:t>Antes de actualizar datos, debe validarse identidad del cliente, vigencia de documentos, coincidencia entre documentos y datos registrados, reglas internas para cambios sensibles y existencia de registros duplicados. También debe confirmarse que el cambio no contradiga restricciones activas o información validada previamente por otra área de control.</w:t>
      </w:r>
    </w:p>
    <w:p>
      <w:pPr>
        <w:pStyle w:val="Heading2"/>
      </w:pPr>
      <w:r>
        <w:t>7. Escalamiento y cierre</w:t>
      </w:r>
    </w:p>
    <w:p>
      <w:r>
        <w:t>El caso debe escalarse cuando exista inconsistencia documental, posible suplantación, duplicidad de cliente, conflicto entre sistemas maestros o cambio sensible sin respaldo suficiente. El escalamiento debe incluir el dato solicitado, la inconsistencia detectada y la evidencia revisada. El cierre ocurre cuando el dato queda actualizado, rechazado por falta de soporte o escalado para validación adicional. La respuesta debe indicar el estado del cambio, la razón operativa y si existe alguna acción pendiente. No debe modificarse información del cliente sin evidencia suficiente o autorización válida.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