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Gestión de quejas internas</w:t>
      </w:r>
    </w:p>
    <w:p>
      <w:r>
        <w:t>Código de proceso: E</w:t>
      </w:r>
    </w:p>
    <w:p>
      <w:r>
        <w:t>Nombre del proceso: Gestión de quejas internas</w:t>
      </w:r>
    </w:p>
    <w:p>
      <w:r>
        <w:t>Institución: BANCOMEX</w:t>
      </w:r>
    </w:p>
    <w:p>
      <w:r>
        <w:t>Tipo de documento: Procedimiento operativo interno</w:t>
      </w:r>
    </w:p>
    <w:p>
      <w:pPr>
        <w:pStyle w:val="Heading2"/>
      </w:pPr>
      <w:r>
        <w:t>1. Identificación del proceso</w:t>
      </w:r>
    </w:p>
    <w:p>
      <w:r>
        <w:t>Código de proceso: E Nombre del proceso: Gestión de quejas internas Institución: BANCOMEX Tipo de documento: Procedimiento operativo interno El proceso de gestión de quejas internas establece la forma en que BANCOMEX registra, analiza y da seguimiento a inconformidades relacionadas con atención, operación, cumplimiento, tiempos de respuesta o comportamiento interno. Este procedimiento permite documentar los casos, asignar responsables y dar seguimiento hasta contar con una conclusión formal.</w:t>
      </w:r>
    </w:p>
    <w:p>
      <w:pPr>
        <w:pStyle w:val="Heading2"/>
      </w:pPr>
      <w:r>
        <w:t>2. Objetivo</w:t>
      </w:r>
    </w:p>
    <w:p>
      <w:r>
        <w:t>El objetivo es asegurar que toda queja interna sea tratada con trazabilidad, imparcialidad y evidencia suficiente. El proceso busca identificar causas operativas, detectar reincidencias, proponer acciones correctivas cuando correspondan y mantener registro de las decisiones tomadas. La atención de una queja no debe basarse en opiniones no verificadas ni en información ajena al expediente del caso.</w:t>
      </w:r>
    </w:p>
    <w:p>
      <w:pPr>
        <w:pStyle w:val="Heading2"/>
      </w:pPr>
      <w:r>
        <w:t>3. Alcance</w:t>
      </w:r>
    </w:p>
    <w:p>
      <w:r>
        <w:t>Este procedimiento aplica cuando un colaborador, área interna o canal autorizado reporta una inconformidad sobre atención recibida, incumplimiento de procedimientos, demoras injustificadas, trato inadecuado, falta de seguimiento o posibles desviaciones operativas. No reemplaza los procesos de aclaraciones, cancelación de productos, actualización de datos o incidencias técnicas, aunque puede recibir casos derivados cuando exista una inconformidad formal sobre la gestión.</w:t>
      </w:r>
    </w:p>
    <w:p>
      <w:pPr>
        <w:pStyle w:val="Heading2"/>
      </w:pPr>
      <w:r>
        <w:t>4. Entradas requeridas</w:t>
      </w:r>
    </w:p>
    <w:p>
      <w:r>
        <w:t>Para registrar una queja interna se requiere descripción del caso, área involucrada, fecha, canal de origen, evidencia disponible, impacto observado y datos del responsable que reporta. Cuando la información es insuficiente, se solicita complemento antes de iniciar análisis. Si la queja se relaciona con un proceso operativo específico, debe incluirse el folio o referencia del caso asociado.</w:t>
      </w:r>
    </w:p>
    <w:p>
      <w:pPr>
        <w:pStyle w:val="Heading2"/>
      </w:pPr>
      <w:r>
        <w:t>5. Flujo operativo</w:t>
      </w:r>
    </w:p>
    <w:p>
      <w:r>
        <w:t>La queja se registra en el sistema interno correspondiente. La instancia encargada revisa la información inicial, valida que no exista duplicidad y asigna un responsable de análisis. Según la naturaleza del caso, puede requerirse revisión de expedientes, tiempos de atención, comunicaciones internas, cumplimiento de procedimiento o participación de otra área. Durante el análisis se documentan hallazgos, evidencias revisadas y acciones solicitadas. Si se requiere respuesta de otra área, se establece un plazo de atención y se da seguimiento hasta recibir información suficiente. La queja no debe cerrarse sin conclusión documentada.</w:t>
      </w:r>
    </w:p>
    <w:p>
      <w:pPr>
        <w:pStyle w:val="Heading2"/>
      </w:pPr>
      <w:r>
        <w:t>6. Validaciones obligatorias</w:t>
      </w:r>
    </w:p>
    <w:p>
      <w:r>
        <w:t>Antes de cerrar una queja, debe validarse que el caso esté completo, que la evidencia haya sido revisada, que el área involucrada haya tenido oportunidad de responder y que la conclusión esté respaldada por información verificable. También debe revisarse si existen quejas previas similares, reincidencia o impacto en clientes o procesos críticos.</w:t>
      </w:r>
    </w:p>
    <w:p>
      <w:pPr>
        <w:pStyle w:val="Heading2"/>
      </w:pPr>
      <w:r>
        <w:t>7. Escalamiento y cierre</w:t>
      </w:r>
    </w:p>
    <w:p>
      <w:r>
        <w:t>La queja debe escalarse cuando exista posible incumplimiento normativo, afectación a clientes, reincidencia, conflicto entre áreas, falta de respuesta del responsable asignado o posible desviación de controles internos. El escalamiento debe quedar documentado con motivo, evidencia y área destino. El cierre debe incluir conclusión, acciones correctivas si aplican, responsable de seguimiento y fecha de resolución. No deben afirmarse sanciones, responsables o decisiones sin soporte documental. Si la información no permite concluir el caso, debe permanecer en seguimiento hasta contar con evidencia suficiente.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