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4292F"/>
          <w:sz w:val="40"/>
          <w:szCs w:val="40"/>
        </w:rPr>
        <w:t xml:space="preserve">NovaGrid — LinkedIn Post</w:t>
      </w:r>
    </w:p>
    <w:p>
      <w:pPr>
        <w:spacing w:after="240"/>
      </w:pPr>
      <w:r>
        <w:rPr>
          <w:i/>
          <w:iCs/>
          <w:color w:val="6E7681"/>
          <w:sz w:val="22"/>
          <w:szCs w:val="22"/>
        </w:rPr>
        <w:t xml:space="preserve">Ready-to-post caption for the smart-meter spike-detection project. Copy the block below straight into LinkedIn — the bold headers are Unicode, so they stay bold when pasted.</w:t>
      </w:r>
    </w:p>
    <w:p>
      <w:pPr>
        <w:pBdr>
          <w:top w:val="single" w:color="E3B341" w:sz="4" w:space="6"/>
          <w:bottom w:val="single" w:color="E3B341" w:sz="4" w:space="6"/>
          <w:left w:val="single" w:color="E3B341" w:sz="14" w:space="6"/>
          <w:right w:val="single" w:color="E3B341" w:sz="4" w:space="6"/>
        </w:pBdr>
        <w:shd w:fill="FFF8E1" w:val="clear"/>
        <w:spacing w:after="220"/>
      </w:pPr>
      <w:r>
        <w:rPr>
          <w:color w:val="24292F"/>
          <w:sz w:val="20"/>
          <w:szCs w:val="20"/>
        </w:rPr>
        <w:t xml:space="preserve">Before you post: this is a case-study dataset, not a live utility system. The caption says so on purpose — keep that line in. Pair this caption with the carousel PDF (novagrid_carousel.pdf) as a LinkedIn document post, or with the console poster as a single image. Put your link in the FIRST COMMENT, not the post body.</w:t>
      </w:r>
    </w:p>
    <w:p>
      <w:pPr>
        <w:pBdr>
          <w:bottom w:val="single" w:color="1F6FEB" w:sz="8" w:space="4"/>
        </w:pBdr>
        <w:spacing w:after="140" w:before="320"/>
      </w:pPr>
      <w:r>
        <w:rPr>
          <w:b/>
          <w:bCs/>
          <w:caps/>
          <w:color w:val="1F6FEB"/>
          <w:sz w:val="24"/>
          <w:szCs w:val="24"/>
        </w:rPr>
        <w:t xml:space="preserve">The caption — copy from here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The spike detector was working perfectly.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That was the problem.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A smart-meter case study: 6,720 half-hourly readings, 20 households, one week in January.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The utility flags an “abnormal spike” when a home uses more than 1.4× its own baseline. Simple, explainable, runs on every reading. And it delivered: 114 spikes detected, 97% alerted within a median of 14 minutes, zero false alarms.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So I rebuilt the rule from the raw readings to check it. Three things fell out.</w:t>
      </w:r>
    </w:p>
    <w:p>
      <w:pPr>
        <w:spacing w:after="140" w:before="60"/>
      </w:pPr>
      <w:r>
        <w:rPr>
          <w:color w:val="000000"/>
          <w:sz w:val="22"/>
          <w:szCs w:val="22"/>
        </w:rPr>
        <w:t xml:space="preserve">𝗢𝗻𝗲. 𝗥𝗲𝗮𝗱𝗶𝗻𝗴𝘀 𝗶𝗻 𝘁𝗵𝗶𝘀 𝗳𝗹𝗲𝗲𝘁 𝘁𝗼𝗽 𝗼𝘂𝘁 𝗮𝘁 𝟭.𝟰𝟰 𝗸𝗪𝗵.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So wherever a household’s baseline is above 1.03 kWh, 1.4 × baseline is higher than anything a meter can physically report — and the rule cannot fire at any level of consumption.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That’s 19% of all readings. Every spike the system has ever raised came from a low-consumption home. The heaviest users are the ones it watches least.</w:t>
      </w:r>
    </w:p>
    <w:p>
      <w:pPr>
        <w:spacing w:after="140" w:before="60"/>
      </w:pPr>
      <w:r>
        <w:rPr>
          <w:color w:val="000000"/>
          <w:sz w:val="22"/>
          <w:szCs w:val="22"/>
        </w:rPr>
        <w:t xml:space="preserve">𝗧𝘄𝗼. 𝗧𝗵𝗲 𝗽𝗲𝗿𝗰𝗲𝗻𝘁𝗮𝗴𝗲 𝗶𝘁 𝗿𝗲𝗽𝗼𝗿𝘁𝘀 𝗶𝘀𝗻'𝘁 𝘁𝗵𝗲 𝘀𝗶𝘇𝗲 𝗼𝗳 𝘁𝗵𝗲 𝗽𝗿𝗼𝗯𝗹𝗲𝗺.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The loudest alert of the week — “+97%” — was 0.29 kWh. About 8p of electricity. Meanwhile 122 readings that were never flagged wasted more than the median flagged spike did.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We were ranking field work by the wrong number.</w:t>
      </w:r>
    </w:p>
    <w:p>
      <w:pPr>
        <w:spacing w:after="140" w:before="60"/>
      </w:pPr>
      <w:r>
        <w:rPr>
          <w:color w:val="000000"/>
          <w:sz w:val="22"/>
          <w:szCs w:val="22"/>
        </w:rPr>
        <w:t xml:space="preserve">𝗧𝗵𝗿𝗲𝗲. 𝗗𝗲𝘁𝗲𝗰𝘁𝗶𝗼𝗻 𝗹𝗼𝘀𝗲𝘀 𝟯%. 𝗧𝗵𝗲 𝗼𝗽𝗲𝗿𝗮𝘁𝗶𝗼𝗻 𝗹𝗼𝘀𝗲𝘀 𝟯𝟬%.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114 detected → 111 alerted → 77 resolved. And the gap is regional: one region closes 52% of its cases, another closes 92% — on the same detector, the same alert, the same 14-minute latency. Nothing in the analytics explains that.</w:t>
      </w:r>
    </w:p>
    <w:p>
      <w:pPr>
        <w:spacing w:after="140" w:before="60"/>
      </w:pPr>
      <w:r>
        <w:rPr>
          <w:color w:val="000000"/>
          <w:sz w:val="22"/>
          <w:szCs w:val="22"/>
        </w:rPr>
        <w:t xml:space="preserve">𝗧𝗵𝗲 𝗳𝗶𝘅 𝗶𝘀 𝗼𝗻𝗲 𝗹𝗶𝗻𝗲.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Keep the ratio rule. Add an absolute one beside it:</w:t>
      </w:r>
    </w:p>
    <w:p>
      <w:pPr>
        <w:spacing w:after="160"/>
      </w:pPr>
      <w:r>
        <w:rPr>
          <w:b/>
          <w:bCs/>
          <w:color w:val="000000"/>
          <w:sz w:val="22"/>
          <w:szCs w:val="22"/>
        </w:rPr>
        <w:t xml:space="preserve">usage − baseline &gt; 0.30 kWh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In that single week it surfaces five events the rule ignored, each wasting more energy than 97% of the spikes it did catch.</w:t>
      </w:r>
    </w:p>
    <w:p>
      <w:pPr>
        <w:spacing w:after="140" w:before="60"/>
      </w:pPr>
      <w:r>
        <w:rPr>
          <w:color w:val="000000"/>
          <w:sz w:val="22"/>
          <w:szCs w:val="22"/>
        </w:rPr>
        <w:t xml:space="preserve">𝗪𝗵𝗮𝘁 𝗜 𝘁𝗼𝗼𝗸 𝗳𝗿𝗼𝗺 𝗶𝘁: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→ Audit the rule, not just its output. 113 of 114 flags reproduced exactly — and the one that didn’t was flagged while sitting 17% below baseline.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→ A threshold can be well chosen and still be the wrong shape. 1.4 sits right at the tail of normal variation. The multiplier was fine. The multiplication wasn’t.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→ Report the finding that isn’t there. No peak-hour concentration, no housing-type effect. Saying so out loud is worth more than a chart that implies otherwise.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Built in Python and pandas, delivered as a single self-contained HTML dashboard — filters, tooltips, table views, no server and no BI licence.</w:t>
      </w:r>
    </w:p>
    <w:p>
      <w:pPr>
        <w:spacing w:after="200"/>
      </w:pPr>
      <w:r>
        <w:rPr>
          <w:b w:val="false"/>
          <w:bCs w:val="false"/>
          <w:color w:val="000000"/>
          <w:sz w:val="22"/>
          <w:szCs w:val="22"/>
        </w:rPr>
        <w:t xml:space="preserve">What’s the most expensive “working as designed” you’ve run into?</w:t>
      </w:r>
    </w:p>
    <w:p>
      <w:pPr>
        <w:spacing w:after="40"/>
      </w:pPr>
      <w:r>
        <w:rPr>
          <w:color w:val="1F6FEB"/>
          <w:sz w:val="22"/>
          <w:szCs w:val="22"/>
        </w:rPr>
        <w:t xml:space="preserve">#DataAnalytics #Python #DataAnalysis #EnergyData #SmartMeters #Dashboard #DataVisualization</w:t>
      </w:r>
    </w:p>
    <w:p>
      <w:pPr>
        <w:pBdr>
          <w:bottom w:val="single" w:color="1F6FEB" w:sz="8" w:space="4"/>
        </w:pBdr>
        <w:spacing w:after="140" w:before="320"/>
      </w:pPr>
      <w:r>
        <w:rPr>
          <w:b/>
          <w:bCs/>
          <w:caps/>
          <w:color w:val="1F6FEB"/>
          <w:sz w:val="24"/>
          <w:szCs w:val="24"/>
        </w:rPr>
        <w:t xml:space="preserve">First comment — post this yourself, right after publishing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Full write-up, the data-quality log (13 issues in the source extract, including two different date formats in the same file), and the reproducible pipeline: [paste your link here]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Happy to talk through the detection logic with anyone working on anomaly rules — the ratio-vs-absolute trade-off shows up well beyond energy.</w:t>
      </w:r>
    </w:p>
    <w:p>
      <w:pPr>
        <w:pBdr>
          <w:bottom w:val="single" w:color="1F6FEB" w:sz="8" w:space="4"/>
        </w:pBdr>
        <w:spacing w:after="140" w:before="320"/>
      </w:pPr>
      <w:r>
        <w:rPr>
          <w:b/>
          <w:bCs/>
          <w:caps/>
          <w:color w:val="1F6FEB"/>
          <w:sz w:val="24"/>
          <w:szCs w:val="24"/>
        </w:rPr>
        <w:t xml:space="preserve">Shorter version — if you post a single image instead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“The rule is working.” It was. That was the problem.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A smart-meter case study — 6,720 readings, 20 households, one week.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The detector flags a spike at 1.4 × a home’s baseline. But readings in this fleet cap out at 1.44 kWh, so on any home whose baseline is above 1.03 kWh the rule mathematically cannot fire. 19% of all readings sit in that blind band — and every spike ever raised came from a low-consumption home.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Two more things it hid: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• The loudest alert of the week, “+97%”, was 8p of electricity. 122 unflagged readings wasted more than the median flagged spike.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• 114 spikes detected → 111 alerted → 77 resolved. One region closes 52% of cases, another 92%, on identical alerts.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The fix was one line: add usage − baseline &gt; 0.30 kWh beside the ratio rule.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Python + pandas, delivered as one self-contained HTML dashboard. Write-up in the comments.</w:t>
      </w:r>
    </w:p>
    <w:p>
      <w:pPr>
        <w:spacing w:after="40"/>
      </w:pPr>
      <w:r>
        <w:rPr>
          <w:color w:val="1F6FEB"/>
          <w:sz w:val="22"/>
          <w:szCs w:val="22"/>
        </w:rPr>
        <w:t xml:space="preserve">#DataAnalytics #Python #DataVisualization #EnergyData</w:t>
      </w:r>
    </w:p>
    <w:p>
      <w:pPr>
        <w:pBdr>
          <w:bottom w:val="single" w:color="1F6FEB" w:sz="8" w:space="4"/>
        </w:pBdr>
        <w:spacing w:after="140" w:before="320"/>
      </w:pPr>
      <w:r>
        <w:rPr>
          <w:b/>
          <w:bCs/>
          <w:caps/>
          <w:color w:val="1F6FEB"/>
          <w:sz w:val="24"/>
          <w:szCs w:val="24"/>
        </w:rPr>
        <w:t xml:space="preserve">Posting checklist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1.  Best format: post the carousel (novagrid_carousel.pdf) as a LinkedIn document post, with the main caption above.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2.  Single-image alternative: use all_charts_poster.png or dashboard_hero_dark.png with the shorter version.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3.  Add alt text to each image (LinkedIn supports it). The alt text is already written in post_copy.md in the project folder.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4.  Keep the link out of the post body; drop it in the first comment instead.</w:t>
      </w:r>
    </w:p>
    <w:p>
      <w:pPr>
        <w:spacing w:after="160"/>
      </w:pPr>
      <w:r>
        <w:rPr>
          <w:b w:val="false"/>
          <w:bCs w:val="false"/>
          <w:color w:val="000000"/>
          <w:sz w:val="22"/>
          <w:szCs w:val="22"/>
        </w:rPr>
        <w:t xml:space="preserve">5.  Only the first two lines show before “…see more” — the hook is built to land there, so don’t add anything above it.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NovaGrid — LinkedIn Post</dc:title>
  <dc:creator>King</dc:creator>
  <cp:lastModifiedBy>Un-named</cp:lastModifiedBy>
  <cp:revision>1</cp:revision>
  <dcterms:created xsi:type="dcterms:W3CDTF">2026-08-05T17:11:23.479Z</dcterms:created>
  <dcterms:modified xsi:type="dcterms:W3CDTF">2026-08-05T17:11:23.494Z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