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24" w:lineRule="auto" w:before="0" w:after="160"/>
        <w:jc w:val="center"/>
      </w:pPr>
      <w:r>
        <w:rPr>
          <w:rFonts w:ascii="宋体" w:hAnsi="宋体" w:eastAsia="宋体"/>
          <w:b/>
          <w:i w:val="0"/>
          <w:sz w:val="36"/>
        </w:rPr>
        <w:t>中国建筑国际集团有限公司</w:t>
      </w:r>
    </w:p>
    <w:p>
      <w:pPr>
        <w:spacing w:line="324" w:lineRule="auto" w:before="0" w:after="80"/>
        <w:jc w:val="center"/>
      </w:pPr>
      <w:r>
        <w:rPr>
          <w:rFonts w:ascii="宋体" w:hAnsi="宋体" w:eastAsia="宋体"/>
          <w:b/>
          <w:i w:val="0"/>
          <w:sz w:val="48"/>
        </w:rPr>
        <w:t>首届「海之子杯」</w:t>
      </w:r>
    </w:p>
    <w:p>
      <w:pPr>
        <w:spacing w:line="324" w:lineRule="auto" w:before="0" w:after="80"/>
        <w:jc w:val="center"/>
      </w:pPr>
      <w:r>
        <w:rPr>
          <w:rFonts w:ascii="宋体" w:hAnsi="宋体" w:eastAsia="宋体"/>
          <w:b/>
          <w:i w:val="0"/>
          <w:sz w:val="40"/>
        </w:rPr>
        <w:t>高校AI智能体应用大赛</w:t>
      </w:r>
    </w:p>
    <w:p>
      <w:pPr>
        <w:spacing w:line="324" w:lineRule="auto" w:before="0" w:after="480"/>
        <w:jc w:val="center"/>
      </w:pPr>
      <w:r>
        <w:rPr>
          <w:rFonts w:ascii="宋体" w:hAnsi="宋体" w:eastAsia="宋体"/>
          <w:b w:val="0"/>
          <w:i w:val="0"/>
          <w:sz w:val="28"/>
        </w:rPr>
        <w:t>完整方案（高校版 · 含合作生态规划）</w:t>
      </w:r>
    </w:p>
    <w:p>
      <w:pPr>
        <w:spacing w:line="324" w:lineRule="auto" w:before="0" w:after="160"/>
        <w:jc w:val="center"/>
      </w:pPr>
      <w:r>
        <w:rPr>
          <w:rFonts w:ascii="宋体" w:hAnsi="宋体" w:eastAsia="宋体"/>
          <w:b/>
          <w:i w:val="0"/>
          <w:color w:val="C00000"/>
          <w:sz w:val="22"/>
        </w:rPr>
        <w:t>【内部资料 · 严格保密 · 未经授权不得外传】</w:t>
      </w:r>
    </w:p>
    <w:p>
      <w:pPr>
        <w:spacing w:line="324" w:lineRule="auto" w:before="0" w:after="120"/>
        <w:jc w:val="center"/>
      </w:pPr>
      <w:r>
        <w:rPr>
          <w:rFonts w:ascii="宋体" w:hAnsi="宋体" w:eastAsia="宋体"/>
          <w:b w:val="0"/>
          <w:i w:val="0"/>
          <w:sz w:val="26"/>
        </w:rPr>
        <w:t>2026年6月</w:t>
      </w:r>
    </w:p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一、方案概述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本方案依据集团关于校园AI大赛的最新要求编制，旨在面向全球高校在校学生，以智能体（AI Agent）为主要技术载体，发掘能用人工智能解决建筑行业真实问题的青年人才，并与集团「海之子」校招计划、AI员工社区建设、科技立项工作形成闭环联动。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/>
          <w:i w:val="0"/>
          <w:sz w:val="22"/>
        </w:rPr>
        <w:t>赛事全称：中国建筑国际首届「海之子杯」高校AI智能体应用大赛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赛事定位：以央企「为人民造好房、为工友谋幸福」使命为纲，聚焦主业场景与社会责任，打造兼具选拔精准性、业务贴合度、招聘联动性与行业影响力的智能化校招品牌赛事。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主办单位：中国建筑国际集团有限公司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参赛对象：海内外全日制高等院校在校学生（本科、硕士、博士），专业不限。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68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che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68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图1  赛事整体流程图</w:t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二、设计原则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使命导向：两大赛道紧扣集团主业与社会责任，避免泛化命题、偏离央企形象。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作品驱动：以标准化材料提交与线上评审为主，取消传统校园宣讲与校园大使机制。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激励合规：荣誉与职业发展通道为主、现金激励为辅，兼顾国有企业背景与合规要求。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生态共建：联合高校与AI企业，以「真实场景+学术背书+技术前沿」提升赛事公信力与含金量。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闭环联动：获奖队伍享受科技立项、应届生Offer、AI员工兼职三大直通车。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公平高效：AI初筛与人工复筛相结合，评审标准统一、过程可追溯。</w:t>
      </w:r>
    </w:p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三、赛题赛道设置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本次大赛设置两个主赛道方向，另设一项开放创新补充通道，形成「两大赛道 + 一个开放项」结构。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3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ra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图2  两大赛道+开放创新项结构图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（一）赛道一：为人民造好房 · 建好房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使命锚点：围绕「安全耐久、健康舒适、绿色低碳、智慧便捷」好房子标准，聚焦建筑设计、智慧建造、项目管理、品质管控及智慧运营相关场景。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/>
          <w:i w:val="0"/>
          <w:sz w:val="22"/>
        </w:rPr>
        <w:t>赛道口号：用AI，让每一套房子都经得起考验。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子方向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典型应用场景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建议面向专业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精工建造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智能审图、装配式调度、进度/成本管理、数字孪生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土木、结构、机电、计算机等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幸福空间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户型比选、规范审查、绿色能耗测算、智慧社区运维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建筑、规划、环境、能源等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智慧运营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标书审阅、资产招商匹配、投资信息初筛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经管、金融、法学、计算机等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（二）赛道二：为工友谋幸福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使命锚点：围绕工友安全、权益、成长与生活关怀，探索有温度的AI应用。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/>
          <w:i w:val="0"/>
          <w:sz w:val="22"/>
        </w:rPr>
        <w:t>赛道口号：用AI，让每一位建设者都被看见。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子方向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典型应用场景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建议面向专业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安全保障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高风险作业预警、安全培训、事故案例问答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安全工程、土木、计算机等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权益守护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劳务合同审查、普法咨询、工资/考勤咨询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法学、公管、劳动与社会保障等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暖心成长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心理疏导、技能培训推荐、生活服务导航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心理学、HR、医学、教育学等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（三）开放创新项（+1）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不占主赛道评奖名额，可探索产业互联网、城市更新、绿色低碳、青年工程师成长等前沿议题。</w:t>
      </w:r>
    </w:p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四、参赛材料要求（4+1结构）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57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ateri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7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图3  参赛材料「4+1」结构图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材料名称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内容与格式要求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评审用途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项目方案书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标准模板，含背景痛点、功能架构、AI思维链、赛道归属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评审主文档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智能体Demo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可访问链接或可运行代码包+使用说明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技术验证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核心演示视频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约2分钟、720p+、参赛者出镜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表达力核验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AI交互留痕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对话截图或日志导出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原创佐证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+1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开放创新项说明书（可选）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说明创新点及与主赛道关联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开放项评审</w:t>
            </w:r>
          </w:p>
        </w:tc>
      </w:tr>
    </w:tbl>
    <w:p/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五、赛程安排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形式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启动报名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6月12日前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官网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大赛启动，开放注册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初赛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6.12—7.12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线上个人赛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提交4+1材料；AI初筛+人工复筛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复赛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7月中旬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线上个人赛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异步评审，综合评定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公示名单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7月下旬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官网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公布决赛入围选手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研习营+决赛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7月底（3天）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线下·深圳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组队、研学、限时迭代、答辩颁奖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15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图4  初赛评审机制流程图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5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图5  线下研习营+决赛日程图</w:t>
      </w:r>
    </w:p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六、评审体系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赛道一侧重点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赛道二侧重点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使命契合度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建造、品质、绿色、智慧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工友安全、权益、尊严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创新与原创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工程逻辑+AI新颖度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人文关怀与场景温度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技术实现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Demo、思维链、工具调用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落地可行性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项目部/设计院所试点潜力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劳务管理场景试点潜力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材料完整性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4+1材料规范性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</w:tbl>
    <w:p/>
    <w:p>
      <w:pPr>
        <w:spacing w:line="324" w:lineRule="auto" w:before="0" w:after="120"/>
        <w:ind w:firstLine="420"/>
      </w:pPr>
      <w:r>
        <w:rPr>
          <w:rFonts w:ascii="宋体" w:hAnsi="宋体" w:eastAsia="宋体"/>
          <w:b/>
          <w:i w:val="0"/>
          <w:sz w:val="22"/>
        </w:rPr>
        <w:t>评审团构成（含金量支撑）：集团业务专家 + 合作高校教授 + AI企业技术专家，按7:2:1比例配置决赛评委。</w:t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七、激励与奖励体系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38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ncen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图6  三层激励+三大直通车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奖项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名额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金额/队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一等奖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3万元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二等奖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3支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2万元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三等奖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1万元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直通车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适用对象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兑现内容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科创立项直通车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一等奖及赛道冠军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课题入库+专项经费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海之子Offer直通车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决赛优胜且岗位匹配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校招绿色通道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AI数字员工实践直通车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优秀作品团队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兼职产品经理/场景顾问</w:t>
            </w:r>
          </w:p>
        </w:tc>
      </w:tr>
    </w:tbl>
    <w:p/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八、组织保障与分工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036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or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图7  组织协同架构图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4533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赛事组委会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统筹赛程、评审、激励兑现、合作方对接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信息化/科技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AI初筛、决赛命题、科创立项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Offer直通车、HR 1v1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AI员工运营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兼职直通车、案例沉淀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品牌/宣传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官网、短视频、合作方联合宣发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法务/合规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规则、知产、激励合规</w:t>
            </w:r>
          </w:p>
        </w:tc>
      </w:tr>
    </w:tbl>
    <w:p/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九、合作生态与含金量提升规划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赛事含金量不仅取决于奖金规模，更取决于「出题权威性、评审公信力、技术前沿性、成果转化率」四要素。本章规划通过高校合作与AI企业合作，构建「央企出题、高校背书、AI企业赋能、青年共创」的产教融合生态，将海之子杯打造为建筑行业AI应用领域的标杆赛事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635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co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3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图8  赛事合作生态与价值闭环图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（一）含金量提升总体目标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现状短板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合作后目标（首届）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长期目标（3届内）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权威性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单一企业主办，外部认知有限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3所以上双一流高校联合发起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形成「建筑AI创新高校联盟」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技术性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选手自备工具，标准参差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头部AI企业提供平台与算力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建立建筑行业智能体评测基准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场景性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赛题偏概念化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提供脱敏真实业务场景包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年度发布《建筑AI应用白皮书》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转化性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赛事结束即散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优秀作品直入AI员工社区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30%获奖作品一年内项目落地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人才性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仅面向校招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学分认定+导师推荐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成为海之子计划核心人才入口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（二）高校合作规划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38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univers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图9  高校合作「三层联动」模式图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合作原则：不求数量堆砌，优先选择建筑类传统强校、AI与计算机特色院校、港澳及深圳属地高校，形成「土木建筑+AI交叉」的精准覆盖。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1. 合作层级与分工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合作层级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合作形式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高校获得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赛事获得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联合发起单位（2—3所）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联名主办/联合承办，校徽登上赛事官网与证书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品牌曝光、产教融合政绩、就业数据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学术公信力、教授评委、深度生源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战略支持单位（5—8所）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就业中心官方推介、创新创业学院挂牌实践基地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学生实践平台、校企合作项目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精准触达、院系课程对接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参赛合作单位（10所+）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官方参赛推荐、社团联动、校媒联合传播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学生获奖荣誉、校内曝光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参赛规模、作品多样性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2. 重点合作方向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赛事学术委员会：邀请建筑、土木、计算机、法学等领域教授5—9人，负责赛道标准审议、复赛学术仲裁与决赛评审，提升评审权威性。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真实场景共研：联合高校科研团队，将赛道一、赛道二的子方向转化为「带背景说明的场景任务书」，纳入参赛模板，避免选手脱离行业实际。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学分与课程认定：推动创新创业学分、课程实践学时认定（需教务处官方发文），使参赛从「课外竞赛」升级为「教学实践环节」。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导师双选机制：为进入决赛的选手匹配「企业导师+高校导师」双导师，研习营期间提供1对1辅导，强化人才培养深度。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联合实验室开放：依托深圳属地优势，开放海龙好房子体验馆、COB领潮馆等作为研习营研学基地，联合高校签署「智能建造产教融合实践基地」挂牌。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研究生推免/升学推荐：对特别优秀选手，由合作高校导师出具推荐信或创新实践评价，作为升学辅助材料（非录取承诺，合规表述）。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3. 重点目标院校清单（建议首批洽谈）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建议院校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合作切入点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重点赛道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建筑老八校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清华、同济、东南、天大等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联合发起、教授评委、设计/建造场景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赛道一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土木强校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哈工大、西南交大、长安大学等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战略支持、工程智能体实践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赛道一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AI/计算机特色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浙大、北航、南大、港中大（深圳）等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技术平台共建、算法人才输送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两赛道均可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属地高校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深圳大学、南方科大、港大、港科大等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研习营落地、港澳工友场景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赛道二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人文社科强校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人大、武大、华东政法等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权益保障、劳务法务场景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赛道二</w:t>
            </w:r>
          </w:p>
        </w:tc>
      </w:tr>
    </w:tbl>
    <w:p/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0"/>
        </w:rPr>
        <w:t>说明：以上为建议洽谈清单，正式合作须经集团品牌与法务审核后签署框架协议。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（三）AI企业合作规划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38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i_enterpri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 w:val="0"/>
          <w:i/>
          <w:color w:val="666666"/>
          <w:sz w:val="20"/>
        </w:rPr>
        <w:t>图10  AI企业合作「四维赋能」模式图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合作原则：选择与企业已有数字化底座兼容、具备建筑/企业级场景服务能力、愿意投入真实资源的AI企业，避免「贴牌合作」。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1. 合作层级与分工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合作层级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合作形式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企业提供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赛事获得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技术战略合作伙伴（1—2家）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联合logo、共建赛事技术平台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智能体开发平台、API额度、技术支持团队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技术底座、初赛AI初筛能力、品牌背书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平台生态合作伙伴（2—3家）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官方推荐搭建工具、工作坊讲师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免代码平台账号、教程、算力券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降低参赛门槛、提升作品完成度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专家支持单位（若干）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派技术专家担任评委/导师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行业洞察、技术答疑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评审专业性、研习营培训质量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2. 重点合作方向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技术平台共建：与飞书Aily、字节Coze、腾讯元器等已纳入集团数字化体系的平台合作，为选手提供官方账号、模板库与一键部署通道，决赛基于统一平台限时开发，确保可比性。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算力与API支持：为进入复赛/决赛的选手提供大模型API调用额度或云算力券，消除「因资源不足导致作品不完整」的公平性问题。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AI评测能力共建：引入合作方智能体评测工具，对初赛作品的思维链质量、工具调用成功率、响应准确率进行自动化评分，与人工评审形成「AI+专家」双轨评价。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专家评委与导师：邀请合作企业AI架构师、产品经理担任复赛评委与研习营讲师，使评审标准与产业界接轨。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联合认证证书：获奖选手除集团证书外，可获合作企业颁发的「智能体开发能力认证」或「优秀开发者」电子证书，增强简历含金量。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开发者社区联动：优秀作品可选择上架合作方开发者社区（脱敏后），扩大影响力并吸引外部开发者关注建筑AI赛道。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联合发布行业成果：赛后与合作方、高校联合发布《中国建筑AI智能体应用创新报告》，收录获奖作品与趋势洞察，树立行业话语权。</w:t>
      </w:r>
    </w:p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4"/>
        </w:rPr>
        <w:t>3. 建议合作企业类型（首批洽谈方向）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代表方向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合作价值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企业级智能体平台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飞书Aily、企业微信智能体等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与集团现有IM/办公环境无缝衔接，决赛可复用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低代码Agent平台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字节Coze、腾讯元器、百度千帆等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降低非计算机专业学生参赛门槛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大模型/API提供方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主流大模型厂商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提供API额度，支撑初赛AI初筛与选手开发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建筑科技/数字孪生企业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智能建造、BIM、数字孪生领域企业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提供垂直领域知识与场景验证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AI评测/安全企业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智能体评测、内容安全类企业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保障评审效率与合规性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（四）合作落地时间表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高校合作动作</w:t>
            </w:r>
          </w:p>
        </w:tc>
        <w:tc>
          <w:tcPr>
            <w:tcW w:type="dxa" w:w="2266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AI企业合作动作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筹备期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赛前2个月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签署联合发起/支持协议；确定学术委员会名单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确定技术战略合作伙伴；平台账号方案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启动期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6月12日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合作高校官网同步挂网；就业中心邮件推送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合作方官网/开发者社区联合宣发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初赛期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6—7月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导师在线答疑（每月1场）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平台教程+API额度发放；技术FAQ</w:t>
            </w:r>
          </w:p>
        </w:tc>
      </w:tr>
      <w:tr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决赛期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7月底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教授评委现场/线上评审；学分认定材料出具</w:t>
            </w:r>
          </w:p>
        </w:tc>
        <w:tc>
          <w:tcPr>
            <w:tcW w:type="dxa" w:w="2266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专家工作坊；联合颁奖；认证证书发放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赛后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8—12月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优秀作品校媒展示；产教融合案例申报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白皮书联合发布；社区上架；持续孵化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（五）含金量提升「十大举措」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举措</w:t>
            </w:r>
          </w:p>
        </w:tc>
        <w:tc>
          <w:tcPr>
            <w:tcW w:type="dxa" w:w="3022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核心价值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双证书体系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获奖选手获「集团证书 + 合作高校/AI企业联合认证」，提升简历辨识度。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三维评委团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决赛评委按集团业务专家（70%）、高校教授（20%）、AI企业技术专家（10%）配置。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真实场景命题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提供脱敏版业务数据包（合同范本、安全检查表、地块信息等），杜绝「空对空」选题。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AI员工社区直通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获奖作品优先上架集团AI员工社区，标注作者与学校，形成可复用数字资产。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白皮书联合发布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赛后发布《建筑AI智能体应用创新报告》，收录前十作品与评委点评。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研习营导师制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决赛阶段配置「1企业导师+1高校导师+1技术导师」三线辅导。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媒体联合传播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合作高校官网、AI企业开发者社区、建筑行业媒体三方联动报道。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创新联盟发起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以首届赛事为契机，倡议成立「建筑AI产教融合创新联盟」，央企任理事长单位。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国际标准对标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参考国际工程AI竞赛评审框架，建立可量化的智能体评测指标体系。</w:t>
            </w:r>
          </w:p>
        </w:tc>
      </w:tr>
      <w:tr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持续孵化机制</w:t>
            </w:r>
          </w:p>
        </w:tc>
        <w:tc>
          <w:tcPr>
            <w:tcW w:type="dxa" w:w="3022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获奖作品进入「90天孵化池」，由AI员工社区悬赏任务跟进落地验证。</w:t>
            </w:r>
          </w:p>
        </w:tc>
      </w:tr>
    </w:tbl>
    <w:p/>
    <w:p>
      <w:pPr>
        <w:spacing w:line="324" w:lineRule="auto" w:before="160" w:after="120"/>
      </w:pPr>
      <w:r>
        <w:rPr>
          <w:rFonts w:ascii="宋体" w:hAnsi="宋体" w:eastAsia="宋体"/>
          <w:b/>
          <w:i w:val="0"/>
          <w:sz w:val="28"/>
        </w:rPr>
        <w:t>（六）合作方权益与合规边界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合作高校不得收取赛事回扣或变相提成；合作仅为公益性质的教育交流与人才共育。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AI企业合作须签署知识产权与数据安全协议，选手作品版权归作者所有，集团享有优先使用权。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联合logo使用、证书联名须经集团品牌部门审核，确保央企形象不受损。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所有合作宣传须提前报备，未经批准不得对外发布「冠名」「主办」等表述。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涉及港澳高校合作，须符合相关管理规定。</w:t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十、传播策略与保密要求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未经授权不得对外传播；正式发布前严禁公开宣传。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宣发突出两大赛道口号、合作高校与AI企业联合背书，弱化单一「重金竞赛」表述。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合作方联合宣发须使用统一口径与视觉规范。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i w:val="0"/>
          <w:sz w:val="22"/>
        </w:rPr>
        <w:t>官网上线章程、赛道说明、4+1模板、合作单位名录、FAQ及报名入口。</w:t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十一、常见问题（FAQ）</w:t>
      </w:r>
    </w:p>
    <w:p>
      <w:pPr>
        <w:spacing w:line="324" w:lineRule="auto" w:before="80" w:after="120"/>
      </w:pPr>
      <w:r>
        <w:rPr>
          <w:rFonts w:ascii="宋体" w:hAnsi="宋体" w:eastAsia="宋体"/>
          <w:b/>
          <w:i w:val="0"/>
          <w:sz w:val="22"/>
        </w:rPr>
        <w:t>Q：非计算机专业可以参赛吗？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A：可以，专业不限；合作企业提供低代码平台降低技术门槛。</w:t>
      </w:r>
    </w:p>
    <w:p>
      <w:pPr>
        <w:spacing w:line="324" w:lineRule="auto" w:before="80" w:after="120"/>
      </w:pPr>
      <w:r>
        <w:rPr>
          <w:rFonts w:ascii="宋体" w:hAnsi="宋体" w:eastAsia="宋体"/>
          <w:b/>
          <w:i w:val="0"/>
          <w:sz w:val="22"/>
        </w:rPr>
        <w:t>Q：初赛可以组队吗？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A：不可以，初赛个人赛；决赛3人组队。</w:t>
      </w:r>
    </w:p>
    <w:p>
      <w:pPr>
        <w:spacing w:line="324" w:lineRule="auto" w:before="80" w:after="120"/>
      </w:pPr>
      <w:r>
        <w:rPr>
          <w:rFonts w:ascii="宋体" w:hAnsi="宋体" w:eastAsia="宋体"/>
          <w:b/>
          <w:i w:val="0"/>
          <w:sz w:val="22"/>
        </w:rPr>
        <w:t>Q：合作高校学生有优先权吗？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A：无录取优先，但合作高校学生可获得官方参赛指导与学分认定机会。</w:t>
      </w:r>
    </w:p>
    <w:p>
      <w:pPr>
        <w:spacing w:line="324" w:lineRule="auto" w:before="80" w:after="120"/>
      </w:pPr>
      <w:r>
        <w:rPr>
          <w:rFonts w:ascii="宋体" w:hAnsi="宋体" w:eastAsia="宋体"/>
          <w:b/>
          <w:i w:val="0"/>
          <w:sz w:val="22"/>
        </w:rPr>
        <w:t>Q：可以用合作企业提供的平台吗？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A：鼓励使用；组委会将公布官方推荐平台清单。</w:t>
      </w:r>
    </w:p>
    <w:p>
      <w:pPr>
        <w:spacing w:line="324" w:lineRule="auto" w:before="80" w:after="120"/>
      </w:pPr>
      <w:r>
        <w:rPr>
          <w:rFonts w:ascii="宋体" w:hAnsi="宋体" w:eastAsia="宋体"/>
          <w:b/>
          <w:i w:val="0"/>
          <w:sz w:val="22"/>
        </w:rPr>
        <w:t>Q：获奖作品版权归谁？</w:t>
      </w:r>
    </w:p>
    <w:p>
      <w:pPr>
        <w:spacing w:line="324" w:lineRule="auto" w:before="0" w:after="120"/>
        <w:ind w:firstLine="420"/>
      </w:pPr>
      <w:r>
        <w:rPr>
          <w:rFonts w:ascii="宋体" w:hAnsi="宋体" w:eastAsia="宋体"/>
          <w:b w:val="0"/>
          <w:i w:val="0"/>
          <w:sz w:val="22"/>
        </w:rPr>
        <w:t>A：归作者所有；集团享有优先使用权与合作孵化权。</w:t>
      </w:r>
    </w:p>
    <w:p>
      <w:r>
        <w:br w:type="page"/>
      </w:r>
    </w:p>
    <w:p>
      <w:pPr>
        <w:spacing w:line="324" w:lineRule="auto" w:before="280" w:after="120"/>
      </w:pPr>
      <w:r>
        <w:rPr>
          <w:rFonts w:ascii="宋体" w:hAnsi="宋体" w:eastAsia="宋体"/>
          <w:b/>
          <w:i w:val="0"/>
          <w:sz w:val="32"/>
        </w:rPr>
        <w:t>十二、附录：方案要点速查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要素</w:t>
            </w:r>
          </w:p>
        </w:tc>
        <w:tc>
          <w:tcPr>
            <w:tcW w:type="dxa" w:w="4533"/>
            <w:shd w:fill="1F4E79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主赛道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①为人民造好房·建好房  ②为工友谋幸福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材料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4+1：方案书+Demo+视频+交互留痕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赛程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初赛→复赛→深圳研习营+决赛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直通车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科创立项/Offer/AI员工兼职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高校合作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三层联动：战略层+资源层+参与层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AI企业合作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四维赋能：技术+专家+品牌+生态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含金量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双证书+三维评委+白皮书+社区孵化</w:t>
            </w:r>
          </w:p>
        </w:tc>
      </w:tr>
      <w:tr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现金池</w:t>
            </w:r>
          </w:p>
        </w:tc>
        <w:tc>
          <w:tcPr>
            <w:tcW w:type="dxa" w:w="4533"/>
            <w:shd w:fill="F2F7FB" w:val="clear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15万元（1/3/5队）</w:t>
            </w:r>
          </w:p>
        </w:tc>
      </w:tr>
    </w:tbl>
    <w:p/>
    <w:p>
      <w:pPr>
        <w:spacing w:line="324" w:lineRule="auto" w:before="320" w:after="120"/>
        <w:jc w:val="center"/>
      </w:pPr>
      <w:r>
        <w:rPr>
          <w:rFonts w:ascii="宋体" w:hAnsi="宋体" w:eastAsia="宋体"/>
          <w:b/>
          <w:i w:val="0"/>
          <w:sz w:val="22"/>
        </w:rPr>
        <w:t>—  方案完 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