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273F4F99" w14:textId="5599998A" w:rsidR="00524692" w:rsidRDefault="00524692" w:rsidP="00524692">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4170F4E" w14:textId="77777777" w:rsidR="00D71D38" w:rsidRDefault="00D71D38" w:rsidP="00524692">
      <w:pPr>
        <w:spacing w:after="0" w:line="360" w:lineRule="auto"/>
        <w:ind w:firstLine="720"/>
        <w:jc w:val="both"/>
        <w:rPr>
          <w:rFonts w:ascii="Times New Roman" w:hAnsi="Times New Roman" w:cs="Times New Roman"/>
          <w:sz w:val="24"/>
          <w:szCs w:val="24"/>
        </w:rPr>
      </w:pP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lastRenderedPageBreak/>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4442218E"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Wardhana dkk. (2023)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5B734901"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(ref12)</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Pr>
          <w:rFonts w:ascii="Times New Roman" w:hAnsi="Times New Roman" w:cs="Times New Roman"/>
          <w:sz w:val="24"/>
          <w:szCs w:val="24"/>
        </w:rPr>
        <w:lastRenderedPageBreak/>
        <w:t>(ref13)</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C2AEF3F" w:rsidR="00EE3BA4" w:rsidRPr="00AA520F"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67F32ACA" w14:textId="59790D66" w:rsidR="00DC4AE3" w:rsidRDefault="002757D4" w:rsidP="00797E64">
      <w:pPr>
        <w:spacing w:line="360" w:lineRule="auto"/>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0B67446B" w14:textId="78296ACD"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lastRenderedPageBreak/>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7F7DC66E" w14:textId="72300F8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38D01D09" w14:textId="77777777" w:rsidR="00424078" w:rsidRDefault="00424078" w:rsidP="00424078">
      <w:pPr>
        <w:pStyle w:val="ListParagraph"/>
        <w:spacing w:line="360" w:lineRule="auto"/>
        <w:ind w:left="567"/>
        <w:jc w:val="both"/>
        <w:rPr>
          <w:rFonts w:ascii="Times New Roman" w:hAnsi="Times New Roman" w:cs="Times New Roman"/>
          <w:sz w:val="24"/>
          <w:szCs w:val="24"/>
          <w:lang w:eastAsia="en-ID"/>
        </w:rPr>
      </w:pP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42454438" w14:textId="28A5035A" w:rsidR="006B7C77" w:rsidRDefault="006B7C77" w:rsidP="006B7C77">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6CC80727" w14:textId="217D6F15" w:rsidR="00BC52BF" w:rsidRDefault="006B7C77" w:rsidP="006B7C77">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lastRenderedPageBreak/>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7C43A0C6" w14:textId="51439CD3" w:rsidR="00EB630A"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 Struktur gambar Random Forest adalah representasi visual dari banyak pohon keputusan yang berdiri sendiri, dengan proses agregasi hasil sebagai komponen penting dalam menghasilkan prediksi akhir.</w:t>
      </w:r>
    </w:p>
    <w:p w14:paraId="29E43534" w14:textId="14CC8419" w:rsidR="00841AE3"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sidR="00914B9C">
        <w:rPr>
          <w:rFonts w:ascii="Times New Roman" w:eastAsiaTheme="minorEastAsia" w:hAnsi="Times New Roman" w:cs="Times New Roman"/>
          <w:sz w:val="24"/>
          <w:szCs w:val="24"/>
          <w:lang w:eastAsia="en-ID"/>
        </w:rPr>
        <w:t>.</w:t>
      </w:r>
    </w:p>
    <w:p w14:paraId="04F479AB" w14:textId="573789A2"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2D90988D" w14:textId="6E39E036"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Google Sheets adalah aplikasi spreadsheet berbasis cloud yang memungkinkan pengguna membuat, mengedit, dan mengelola data dalam format tabel dengan kolom dan baris secara online. Berbeda dengan software spreadsheet 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lastRenderedPageBreak/>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bookmarkStart w:id="1" w:name="_GoBack"/>
      <w:bookmarkEnd w:id="1"/>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 xml:space="preserve">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w:t>
      </w:r>
      <w:r>
        <w:lastRenderedPageBreak/>
        <w:t>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 xml:space="preserve">Flutter adalah framework open-source yang dikembangkan oleh Google untuk membangun aplikasi lintas platform dengan satu basis kode. Dengan Flutter, pengembang bisa membuat aplikasi untuk Android, iOS, web, hingga desktop (Windows, macOS, Linux) secara bersamaan. Flutter menggunakan bahasa </w:t>
      </w:r>
      <w:r w:rsidRPr="006F6BC3">
        <w:rPr>
          <w:rFonts w:ascii="Times New Roman" w:hAnsi="Times New Roman" w:cs="Times New Roman"/>
          <w:sz w:val="24"/>
          <w:szCs w:val="24"/>
          <w:lang w:eastAsia="en-ID"/>
        </w:rPr>
        <w:lastRenderedPageBreak/>
        <w:t>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7"/>
      <w:r>
        <w:rPr>
          <w:rFonts w:ascii="Times New Roman" w:hAnsi="Times New Roman" w:cs="Times New Roman"/>
          <w:b/>
          <w:color w:val="000000" w:themeColor="text1"/>
          <w:sz w:val="24"/>
          <w:szCs w:val="24"/>
          <w:lang w:eastAsia="en-ID"/>
        </w:rPr>
        <w:t>Metode dan Tahapannya</w:t>
      </w:r>
      <w:bookmarkEnd w:id="2"/>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lastRenderedPageBreak/>
        <w:drawing>
          <wp:inline distT="0" distB="0" distL="0" distR="0" wp14:anchorId="33F6D205" wp14:editId="6F1F2462">
            <wp:extent cx="2609850" cy="39149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620606" cy="3931072"/>
                    </a:xfrm>
                    <a:prstGeom prst="rect">
                      <a:avLst/>
                    </a:prstGeom>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w:t>
      </w:r>
      <w:r w:rsidRPr="00D02080">
        <w:lastRenderedPageBreak/>
        <w:t xml:space="preserve">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lastRenderedPageBreak/>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E327F8">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lastRenderedPageBreak/>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lastRenderedPageBreak/>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t>Penelitian Terkait</w:t>
      </w:r>
      <w:bookmarkEnd w:id="3"/>
    </w:p>
    <w:p w14:paraId="28385A69" w14:textId="77777777"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Berikut adalah lima penelitian terkait sebagai referensi: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175"/>
        <w:gridCol w:w="921"/>
        <w:gridCol w:w="1657"/>
        <w:gridCol w:w="1367"/>
        <w:gridCol w:w="2448"/>
      </w:tblGrid>
      <w:tr w:rsidR="001717E0" w:rsidRPr="00DC0EE1" w14:paraId="357F4A41" w14:textId="77777777" w:rsidTr="001717E0">
        <w:trPr>
          <w:tblCellSpacing w:w="15" w:type="dxa"/>
        </w:trPr>
        <w:tc>
          <w:tcPr>
            <w:tcW w:w="0" w:type="auto"/>
            <w:vAlign w:val="center"/>
            <w:hideMark/>
          </w:tcPr>
          <w:p w14:paraId="14F12897"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No</w:t>
            </w:r>
          </w:p>
        </w:tc>
        <w:tc>
          <w:tcPr>
            <w:tcW w:w="0" w:type="auto"/>
            <w:vAlign w:val="center"/>
            <w:hideMark/>
          </w:tcPr>
          <w:p w14:paraId="02AEF669"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Peneliti (Tahun)</w:t>
            </w:r>
          </w:p>
        </w:tc>
        <w:tc>
          <w:tcPr>
            <w:tcW w:w="0" w:type="auto"/>
            <w:vAlign w:val="center"/>
            <w:hideMark/>
          </w:tcPr>
          <w:p w14:paraId="0D2FCD8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Metode</w:t>
            </w:r>
          </w:p>
        </w:tc>
        <w:tc>
          <w:tcPr>
            <w:tcW w:w="0" w:type="auto"/>
            <w:vAlign w:val="center"/>
            <w:hideMark/>
          </w:tcPr>
          <w:p w14:paraId="7DED3E90"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Fokus Penelitian</w:t>
            </w:r>
          </w:p>
        </w:tc>
        <w:tc>
          <w:tcPr>
            <w:tcW w:w="0" w:type="auto"/>
            <w:vAlign w:val="center"/>
            <w:hideMark/>
          </w:tcPr>
          <w:p w14:paraId="11860ED2"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Hasil</w:t>
            </w:r>
          </w:p>
        </w:tc>
        <w:tc>
          <w:tcPr>
            <w:tcW w:w="0" w:type="auto"/>
            <w:vAlign w:val="center"/>
            <w:hideMark/>
          </w:tcPr>
          <w:p w14:paraId="5EF343D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Pembahasan</w:t>
            </w:r>
          </w:p>
        </w:tc>
      </w:tr>
      <w:tr w:rsidR="001717E0" w:rsidRPr="00DC0EE1" w14:paraId="2B1DF33C" w14:textId="77777777" w:rsidTr="001717E0">
        <w:trPr>
          <w:tblCellSpacing w:w="15" w:type="dxa"/>
        </w:trPr>
        <w:tc>
          <w:tcPr>
            <w:tcW w:w="0" w:type="auto"/>
            <w:vAlign w:val="center"/>
            <w:hideMark/>
          </w:tcPr>
          <w:p w14:paraId="6F5078B3"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w:t>
            </w:r>
          </w:p>
        </w:tc>
        <w:tc>
          <w:tcPr>
            <w:tcW w:w="0" w:type="auto"/>
            <w:vAlign w:val="center"/>
            <w:hideMark/>
          </w:tcPr>
          <w:p w14:paraId="7D336A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Putra et al. (2021)</w:t>
            </w:r>
          </w:p>
        </w:tc>
        <w:tc>
          <w:tcPr>
            <w:tcW w:w="0" w:type="auto"/>
            <w:vAlign w:val="center"/>
            <w:hideMark/>
          </w:tcPr>
          <w:p w14:paraId="387A6A0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B4318E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pada transaksi bank</w:t>
            </w:r>
          </w:p>
        </w:tc>
        <w:tc>
          <w:tcPr>
            <w:tcW w:w="0" w:type="auto"/>
            <w:vAlign w:val="center"/>
            <w:hideMark/>
          </w:tcPr>
          <w:p w14:paraId="681F989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87% dengan data riil bank lokal</w:t>
            </w:r>
          </w:p>
        </w:tc>
        <w:tc>
          <w:tcPr>
            <w:tcW w:w="0" w:type="auto"/>
            <w:vAlign w:val="center"/>
            <w:hideMark/>
          </w:tcPr>
          <w:p w14:paraId="1F2D623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terbukti efektif karena menangani fitur kompleks dan ketidakseimbangan data.</w:t>
            </w:r>
          </w:p>
        </w:tc>
      </w:tr>
      <w:tr w:rsidR="001717E0" w:rsidRPr="00DC0EE1" w14:paraId="140093B5" w14:textId="77777777" w:rsidTr="001717E0">
        <w:trPr>
          <w:tblCellSpacing w:w="15" w:type="dxa"/>
        </w:trPr>
        <w:tc>
          <w:tcPr>
            <w:tcW w:w="0" w:type="auto"/>
            <w:vAlign w:val="center"/>
            <w:hideMark/>
          </w:tcPr>
          <w:p w14:paraId="3709060F"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2</w:t>
            </w:r>
          </w:p>
        </w:tc>
        <w:tc>
          <w:tcPr>
            <w:tcW w:w="0" w:type="auto"/>
            <w:vAlign w:val="center"/>
            <w:hideMark/>
          </w:tcPr>
          <w:p w14:paraId="703A4F4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Sari &amp; Wijaya (2020)</w:t>
            </w:r>
          </w:p>
        </w:tc>
        <w:tc>
          <w:tcPr>
            <w:tcW w:w="0" w:type="auto"/>
            <w:vAlign w:val="center"/>
            <w:hideMark/>
          </w:tcPr>
          <w:p w14:paraId="080145B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3DC6A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Pencegahan fraud payroll</w:t>
            </w:r>
          </w:p>
        </w:tc>
        <w:tc>
          <w:tcPr>
            <w:tcW w:w="0" w:type="auto"/>
            <w:vAlign w:val="center"/>
            <w:hideMark/>
          </w:tcPr>
          <w:p w14:paraId="29E8D5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89%, efektif mencegah manipulasi gaji</w:t>
            </w:r>
          </w:p>
        </w:tc>
        <w:tc>
          <w:tcPr>
            <w:tcW w:w="0" w:type="auto"/>
            <w:vAlign w:val="center"/>
            <w:hideMark/>
          </w:tcPr>
          <w:p w14:paraId="6457B67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Model mampu mengidentifikasi pola pembayaran tidak wajar dari data historis.</w:t>
            </w:r>
          </w:p>
        </w:tc>
      </w:tr>
      <w:tr w:rsidR="001717E0" w:rsidRPr="00DC0EE1" w14:paraId="24884108" w14:textId="77777777" w:rsidTr="001717E0">
        <w:trPr>
          <w:tblCellSpacing w:w="15" w:type="dxa"/>
        </w:trPr>
        <w:tc>
          <w:tcPr>
            <w:tcW w:w="0" w:type="auto"/>
            <w:vAlign w:val="center"/>
            <w:hideMark/>
          </w:tcPr>
          <w:p w14:paraId="752F465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w:t>
            </w:r>
          </w:p>
        </w:tc>
        <w:tc>
          <w:tcPr>
            <w:tcW w:w="0" w:type="auto"/>
            <w:vAlign w:val="center"/>
            <w:hideMark/>
          </w:tcPr>
          <w:p w14:paraId="31AB662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Gunawan (2019)</w:t>
            </w:r>
          </w:p>
        </w:tc>
        <w:tc>
          <w:tcPr>
            <w:tcW w:w="0" w:type="auto"/>
            <w:vAlign w:val="center"/>
            <w:hideMark/>
          </w:tcPr>
          <w:p w14:paraId="177AD67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5E83379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penyimpangan log karyawan</w:t>
            </w:r>
          </w:p>
        </w:tc>
        <w:tc>
          <w:tcPr>
            <w:tcW w:w="0" w:type="auto"/>
            <w:vAlign w:val="center"/>
            <w:hideMark/>
          </w:tcPr>
          <w:p w14:paraId="6AF8DFA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85% pada pola abnormal kerja</w:t>
            </w:r>
          </w:p>
        </w:tc>
        <w:tc>
          <w:tcPr>
            <w:tcW w:w="0" w:type="auto"/>
            <w:vAlign w:val="center"/>
            <w:hideMark/>
          </w:tcPr>
          <w:p w14:paraId="68A8887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Menunjukkan kemampuan Random Forest menangkap pola anomali perilaku karyawan.</w:t>
            </w:r>
          </w:p>
        </w:tc>
      </w:tr>
      <w:tr w:rsidR="001717E0" w:rsidRPr="00DC0EE1" w14:paraId="63C94EB6" w14:textId="77777777" w:rsidTr="001717E0">
        <w:trPr>
          <w:tblCellSpacing w:w="15" w:type="dxa"/>
        </w:trPr>
        <w:tc>
          <w:tcPr>
            <w:tcW w:w="0" w:type="auto"/>
            <w:vAlign w:val="center"/>
            <w:hideMark/>
          </w:tcPr>
          <w:p w14:paraId="1A3396C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w:t>
            </w:r>
          </w:p>
        </w:tc>
        <w:tc>
          <w:tcPr>
            <w:tcW w:w="0" w:type="auto"/>
            <w:vAlign w:val="center"/>
            <w:hideMark/>
          </w:tcPr>
          <w:p w14:paraId="482C96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Ramadhan et al. (2022)</w:t>
            </w:r>
          </w:p>
        </w:tc>
        <w:tc>
          <w:tcPr>
            <w:tcW w:w="0" w:type="auto"/>
            <w:vAlign w:val="center"/>
            <w:hideMark/>
          </w:tcPr>
          <w:p w14:paraId="71A13080"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FCE810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Prediksi kecurangan pajak</w:t>
            </w:r>
          </w:p>
        </w:tc>
        <w:tc>
          <w:tcPr>
            <w:tcW w:w="0" w:type="auto"/>
            <w:vAlign w:val="center"/>
            <w:hideMark/>
          </w:tcPr>
          <w:p w14:paraId="4038E4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88%, lebih baik dari Naive Bayes</w:t>
            </w:r>
          </w:p>
        </w:tc>
        <w:tc>
          <w:tcPr>
            <w:tcW w:w="0" w:type="auto"/>
            <w:vAlign w:val="center"/>
            <w:hideMark/>
          </w:tcPr>
          <w:p w14:paraId="619D1F5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unggul karena fleksibel terhadap data numerik dan kategorikal.</w:t>
            </w:r>
          </w:p>
        </w:tc>
      </w:tr>
      <w:tr w:rsidR="001717E0" w:rsidRPr="00DC0EE1" w14:paraId="20555CB6" w14:textId="77777777" w:rsidTr="001717E0">
        <w:trPr>
          <w:tblCellSpacing w:w="15" w:type="dxa"/>
        </w:trPr>
        <w:tc>
          <w:tcPr>
            <w:tcW w:w="0" w:type="auto"/>
            <w:vAlign w:val="center"/>
            <w:hideMark/>
          </w:tcPr>
          <w:p w14:paraId="3CDD75B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w:t>
            </w:r>
          </w:p>
        </w:tc>
        <w:tc>
          <w:tcPr>
            <w:tcW w:w="0" w:type="auto"/>
            <w:vAlign w:val="center"/>
            <w:hideMark/>
          </w:tcPr>
          <w:p w14:paraId="16FA6A1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Lestari (2023)</w:t>
            </w:r>
          </w:p>
        </w:tc>
        <w:tc>
          <w:tcPr>
            <w:tcW w:w="0" w:type="auto"/>
            <w:vAlign w:val="center"/>
            <w:hideMark/>
          </w:tcPr>
          <w:p w14:paraId="1FC3CD9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5B200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keuangan perusahaan retail</w:t>
            </w:r>
          </w:p>
        </w:tc>
        <w:tc>
          <w:tcPr>
            <w:tcW w:w="0" w:type="auto"/>
            <w:vAlign w:val="center"/>
            <w:hideMark/>
          </w:tcPr>
          <w:p w14:paraId="08D4A8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86%, performa stabil</w:t>
            </w:r>
          </w:p>
        </w:tc>
        <w:tc>
          <w:tcPr>
            <w:tcW w:w="0" w:type="auto"/>
            <w:vAlign w:val="center"/>
            <w:hideMark/>
          </w:tcPr>
          <w:p w14:paraId="61554C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Cocok untuk dataset besar karena pembagian pohon paralel mempercepat proses.</w:t>
            </w:r>
          </w:p>
        </w:tc>
      </w:tr>
    </w:tbl>
    <w:p w14:paraId="05D26EBD" w14:textId="451F2069"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Sumber</w:t>
      </w:r>
      <w:r w:rsidR="00CE0C60">
        <w:rPr>
          <w:rFonts w:ascii="Times New Roman" w:eastAsia="Times New Roman" w:hAnsi="Times New Roman" w:cs="Times New Roman"/>
          <w:sz w:val="24"/>
          <w:szCs w:val="24"/>
          <w:lang w:eastAsia="en-ID"/>
        </w:rPr>
        <w:t xml:space="preserve"> penelitian terkait</w:t>
      </w:r>
      <w:r w:rsidRPr="00DC0EE1">
        <w:rPr>
          <w:rFonts w:ascii="Times New Roman" w:eastAsia="Times New Roman" w:hAnsi="Times New Roman" w:cs="Times New Roman"/>
          <w:sz w:val="24"/>
          <w:szCs w:val="24"/>
          <w:lang w:eastAsia="en-ID"/>
        </w:rPr>
        <w:t>:</w:t>
      </w:r>
    </w:p>
    <w:p w14:paraId="74EEFA1C"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 Putra, A., et al., "Penerapan Decision Tree untuk Deteksi Fraud Perbankan," Jurnal Informatika, 2021.</w:t>
      </w:r>
    </w:p>
    <w:p w14:paraId="0EFDFFE2"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 Sari, N., &amp; Wijaya, R., "Random Forest dalam Mencegah Fraud Payroll," Jurnal Sistem Informasi, 2020.</w:t>
      </w:r>
    </w:p>
    <w:p w14:paraId="414E3062"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 Gunawan, T., "Support Vector Machine untuk Deteksi Penyimpangan Log Karyawan," Seminar Nasional Teknologi, 2019.</w:t>
      </w:r>
    </w:p>
    <w:p w14:paraId="6FA2EAAD"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 Ramadhan, F., et al., "Prediksi Kecurangan Pajak Menggunakan Naive Bayes," Jurnal Teknologi Informasi, 2022.</w:t>
      </w:r>
    </w:p>
    <w:p w14:paraId="5811EF33" w14:textId="1F46ADE1" w:rsidR="001717E0"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 Lestari, A., "KNN dalam Deteksi Fraud Keuangan Perusahaan Retail," Jurnal Data Mining, 2023.</w:t>
      </w:r>
    </w:p>
    <w:p w14:paraId="75894530" w14:textId="77777777" w:rsidR="00B10049" w:rsidRPr="00DC0EE1" w:rsidRDefault="00B10049"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2FFF496B" w:rsidR="00CE0C60"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67F210D" w14:textId="07C95796" w:rsidR="00674012" w:rsidRDefault="00674012" w:rsidP="00003CD3">
      <w:pPr>
        <w:spacing w:before="100" w:beforeAutospacing="1" w:after="100" w:afterAutospacing="1" w:line="360" w:lineRule="auto"/>
      </w:pPr>
      <w:r>
        <w:rPr>
          <w:rFonts w:ascii="Segoe UI" w:hAnsi="Segoe UI" w:cs="Segoe UI"/>
        </w:rPr>
        <w:t>R. G. Wardhana, G. Wang, dan F. Sibuea, "Penerapan Machine Learning dalam Prediksi Tingkat Kasus Penyakit di Indonesia," </w:t>
      </w:r>
      <w:r>
        <w:rPr>
          <w:rStyle w:val="Emphasis"/>
          <w:rFonts w:ascii="Segoe UI" w:hAnsi="Segoe UI" w:cs="Segoe UI"/>
          <w:bdr w:val="single" w:sz="2" w:space="0" w:color="E5E7EB" w:frame="1"/>
        </w:rPr>
        <w:t>Jurnal Online Informatika Sistem dan Manajemen</w:t>
      </w:r>
      <w:r>
        <w:rPr>
          <w:rFonts w:ascii="Segoe UI" w:hAnsi="Segoe UI" w:cs="Segoe UI"/>
        </w:rPr>
        <w:t>, vol. 5, no. 1, pp. 40-50, 2023. [Online]. Available: </w:t>
      </w:r>
      <w:hyperlink r:id="rId9" w:tgtFrame="_blank" w:history="1">
        <w:r>
          <w:rPr>
            <w:rStyle w:val="Hyperlink"/>
            <w:rFonts w:ascii="Segoe UI" w:hAnsi="Segoe UI" w:cs="Segoe UI"/>
            <w:bdr w:val="single" w:sz="2" w:space="0" w:color="E5E7EB" w:frame="1"/>
          </w:rPr>
          <w:t>https://jurnal.amikom.ac.id/index.php/joism/article/download/1136/401/5841</w:t>
        </w:r>
      </w:hyperlink>
    </w:p>
    <w:p w14:paraId="5231BDCE" w14:textId="06C29344" w:rsidR="00496860" w:rsidRPr="00DC0EE1" w:rsidRDefault="00496860" w:rsidP="00003CD3">
      <w:pPr>
        <w:spacing w:before="100" w:beforeAutospacing="1" w:after="100" w:afterAutospacing="1" w:line="360" w:lineRule="auto"/>
        <w:rPr>
          <w:rFonts w:ascii="Times New Roman" w:eastAsia="Times New Roman" w:hAnsi="Times New Roman" w:cs="Times New Roman"/>
          <w:sz w:val="24"/>
          <w:szCs w:val="24"/>
          <w:lang w:eastAsia="en-ID"/>
        </w:rPr>
      </w:pPr>
      <w:r>
        <w:rPr>
          <w:rFonts w:ascii="Segoe UI" w:hAnsi="Segoe UI" w:cs="Segoe UI"/>
        </w:rPr>
        <w:t xml:space="preserve">(Ref12) </w:t>
      </w:r>
      <w:r>
        <w:rPr>
          <w:rFonts w:ascii="Segoe UI" w:hAnsi="Segoe UI" w:cs="Segoe UI"/>
        </w:rPr>
        <w:t>A. P. Sari dan S. Suhardi, "Implementasi Metode Machine Learning Menggunakan Algoritma Evolving Artificial Neural Network Pada Kasus Prediksi Diagnosis Diabetes," </w:t>
      </w:r>
      <w:r>
        <w:rPr>
          <w:rStyle w:val="Emphasis"/>
          <w:rFonts w:ascii="Segoe UI" w:hAnsi="Segoe UI" w:cs="Segoe UI"/>
          <w:bdr w:val="single" w:sz="2" w:space="0" w:color="E5E7EB" w:frame="1"/>
        </w:rPr>
        <w:t>JATIKOM</w:t>
      </w:r>
      <w:r>
        <w:rPr>
          <w:rFonts w:ascii="Segoe UI" w:hAnsi="Segoe UI" w:cs="Segoe UI"/>
        </w:rPr>
        <w:t>, vol. 3, no. 2, 2020. DOI: 10.17509/</w:t>
      </w:r>
      <w:proofErr w:type="gramStart"/>
      <w:r>
        <w:rPr>
          <w:rFonts w:ascii="Segoe UI" w:hAnsi="Segoe UI" w:cs="Segoe UI"/>
        </w:rPr>
        <w:t>jatikom.v</w:t>
      </w:r>
      <w:proofErr w:type="gramEnd"/>
      <w:r>
        <w:rPr>
          <w:rFonts w:ascii="Segoe UI" w:hAnsi="Segoe UI" w:cs="Segoe UI"/>
        </w:rPr>
        <w:t>3i2.27885. [Online]. Available: </w:t>
      </w:r>
      <w:hyperlink r:id="rId10" w:tgtFrame="_blank" w:history="1">
        <w:r>
          <w:rPr>
            <w:rStyle w:val="Hyperlink"/>
            <w:rFonts w:ascii="Segoe UI" w:hAnsi="Segoe UI" w:cs="Segoe UI"/>
            <w:bdr w:val="single" w:sz="2" w:space="0" w:color="E5E7EB" w:frame="1"/>
          </w:rPr>
          <w:t>https://ejournal.upi.edu/index.php/JATIKOM/article/view/27885</w:t>
        </w:r>
      </w:hyperlink>
    </w:p>
    <w:p w14:paraId="32E6FCF3" w14:textId="0C71FD09" w:rsidR="00480205" w:rsidRPr="00DC0EE1" w:rsidRDefault="00496860" w:rsidP="00003C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(refr13) </w:t>
      </w:r>
      <w:r w:rsidRPr="00496860">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496860">
        <w:rPr>
          <w:rFonts w:ascii="Times New Roman" w:hAnsi="Times New Roman" w:cs="Times New Roman"/>
          <w:sz w:val="24"/>
          <w:szCs w:val="24"/>
        </w:rPr>
        <w:t>saintekom.v</w:t>
      </w:r>
      <w:proofErr w:type="gramEnd"/>
      <w:r w:rsidRPr="00496860">
        <w:rPr>
          <w:rFonts w:ascii="Times New Roman" w:hAnsi="Times New Roman" w:cs="Times New Roman"/>
          <w:sz w:val="24"/>
          <w:szCs w:val="24"/>
        </w:rPr>
        <w:t>14i1.512. [Online]. Available: https://ojs.stmikplk.ac.id/index.php/saintekom/article/download/512/187/3607</w:t>
      </w: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0E1C4F"/>
    <w:multiLevelType w:val="hybridMultilevel"/>
    <w:tmpl w:val="2F2038C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FD941B5"/>
    <w:multiLevelType w:val="hybridMultilevel"/>
    <w:tmpl w:val="F36283B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3"/>
  </w:num>
  <w:num w:numId="2">
    <w:abstractNumId w:val="18"/>
  </w:num>
  <w:num w:numId="3">
    <w:abstractNumId w:val="7"/>
  </w:num>
  <w:num w:numId="4">
    <w:abstractNumId w:val="21"/>
  </w:num>
  <w:num w:numId="5">
    <w:abstractNumId w:val="14"/>
  </w:num>
  <w:num w:numId="6">
    <w:abstractNumId w:val="2"/>
  </w:num>
  <w:num w:numId="7">
    <w:abstractNumId w:val="3"/>
  </w:num>
  <w:num w:numId="8">
    <w:abstractNumId w:val="13"/>
  </w:num>
  <w:num w:numId="9">
    <w:abstractNumId w:val="5"/>
  </w:num>
  <w:num w:numId="10">
    <w:abstractNumId w:val="6"/>
  </w:num>
  <w:num w:numId="11">
    <w:abstractNumId w:val="26"/>
  </w:num>
  <w:num w:numId="12">
    <w:abstractNumId w:val="9"/>
  </w:num>
  <w:num w:numId="13">
    <w:abstractNumId w:val="27"/>
  </w:num>
  <w:num w:numId="14">
    <w:abstractNumId w:val="11"/>
  </w:num>
  <w:num w:numId="15">
    <w:abstractNumId w:val="19"/>
  </w:num>
  <w:num w:numId="16">
    <w:abstractNumId w:val="8"/>
  </w:num>
  <w:num w:numId="17">
    <w:abstractNumId w:val="24"/>
  </w:num>
  <w:num w:numId="18">
    <w:abstractNumId w:val="28"/>
  </w:num>
  <w:num w:numId="19">
    <w:abstractNumId w:val="20"/>
  </w:num>
  <w:num w:numId="20">
    <w:abstractNumId w:val="10"/>
  </w:num>
  <w:num w:numId="21">
    <w:abstractNumId w:val="4"/>
  </w:num>
  <w:num w:numId="22">
    <w:abstractNumId w:val="25"/>
  </w:num>
  <w:num w:numId="23">
    <w:abstractNumId w:val="22"/>
  </w:num>
  <w:num w:numId="24">
    <w:abstractNumId w:val="15"/>
  </w:num>
  <w:num w:numId="25">
    <w:abstractNumId w:val="0"/>
  </w:num>
  <w:num w:numId="26">
    <w:abstractNumId w:val="16"/>
  </w:num>
  <w:num w:numId="27">
    <w:abstractNumId w:val="1"/>
  </w:num>
  <w:num w:numId="28">
    <w:abstractNumId w:val="17"/>
  </w:num>
  <w:num w:numId="29">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230D5"/>
    <w:rsid w:val="00031EB7"/>
    <w:rsid w:val="00036115"/>
    <w:rsid w:val="000502E6"/>
    <w:rsid w:val="00055425"/>
    <w:rsid w:val="00066C81"/>
    <w:rsid w:val="00076810"/>
    <w:rsid w:val="00085EF6"/>
    <w:rsid w:val="00086922"/>
    <w:rsid w:val="000872C7"/>
    <w:rsid w:val="00096F56"/>
    <w:rsid w:val="00097060"/>
    <w:rsid w:val="000B205C"/>
    <w:rsid w:val="000B408E"/>
    <w:rsid w:val="000C4F66"/>
    <w:rsid w:val="000D5A16"/>
    <w:rsid w:val="000E03C9"/>
    <w:rsid w:val="000E2EEC"/>
    <w:rsid w:val="000F0117"/>
    <w:rsid w:val="00117375"/>
    <w:rsid w:val="00130BC7"/>
    <w:rsid w:val="0014621D"/>
    <w:rsid w:val="001717E0"/>
    <w:rsid w:val="0017374C"/>
    <w:rsid w:val="00183CC6"/>
    <w:rsid w:val="001869C5"/>
    <w:rsid w:val="001A4FF8"/>
    <w:rsid w:val="001A5222"/>
    <w:rsid w:val="001B0401"/>
    <w:rsid w:val="001B68FF"/>
    <w:rsid w:val="001C0ACF"/>
    <w:rsid w:val="001C17C3"/>
    <w:rsid w:val="001D3CC2"/>
    <w:rsid w:val="001E0535"/>
    <w:rsid w:val="001F277C"/>
    <w:rsid w:val="002077C1"/>
    <w:rsid w:val="00215FC1"/>
    <w:rsid w:val="0024699C"/>
    <w:rsid w:val="00250E56"/>
    <w:rsid w:val="002757D4"/>
    <w:rsid w:val="00276C13"/>
    <w:rsid w:val="00282B2B"/>
    <w:rsid w:val="00285E5E"/>
    <w:rsid w:val="002A4F04"/>
    <w:rsid w:val="002B6360"/>
    <w:rsid w:val="002E71D0"/>
    <w:rsid w:val="002F18DE"/>
    <w:rsid w:val="002F64FF"/>
    <w:rsid w:val="00323F52"/>
    <w:rsid w:val="00326B83"/>
    <w:rsid w:val="00370A4D"/>
    <w:rsid w:val="00371E23"/>
    <w:rsid w:val="00372F5D"/>
    <w:rsid w:val="0037304B"/>
    <w:rsid w:val="003822DD"/>
    <w:rsid w:val="003A24A2"/>
    <w:rsid w:val="003B0B27"/>
    <w:rsid w:val="003B3D5B"/>
    <w:rsid w:val="003C393B"/>
    <w:rsid w:val="003F196A"/>
    <w:rsid w:val="00424078"/>
    <w:rsid w:val="00445D94"/>
    <w:rsid w:val="0045042F"/>
    <w:rsid w:val="004504C1"/>
    <w:rsid w:val="004613EC"/>
    <w:rsid w:val="0047529F"/>
    <w:rsid w:val="004757D1"/>
    <w:rsid w:val="00480205"/>
    <w:rsid w:val="004907A4"/>
    <w:rsid w:val="00496860"/>
    <w:rsid w:val="004977A5"/>
    <w:rsid w:val="004A334E"/>
    <w:rsid w:val="004C71C0"/>
    <w:rsid w:val="004D3FF3"/>
    <w:rsid w:val="004E5AE4"/>
    <w:rsid w:val="00523143"/>
    <w:rsid w:val="00524692"/>
    <w:rsid w:val="00530B0F"/>
    <w:rsid w:val="00535B69"/>
    <w:rsid w:val="00536C2C"/>
    <w:rsid w:val="0054239E"/>
    <w:rsid w:val="005445F5"/>
    <w:rsid w:val="005454B4"/>
    <w:rsid w:val="005475F0"/>
    <w:rsid w:val="00571253"/>
    <w:rsid w:val="005830B4"/>
    <w:rsid w:val="00586283"/>
    <w:rsid w:val="005B4068"/>
    <w:rsid w:val="005C0C07"/>
    <w:rsid w:val="005D30F6"/>
    <w:rsid w:val="005F46FE"/>
    <w:rsid w:val="00604744"/>
    <w:rsid w:val="00610DEF"/>
    <w:rsid w:val="0062272E"/>
    <w:rsid w:val="00623D75"/>
    <w:rsid w:val="00633DC5"/>
    <w:rsid w:val="006358C9"/>
    <w:rsid w:val="00637144"/>
    <w:rsid w:val="0063780E"/>
    <w:rsid w:val="006437BD"/>
    <w:rsid w:val="00645F5F"/>
    <w:rsid w:val="00651E42"/>
    <w:rsid w:val="006643AC"/>
    <w:rsid w:val="00674012"/>
    <w:rsid w:val="00677454"/>
    <w:rsid w:val="00683FF3"/>
    <w:rsid w:val="00697012"/>
    <w:rsid w:val="006A7376"/>
    <w:rsid w:val="006B7C77"/>
    <w:rsid w:val="006C5BAB"/>
    <w:rsid w:val="006D2224"/>
    <w:rsid w:val="006E5091"/>
    <w:rsid w:val="006F09C8"/>
    <w:rsid w:val="006F6BC3"/>
    <w:rsid w:val="007201A5"/>
    <w:rsid w:val="0072489B"/>
    <w:rsid w:val="00726C00"/>
    <w:rsid w:val="0073701B"/>
    <w:rsid w:val="0076274E"/>
    <w:rsid w:val="00764BF1"/>
    <w:rsid w:val="00792255"/>
    <w:rsid w:val="00794FAB"/>
    <w:rsid w:val="00797E64"/>
    <w:rsid w:val="007A32A6"/>
    <w:rsid w:val="007A6F09"/>
    <w:rsid w:val="007B31F9"/>
    <w:rsid w:val="007C0B04"/>
    <w:rsid w:val="007C7626"/>
    <w:rsid w:val="007D4D7B"/>
    <w:rsid w:val="0081499D"/>
    <w:rsid w:val="00817B9C"/>
    <w:rsid w:val="00820032"/>
    <w:rsid w:val="00841AE3"/>
    <w:rsid w:val="0085504D"/>
    <w:rsid w:val="0088022E"/>
    <w:rsid w:val="00883D25"/>
    <w:rsid w:val="008A43EB"/>
    <w:rsid w:val="008A61B6"/>
    <w:rsid w:val="008B7E08"/>
    <w:rsid w:val="008D5D4C"/>
    <w:rsid w:val="008E5D08"/>
    <w:rsid w:val="008F4EA7"/>
    <w:rsid w:val="00913E74"/>
    <w:rsid w:val="00914B9C"/>
    <w:rsid w:val="00930CAE"/>
    <w:rsid w:val="00947A97"/>
    <w:rsid w:val="00950775"/>
    <w:rsid w:val="00952AFA"/>
    <w:rsid w:val="00983A46"/>
    <w:rsid w:val="00990013"/>
    <w:rsid w:val="00994E63"/>
    <w:rsid w:val="009E4159"/>
    <w:rsid w:val="009E6FFA"/>
    <w:rsid w:val="00A02583"/>
    <w:rsid w:val="00A05FB9"/>
    <w:rsid w:val="00A17746"/>
    <w:rsid w:val="00A25839"/>
    <w:rsid w:val="00A26AD9"/>
    <w:rsid w:val="00A2743B"/>
    <w:rsid w:val="00A3658C"/>
    <w:rsid w:val="00A60EAB"/>
    <w:rsid w:val="00AA405B"/>
    <w:rsid w:val="00AA520F"/>
    <w:rsid w:val="00AA7773"/>
    <w:rsid w:val="00AC24F2"/>
    <w:rsid w:val="00AD53B6"/>
    <w:rsid w:val="00AD5D0B"/>
    <w:rsid w:val="00AF0083"/>
    <w:rsid w:val="00B07010"/>
    <w:rsid w:val="00B10049"/>
    <w:rsid w:val="00B17C91"/>
    <w:rsid w:val="00B20ECA"/>
    <w:rsid w:val="00B2432C"/>
    <w:rsid w:val="00B510FE"/>
    <w:rsid w:val="00B56B0B"/>
    <w:rsid w:val="00B613E5"/>
    <w:rsid w:val="00B71DE4"/>
    <w:rsid w:val="00BA101F"/>
    <w:rsid w:val="00BA68C2"/>
    <w:rsid w:val="00BC4106"/>
    <w:rsid w:val="00BC52BF"/>
    <w:rsid w:val="00BD25EF"/>
    <w:rsid w:val="00BE1F70"/>
    <w:rsid w:val="00C021B7"/>
    <w:rsid w:val="00C26B7D"/>
    <w:rsid w:val="00C361AF"/>
    <w:rsid w:val="00C73DFF"/>
    <w:rsid w:val="00CA584C"/>
    <w:rsid w:val="00CA6A96"/>
    <w:rsid w:val="00CB1614"/>
    <w:rsid w:val="00CE0C60"/>
    <w:rsid w:val="00CE66C4"/>
    <w:rsid w:val="00D02080"/>
    <w:rsid w:val="00D02E6C"/>
    <w:rsid w:val="00D27417"/>
    <w:rsid w:val="00D326AC"/>
    <w:rsid w:val="00D6432B"/>
    <w:rsid w:val="00D71D38"/>
    <w:rsid w:val="00D95195"/>
    <w:rsid w:val="00DA4045"/>
    <w:rsid w:val="00DB0956"/>
    <w:rsid w:val="00DC0EE1"/>
    <w:rsid w:val="00DC4AE3"/>
    <w:rsid w:val="00DC7021"/>
    <w:rsid w:val="00DD08D0"/>
    <w:rsid w:val="00E04DB2"/>
    <w:rsid w:val="00E27510"/>
    <w:rsid w:val="00E4031F"/>
    <w:rsid w:val="00E66F94"/>
    <w:rsid w:val="00E77F0F"/>
    <w:rsid w:val="00E80244"/>
    <w:rsid w:val="00EB3108"/>
    <w:rsid w:val="00EB5399"/>
    <w:rsid w:val="00EB630A"/>
    <w:rsid w:val="00EC298F"/>
    <w:rsid w:val="00EE1BDD"/>
    <w:rsid w:val="00EE3BA4"/>
    <w:rsid w:val="00F0034F"/>
    <w:rsid w:val="00F03379"/>
    <w:rsid w:val="00F10F40"/>
    <w:rsid w:val="00F17B86"/>
    <w:rsid w:val="00F414CA"/>
    <w:rsid w:val="00F574A8"/>
    <w:rsid w:val="00F70162"/>
    <w:rsid w:val="00F8568E"/>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semiHidden/>
    <w:unhideWhenUsed/>
    <w:rsid w:val="006740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ejournal.upi.edu/index.php/JATIKOM/article/view/27885" TargetMode="External"/><Relationship Id="rId4" Type="http://schemas.openxmlformats.org/officeDocument/2006/relationships/webSettings" Target="webSettings.xml"/><Relationship Id="rId9" Type="http://schemas.openxmlformats.org/officeDocument/2006/relationships/hyperlink" Target="https://jurnal.amikom.ac.id/index.php/joism/article/download/1136/401/58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30</Pages>
  <Words>6477</Words>
  <Characters>36922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210</cp:revision>
  <dcterms:created xsi:type="dcterms:W3CDTF">2025-03-22T04:27:00Z</dcterms:created>
  <dcterms:modified xsi:type="dcterms:W3CDTF">2025-05-19T15:36:00Z</dcterms:modified>
</cp:coreProperties>
</file>