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CAMEO-SAM</w:t>
      </w:r>
    </w:p>
    <w:p>
      <w:pPr>
        <w:pStyle w:val="Subtitle"/>
      </w:pPr>
      <w:r>
        <w:rPr>
          <w:b w:val="0"/>
          <w:i w:val="0"/>
          <w:color w:val="000000"/>
        </w:rPr>
        <w:t>Independent Assessor Handbook</w:t>
      </w:r>
    </w:p>
    <w:p>
      <w:pPr>
        <w:spacing w:after="280"/>
      </w:pPr>
      <w:r>
        <w:rPr>
          <w:b w:val="0"/>
          <w:i w:val="0"/>
          <w:sz w:val="24"/>
        </w:rPr>
        <w:t>Quality-Weighted Weight of Evidence (QWoE) scoring of causal edges with AMSTAR-2, GRADE, and the Bradford Hill criteria</w:t>
      </w:r>
    </w:p>
    <w:p>
      <w:pPr>
        <w:spacing w:after="120"/>
      </w:pPr>
      <w:r>
        <w:rPr>
          <w:b w:val="0"/>
          <w:i w:val="0"/>
          <w:color w:val="555555"/>
          <w:sz w:val="20"/>
        </w:rPr>
        <w:t>Causal Architecture Mapping of Evidence for Outcomes in Severe Acute Malnutrition (children 6–59 months). Registered systematic review, PROSPERO CRD420261365391.</w:t>
      </w:r>
    </w:p>
    <w:p>
      <w:pPr>
        <w:spacing w:after="240"/>
      </w:pPr>
      <w:r>
        <w:rPr>
          <w:b w:val="0"/>
          <w:i w:val="0"/>
          <w:sz w:val="20"/>
        </w:rPr>
        <w:t>This handbook is the scoring manual for a second, independent assessor. Read it once before you begin; keep the quick-reference card (final page) beside you while you score.</w:t>
      </w:r>
    </w:p>
    <w:tbl>
      <w:tblPr>
        <w:tblW w:type="auto" w:w="0"/>
        <w:jc w:val="center"/>
        <w:tblLayout w:type="autofit"/>
        <w:tblLook w:firstColumn="1" w:firstRow="1" w:lastColumn="0" w:lastRow="0" w:noHBand="0" w:noVBand="1" w:val="04A0"/>
      </w:tblPr>
      <w:tblGrid>
        <w:gridCol w:w="3216"/>
        <w:gridCol w:w="3216"/>
        <w:gridCol w:w="3216"/>
      </w:tblGrid>
      <w:tr>
        <w:tc>
          <w:tcPr>
            <w:tcW w:type="dxa" w:w="1728"/>
            <w:tcBorders>
              <w:top w:val="single" w:sz="14" w:space="0" w:color="000000"/>
              <w:bottom w:val="single" w:sz="6" w:space="0" w:color="000000"/>
            </w:tcBorders>
          </w:tcPr>
          <w:p>
            <w:pPr>
              <w:spacing w:after="40" w:before="40"/>
            </w:pPr>
            <w:r>
              <w:rPr>
                <w:b/>
              </w:rPr>
            </w:r>
            <w:r>
              <w:rPr>
                <w:rFonts w:ascii="Arial" w:hAnsi="Arial"/>
                <w:b/>
                <w:color w:val="000000"/>
                <w:sz w:val="19"/>
              </w:rPr>
              <w:t>Tier</w:t>
            </w:r>
          </w:p>
        </w:tc>
        <w:tc>
          <w:tcPr>
            <w:tcW w:type="dxa" w:w="1872"/>
            <w:tcBorders>
              <w:top w:val="single" w:sz="14" w:space="0" w:color="000000"/>
              <w:bottom w:val="single" w:sz="6" w:space="0" w:color="000000"/>
            </w:tcBorders>
          </w:tcPr>
          <w:p>
            <w:pPr>
              <w:spacing w:after="40" w:before="40"/>
            </w:pPr>
            <w:r>
              <w:rPr>
                <w:b/>
              </w:rPr>
            </w:r>
            <w:r>
              <w:rPr>
                <w:rFonts w:ascii="Arial" w:hAnsi="Arial"/>
                <w:b/>
                <w:color w:val="000000"/>
                <w:sz w:val="19"/>
              </w:rPr>
              <w:t>QWoE score</w:t>
            </w:r>
          </w:p>
        </w:tc>
        <w:tc>
          <w:tcPr>
            <w:tcW w:type="dxa" w:w="6048"/>
            <w:tcBorders>
              <w:top w:val="single" w:sz="14" w:space="0" w:color="000000"/>
              <w:bottom w:val="single" w:sz="6" w:space="0" w:color="000000"/>
            </w:tcBorders>
          </w:tcPr>
          <w:p>
            <w:pPr>
              <w:spacing w:after="40" w:before="40"/>
            </w:pPr>
            <w:r>
              <w:rPr>
                <w:b/>
              </w:rPr>
            </w:r>
            <w:r>
              <w:rPr>
                <w:rFonts w:ascii="Arial" w:hAnsi="Arial"/>
                <w:b/>
                <w:color w:val="000000"/>
                <w:sz w:val="19"/>
              </w:rPr>
              <w:t>Meaning</w:t>
            </w:r>
          </w:p>
        </w:tc>
      </w:tr>
      <w:tr>
        <w:tc>
          <w:tcPr>
            <w:tcW w:type="dxa" w:w="1728"/>
          </w:tcPr>
          <w:p>
            <w:pPr>
              <w:spacing w:after="40" w:before="40"/>
            </w:pPr>
            <w:r/>
            <w:r>
              <w:rPr>
                <w:rFonts w:ascii="Arial" w:hAnsi="Arial"/>
                <w:b w:val="0"/>
                <w:color w:val="000000"/>
                <w:sz w:val="19"/>
              </w:rPr>
              <w:t>Strong</w:t>
            </w:r>
          </w:p>
        </w:tc>
        <w:tc>
          <w:tcPr>
            <w:tcW w:type="dxa" w:w="1872"/>
          </w:tcPr>
          <w:p>
            <w:pPr>
              <w:spacing w:after="40" w:before="40"/>
            </w:pPr>
            <w:r/>
            <w:r>
              <w:rPr>
                <w:rFonts w:ascii="Arial" w:hAnsi="Arial"/>
                <w:b w:val="0"/>
                <w:color w:val="000000"/>
                <w:sz w:val="19"/>
              </w:rPr>
              <w:t>≥ 8.0</w:t>
            </w:r>
          </w:p>
        </w:tc>
        <w:tc>
          <w:tcPr>
            <w:tcW w:type="dxa" w:w="6048"/>
          </w:tcPr>
          <w:p>
            <w:pPr>
              <w:spacing w:after="40" w:before="40"/>
            </w:pPr>
            <w:r/>
            <w:r>
              <w:rPr>
                <w:rFonts w:ascii="Arial" w:hAnsi="Arial"/>
                <w:b w:val="0"/>
                <w:color w:val="000000"/>
                <w:sz w:val="19"/>
              </w:rPr>
              <w:t>Strong causal support; retained in the primary causal diagram</w:t>
            </w:r>
          </w:p>
        </w:tc>
      </w:tr>
      <w:tr>
        <w:tc>
          <w:tcPr>
            <w:tcW w:type="dxa" w:w="1728"/>
          </w:tcPr>
          <w:p>
            <w:pPr>
              <w:spacing w:after="40" w:before="40"/>
            </w:pPr>
            <w:r/>
            <w:r>
              <w:rPr>
                <w:rFonts w:ascii="Arial" w:hAnsi="Arial"/>
                <w:b w:val="0"/>
                <w:color w:val="000000"/>
                <w:sz w:val="19"/>
              </w:rPr>
              <w:t>Moderate</w:t>
            </w:r>
          </w:p>
        </w:tc>
        <w:tc>
          <w:tcPr>
            <w:tcW w:type="dxa" w:w="1872"/>
          </w:tcPr>
          <w:p>
            <w:pPr>
              <w:spacing w:after="40" w:before="40"/>
            </w:pPr>
            <w:r/>
            <w:r>
              <w:rPr>
                <w:rFonts w:ascii="Arial" w:hAnsi="Arial"/>
                <w:b w:val="0"/>
                <w:color w:val="000000"/>
                <w:sz w:val="19"/>
              </w:rPr>
              <w:t>5.0 – 7.9</w:t>
            </w:r>
          </w:p>
        </w:tc>
        <w:tc>
          <w:tcPr>
            <w:tcW w:type="dxa" w:w="6048"/>
          </w:tcPr>
          <w:p>
            <w:pPr>
              <w:spacing w:after="40" w:before="40"/>
            </w:pPr>
            <w:r/>
            <w:r>
              <w:rPr>
                <w:rFonts w:ascii="Arial" w:hAnsi="Arial"/>
                <w:b w:val="0"/>
                <w:color w:val="000000"/>
                <w:sz w:val="19"/>
              </w:rPr>
              <w:t>Moderate causal support; retained in the primary diagram</w:t>
            </w:r>
          </w:p>
        </w:tc>
      </w:tr>
      <w:tr>
        <w:tc>
          <w:tcPr>
            <w:tcW w:type="dxa" w:w="1728"/>
          </w:tcPr>
          <w:p>
            <w:pPr>
              <w:spacing w:after="40" w:before="40"/>
            </w:pPr>
            <w:r/>
            <w:r>
              <w:rPr>
                <w:rFonts w:ascii="Arial" w:hAnsi="Arial"/>
                <w:b w:val="0"/>
                <w:color w:val="000000"/>
                <w:sz w:val="19"/>
              </w:rPr>
              <w:t>Probable</w:t>
            </w:r>
          </w:p>
        </w:tc>
        <w:tc>
          <w:tcPr>
            <w:tcW w:type="dxa" w:w="1872"/>
          </w:tcPr>
          <w:p>
            <w:pPr>
              <w:spacing w:after="40" w:before="40"/>
            </w:pPr>
            <w:r/>
            <w:r>
              <w:rPr>
                <w:rFonts w:ascii="Arial" w:hAnsi="Arial"/>
                <w:b w:val="0"/>
                <w:color w:val="000000"/>
                <w:sz w:val="19"/>
              </w:rPr>
              <w:t>3.0 – 4.9</w:t>
            </w:r>
          </w:p>
        </w:tc>
        <w:tc>
          <w:tcPr>
            <w:tcW w:type="dxa" w:w="6048"/>
          </w:tcPr>
          <w:p>
            <w:pPr>
              <w:spacing w:after="40" w:before="40"/>
            </w:pPr>
            <w:r/>
            <w:r>
              <w:rPr>
                <w:rFonts w:ascii="Arial" w:hAnsi="Arial"/>
                <w:b w:val="0"/>
                <w:color w:val="000000"/>
                <w:sz w:val="19"/>
              </w:rPr>
              <w:t>Limited but plausible support; retained conditionally</w:t>
            </w:r>
          </w:p>
        </w:tc>
      </w:tr>
      <w:tr>
        <w:tc>
          <w:tcPr>
            <w:tcW w:type="dxa" w:w="1728"/>
            <w:tcBorders>
              <w:bottom w:val="single" w:sz="14" w:space="0" w:color="000000"/>
            </w:tcBorders>
          </w:tcPr>
          <w:p>
            <w:pPr>
              <w:spacing w:after="40" w:before="40"/>
            </w:pPr>
            <w:r/>
            <w:r>
              <w:rPr>
                <w:rFonts w:ascii="Arial" w:hAnsi="Arial"/>
                <w:b w:val="0"/>
                <w:color w:val="000000"/>
                <w:sz w:val="19"/>
              </w:rPr>
              <w:t>Uncertain</w:t>
            </w:r>
          </w:p>
        </w:tc>
        <w:tc>
          <w:tcPr>
            <w:tcW w:type="dxa" w:w="1872"/>
            <w:tcBorders>
              <w:bottom w:val="single" w:sz="14" w:space="0" w:color="000000"/>
            </w:tcBorders>
          </w:tcPr>
          <w:p>
            <w:pPr>
              <w:spacing w:after="40" w:before="40"/>
            </w:pPr>
            <w:r/>
            <w:r>
              <w:rPr>
                <w:rFonts w:ascii="Arial" w:hAnsi="Arial"/>
                <w:b w:val="0"/>
                <w:color w:val="000000"/>
                <w:sz w:val="19"/>
              </w:rPr>
              <w:t>&lt; 3.0</w:t>
            </w:r>
          </w:p>
        </w:tc>
        <w:tc>
          <w:tcPr>
            <w:tcW w:type="dxa" w:w="6048"/>
            <w:tcBorders>
              <w:bottom w:val="single" w:sz="14" w:space="0" w:color="000000"/>
            </w:tcBorders>
          </w:tcPr>
          <w:p>
            <w:pPr>
              <w:spacing w:after="40" w:before="40"/>
            </w:pPr>
            <w:r/>
            <w:r>
              <w:rPr>
                <w:rFonts w:ascii="Arial" w:hAnsi="Arial"/>
                <w:b w:val="0"/>
                <w:color w:val="000000"/>
                <w:sz w:val="19"/>
              </w:rPr>
              <w:t>Weak support; moved to the evidence-gap list</w:t>
            </w:r>
          </w:p>
        </w:tc>
      </w:tr>
    </w:tbl>
    <w:p>
      <w:pPr>
        <w:spacing w:after="40"/>
      </w:pPr>
    </w:p>
    <w:p>
      <w:r>
        <w:rPr>
          <w:b w:val="0"/>
          <w:i/>
          <w:color w:val="555555"/>
          <w:sz w:val="17"/>
        </w:rPr>
        <w:t>Table 1. Edge confidence tiers (registered protocol, Table 4). Cut-points are tested in a ±0.5-point sensitivity analysis.</w:t>
      </w:r>
    </w:p>
    <w:p>
      <w:r>
        <w:br w:type="page"/>
      </w:r>
    </w:p>
    <w:p>
      <w:pPr>
        <w:pStyle w:val="Heading1"/>
      </w:pPr>
      <w:r>
        <w:rPr>
          <w:b w:val="0"/>
          <w:i w:val="0"/>
        </w:rPr>
        <w:t>1.  Your role</w:t>
      </w:r>
    </w:p>
    <w:p>
      <w:r>
        <w:rPr>
          <w:b w:val="0"/>
          <w:i w:val="0"/>
        </w:rPr>
        <w:t>You are a second, independent assessor. For each causal edge — a single proposed cause → effect link, for example “zinc supplementation → acute morbidity” — you will judge how strongly the available evidence supports a causal interpretation, using the six Bradford Hill criteria. A first assessment already exists; your scores are compared with it to measure agreement (the intraclass correlation coefficient, ICC), as the registered protocol requires.</w:t>
      </w:r>
    </w:p>
    <w:p>
      <w:pPr>
        <w:pStyle w:val="ListBullet"/>
        <w:spacing w:after="60"/>
      </w:pPr>
      <w:r>
        <w:rPr>
          <w:b/>
        </w:rPr>
        <w:t xml:space="preserve">Do </w:t>
      </w:r>
      <w:r>
        <w:t>score every edge yourself, using your own judgement and domain knowledge;</w:t>
      </w:r>
    </w:p>
    <w:p>
      <w:pPr>
        <w:pStyle w:val="ListBullet"/>
        <w:spacing w:after="60"/>
      </w:pPr>
      <w:r>
        <w:rPr>
          <w:b/>
        </w:rPr>
        <w:t xml:space="preserve">Do </w:t>
      </w:r>
      <w:r>
        <w:t>score blind — you will not see anyone else's scores, and you should not discuss individual edges with the other assessor until the formal adjudication step;</w:t>
      </w:r>
    </w:p>
    <w:p>
      <w:pPr>
        <w:pStyle w:val="ListBullet"/>
        <w:spacing w:after="60"/>
      </w:pPr>
      <w:r>
        <w:rPr>
          <w:b/>
        </w:rPr>
        <w:t xml:space="preserve">Do </w:t>
      </w:r>
      <w:r>
        <w:t>flag any edge you find genuinely difficult or under-evidenced — flagged edges go straight onto the discussion list;</w:t>
      </w:r>
    </w:p>
    <w:p>
      <w:pPr>
        <w:pStyle w:val="ListBullet"/>
        <w:spacing w:after="60"/>
      </w:pPr>
      <w:r>
        <w:rPr>
          <w:b/>
        </w:rPr>
        <w:t xml:space="preserve">Do not </w:t>
      </w:r>
      <w:r>
        <w:t>change a score later to match what you think the “right answer” is — honest independent disagreement is the point; it is resolved transparently afterwards.</w:t>
      </w:r>
    </w:p>
    <w:p>
      <w:r>
        <w:rPr>
          <w:b w:val="0"/>
          <w:i w:val="0"/>
        </w:rPr>
        <w:t>Two independent assessments, the ICC between them, and a documented resolution of disagreements are what make the appraisal defensible to a journal. Your independence is the instrument; please protect it.</w:t>
      </w:r>
    </w:p>
    <w:tbl>
      <w:tblPr>
        <w:tblW w:type="auto" w:w="0"/>
        <w:tblLook w:firstColumn="1" w:firstRow="1" w:lastColumn="0" w:lastRow="0" w:noHBand="0" w:noVBand="1" w:val="04A0"/>
      </w:tblPr>
      <w:tblGrid>
        <w:gridCol w:w="9648"/>
      </w:tblGrid>
      <w:tr>
        <w:tc>
          <w:tcPr>
            <w:tcW w:type="dxa" w:w="9648"/>
            <w:shd w:val="clear" w:fill="F4F3F0"/>
            <w:tcBorders>
              <w:top w:val="single" w:sz="4" w:space="0" w:color="BBBBBB"/>
              <w:bottom w:val="single" w:sz="4" w:space="0" w:color="BBBBBB"/>
              <w:left w:val="single" w:sz="4" w:space="0" w:color="BBBBBB"/>
              <w:right w:val="single" w:sz="4" w:space="0" w:color="BBBBBB"/>
            </w:tcBorders>
          </w:tcPr>
          <w:p>
            <w:pPr>
              <w:spacing w:after="40"/>
            </w:pPr>
            <w:r/>
            <w:r>
              <w:rPr>
                <w:rFonts w:ascii="Arial" w:hAnsi="Arial"/>
                <w:b/>
                <w:sz w:val="19"/>
              </w:rPr>
              <w:t xml:space="preserve">In one sentence:  </w:t>
            </w:r>
            <w:r>
              <w:rPr>
                <w:rFonts w:ascii="Arial" w:hAnsi="Arial"/>
                <w:sz w:val="19"/>
              </w:rPr>
              <w:t>read the evidence shown for each edge, score the six Bradford Hill criteria 0–1–2, and the tool turns your scores into a tier — your job is the six scores.</w:t>
            </w:r>
          </w:p>
        </w:tc>
      </w:tr>
    </w:tbl>
    <w:p>
      <w:pPr>
        <w:spacing w:after="40"/>
      </w:pPr>
    </w:p>
    <w:p>
      <w:pPr>
        <w:pStyle w:val="Heading1"/>
      </w:pPr>
      <w:r>
        <w:rPr>
          <w:b w:val="0"/>
          <w:i w:val="0"/>
        </w:rPr>
        <w:t>2.  The QWoE method at a glance</w:t>
      </w:r>
    </w:p>
    <w:p>
      <w:r>
        <w:rPr>
          <w:b w:val="0"/>
          <w:i w:val="0"/>
        </w:rPr>
        <w:t>Every edge is appraised in three layers. Two of them are already done for you and shown on screen; the third is your task.</w:t>
      </w:r>
    </w:p>
    <w:p>
      <w:pPr>
        <w:pStyle w:val="ListNumber"/>
        <w:spacing w:after="60"/>
      </w:pPr>
      <w:r>
        <w:rPr>
          <w:b/>
        </w:rPr>
        <w:t xml:space="preserve">Review quality — </w:t>
      </w:r>
      <w:r>
        <w:t>the systematic review that supplies the evidence is graded for quality with AMSTAR-2 (section 6). This becomes a quality weight q between 0.25 and 1.00.</w:t>
      </w:r>
    </w:p>
    <w:p>
      <w:pPr>
        <w:pStyle w:val="ListNumber"/>
        <w:spacing w:after="60"/>
      </w:pPr>
      <w:r>
        <w:rPr>
          <w:b/>
        </w:rPr>
        <w:t xml:space="preserve">Certainty — </w:t>
      </w:r>
      <w:r>
        <w:t>the certainty of the effect estimate is graded with GRADE (section 5) and shown as a High / Moderate / Low / Very low badge.</w:t>
      </w:r>
    </w:p>
    <w:p>
      <w:pPr>
        <w:pStyle w:val="ListNumber"/>
        <w:spacing w:after="60"/>
      </w:pPr>
      <w:r>
        <w:rPr>
          <w:b/>
        </w:rPr>
        <w:t xml:space="preserve">Causal support — </w:t>
      </w:r>
      <w:r>
        <w:t>you score the six Bradford Hill criteria, each 0, 1, or 2 (section 7). They sum to a Bradford Hill total between 0 and 12.</w:t>
      </w:r>
    </w:p>
    <w:p>
      <w:r>
        <w:rPr>
          <w:b w:val="0"/>
          <w:i w:val="0"/>
        </w:rPr>
        <w:t>The Bradford Hill total is combined with the quality weight into the Quality-Weighted Weight of Evidence (QWoE) for the edge:</w:t>
      </w:r>
    </w:p>
    <w:p>
      <w:pPr>
        <w:spacing w:before="80" w:after="80"/>
        <w:jc w:val="center"/>
      </w:pPr>
      <w:r>
        <w:rPr>
          <w:rFonts w:ascii="Arial" w:hAnsi="Arial"/>
          <w:b/>
          <w:i/>
          <w:color w:val="000000"/>
          <w:sz w:val="24"/>
        </w:rPr>
        <w:t>QWoE</w:t>
      </w:r>
      <w:r>
        <w:rPr>
          <w:rFonts w:ascii="Arial" w:hAnsi="Arial"/>
          <w:b/>
          <w:i/>
          <w:color w:val="000000"/>
          <w:sz w:val="24"/>
          <w:vertAlign w:val="subscript"/>
        </w:rPr>
        <w:t>j</w:t>
      </w:r>
      <w:r>
        <w:rPr>
          <w:rFonts w:ascii="Arial" w:hAnsi="Arial"/>
          <w:b w:val="0"/>
          <w:i w:val="0"/>
          <w:color w:val="000000"/>
          <w:sz w:val="24"/>
        </w:rPr>
        <w:t xml:space="preserve">  =  </w:t>
      </w:r>
      <w:r>
        <w:rPr>
          <w:rFonts w:ascii="Arial" w:hAnsi="Arial"/>
          <w:b w:val="0"/>
          <w:i w:val="0"/>
          <w:color w:val="000000"/>
          <w:sz w:val="24"/>
        </w:rPr>
        <w:t xml:space="preserve">Σ ( </w:t>
      </w:r>
      <w:r>
        <w:rPr>
          <w:rFonts w:ascii="Arial" w:hAnsi="Arial"/>
          <w:b w:val="0"/>
          <w:i/>
          <w:color w:val="000000"/>
          <w:sz w:val="24"/>
        </w:rPr>
        <w:t>q</w:t>
      </w:r>
      <w:r>
        <w:rPr>
          <w:rFonts w:ascii="Arial" w:hAnsi="Arial"/>
          <w:b w:val="0"/>
          <w:i/>
          <w:color w:val="000000"/>
          <w:sz w:val="24"/>
          <w:vertAlign w:val="subscript"/>
        </w:rPr>
        <w:t>i</w:t>
      </w:r>
      <w:r>
        <w:rPr>
          <w:rFonts w:ascii="Arial" w:hAnsi="Arial"/>
          <w:b w:val="0"/>
          <w:i w:val="0"/>
          <w:color w:val="000000"/>
          <w:sz w:val="24"/>
        </w:rPr>
        <w:t xml:space="preserve"> × </w:t>
      </w:r>
      <w:r>
        <w:rPr>
          <w:rFonts w:ascii="Arial" w:hAnsi="Arial"/>
          <w:b w:val="0"/>
          <w:i/>
          <w:color w:val="000000"/>
          <w:sz w:val="24"/>
        </w:rPr>
        <w:t>BH</w:t>
      </w:r>
      <w:r>
        <w:rPr>
          <w:rFonts w:ascii="Arial" w:hAnsi="Arial"/>
          <w:b w:val="0"/>
          <w:i/>
          <w:color w:val="000000"/>
          <w:sz w:val="24"/>
          <w:vertAlign w:val="subscript"/>
        </w:rPr>
        <w:t>ij</w:t>
      </w:r>
      <w:r>
        <w:rPr>
          <w:rFonts w:ascii="Arial" w:hAnsi="Arial"/>
          <w:b w:val="0"/>
          <w:i w:val="0"/>
          <w:color w:val="000000"/>
          <w:sz w:val="24"/>
        </w:rPr>
        <w:t xml:space="preserve"> )  /  Σ </w:t>
      </w:r>
      <w:r>
        <w:rPr>
          <w:rFonts w:ascii="Arial" w:hAnsi="Arial"/>
          <w:b w:val="0"/>
          <w:i/>
          <w:color w:val="000000"/>
          <w:sz w:val="24"/>
        </w:rPr>
        <w:t>q</w:t>
      </w:r>
      <w:r>
        <w:rPr>
          <w:rFonts w:ascii="Arial" w:hAnsi="Arial"/>
          <w:b w:val="0"/>
          <w:i/>
          <w:color w:val="000000"/>
          <w:sz w:val="24"/>
          <w:vertAlign w:val="subscript"/>
        </w:rPr>
        <w:t>i</w:t>
      </w:r>
    </w:p>
    <w:p>
      <w:r>
        <w:rPr>
          <w:b w:val="0"/>
          <w:i w:val="0"/>
        </w:rPr>
        <w:t>where qᵢ is the AMSTAR-2 weight of review i and BHᵢⱼ is its Bradford Hill total (0–12). When a single representative review informs an edge, the weight cancels and the QWoE equals the Bradford Hill total; with several reviews it is their quality-weighted mean. The QWoE is then read off against the four tiers in Table 1. You do not need to compute any of this — the tool shows the running total and provisional tier as you score.</w:t>
      </w:r>
    </w:p>
    <w:tbl>
      <w:tblPr>
        <w:tblW w:type="auto" w:w="0"/>
        <w:tblLook w:firstColumn="1" w:firstRow="1" w:lastColumn="0" w:lastRow="0" w:noHBand="0" w:noVBand="1" w:val="04A0"/>
      </w:tblPr>
      <w:tblGrid>
        <w:gridCol w:w="9648"/>
      </w:tblGrid>
      <w:tr>
        <w:tc>
          <w:tcPr>
            <w:tcW w:type="dxa" w:w="9648"/>
            <w:shd w:val="clear" w:fill="F4F3F0"/>
            <w:tcBorders>
              <w:top w:val="single" w:sz="4" w:space="0" w:color="BBBBBB"/>
              <w:bottom w:val="single" w:sz="4" w:space="0" w:color="BBBBBB"/>
              <w:left w:val="single" w:sz="4" w:space="0" w:color="BBBBBB"/>
              <w:right w:val="single" w:sz="4" w:space="0" w:color="BBBBBB"/>
            </w:tcBorders>
          </w:tcPr>
          <w:p>
            <w:pPr>
              <w:spacing w:after="40"/>
            </w:pPr>
            <w:r/>
            <w:r>
              <w:rPr>
                <w:rFonts w:ascii="Arial" w:hAnsi="Arial"/>
                <w:b/>
                <w:sz w:val="19"/>
              </w:rPr>
              <w:t xml:space="preserve">Why GRADE and AMSTAR-2 are shown to you:  </w:t>
            </w:r>
            <w:r>
              <w:rPr>
                <w:rFonts w:ascii="Arial" w:hAnsi="Arial"/>
                <w:sz w:val="19"/>
              </w:rPr>
              <w:t>they describe the strength and quality of the underlying evidence, which should inform your Bradford Hill judgement. Understand them (sections 5–6), but score the six criteria on your own reading — do not simply copy the GRADE level across.</w:t>
            </w:r>
          </w:p>
        </w:tc>
      </w:tr>
    </w:tbl>
    <w:p>
      <w:pPr>
        <w:spacing w:after="40"/>
      </w:pPr>
    </w:p>
    <w:p>
      <w:pPr>
        <w:pStyle w:val="Heading1"/>
      </w:pPr>
      <w:r>
        <w:rPr>
          <w:b w:val="0"/>
          <w:i w:val="0"/>
        </w:rPr>
        <w:t>3.  Using the scoring tool</w:t>
      </w:r>
    </w:p>
    <w:p>
      <w:pPr>
        <w:pStyle w:val="ListNumber"/>
        <w:spacing w:after="60"/>
      </w:pPr>
      <w:r>
        <w:t>Open the link you were sent. It runs entirely in your browser; nothing is uploaded.</w:t>
      </w:r>
    </w:p>
    <w:p>
      <w:pPr>
        <w:pStyle w:val="ListNumber"/>
        <w:spacing w:after="60"/>
      </w:pPr>
      <w:r>
        <w:t>Enter your name (or initials) when prompted. Your scores are saved under your name in that browser, so you can stop and return at any time.</w:t>
      </w:r>
    </w:p>
    <w:p>
      <w:pPr>
        <w:pStyle w:val="ListNumber"/>
        <w:spacing w:after="60"/>
      </w:pPr>
      <w:r>
        <w:t>Work through the edges. Each card shows the exposure → outcome, the effect estimate, the GRADE and AMSTAR-2 badges, the number of primary studies, and the source review.</w:t>
      </w:r>
    </w:p>
    <w:p>
      <w:pPr>
        <w:pStyle w:val="ListNumber"/>
        <w:spacing w:after="60"/>
      </w:pPr>
      <w:r>
        <w:t>For each of the six criteria, click 0, 1, or 2. The plain meaning of each score is printed on the button; click “Why / SAM guidance” for the detailed rule.</w:t>
      </w:r>
    </w:p>
    <w:p>
      <w:pPr>
        <w:pStyle w:val="ListNumber"/>
        <w:spacing w:after="60"/>
      </w:pPr>
      <w:r>
        <w:t>Add a note where useful, and tick “Flag for discussion” for anything you are unsure about. The running total (0–12) and provisional tier update live.</w:t>
      </w:r>
    </w:p>
    <w:p>
      <w:pPr>
        <w:pStyle w:val="ListNumber"/>
        <w:spacing w:after="60"/>
      </w:pPr>
      <w:r>
        <w:t>When finished (or to send progress), click Export results and return the downloaded file to the review team. Use “Resume from file” to continue on another computer.</w:t>
      </w:r>
    </w:p>
    <w:p>
      <w:r>
        <w:rPr>
          <w:b w:val="0"/>
          <w:i w:val="0"/>
        </w:rPr>
        <w:t>There are roughly 137 edges. Most take under a minute once you are warmed up; you can do them in several sittings. Use the Q1 / Q2 / Q3 and Unscored / Flagged filters to organise your work.</w:t>
      </w:r>
    </w:p>
    <w:p>
      <w:pPr>
        <w:pStyle w:val="Heading1"/>
      </w:pPr>
      <w:r>
        <w:rPr>
          <w:b w:val="0"/>
          <w:i w:val="0"/>
        </w:rPr>
        <w:t>4.  Reading the evidence shown for each edge</w:t>
      </w:r>
    </w:p>
    <w:p>
      <w:r>
        <w:rPr>
          <w:b w:val="0"/>
          <w:i w:val="0"/>
        </w:rPr>
        <w:t>Effect estimates come in two broad families. Knowing which you are looking at is the key to scoring Strength (criterion 1).</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1728"/>
            <w:tcBorders>
              <w:top w:val="single" w:sz="14" w:space="0" w:color="000000"/>
              <w:bottom w:val="single" w:sz="6" w:space="0" w:color="000000"/>
            </w:tcBorders>
          </w:tcPr>
          <w:p>
            <w:pPr>
              <w:spacing w:after="40" w:before="40"/>
            </w:pPr>
            <w:r>
              <w:rPr>
                <w:b/>
              </w:rPr>
            </w:r>
            <w:r>
              <w:rPr>
                <w:rFonts w:ascii="Arial" w:hAnsi="Arial"/>
                <w:b/>
                <w:color w:val="000000"/>
                <w:sz w:val="19"/>
              </w:rPr>
              <w:t>Measure</w:t>
            </w:r>
          </w:p>
        </w:tc>
        <w:tc>
          <w:tcPr>
            <w:tcW w:type="dxa" w:w="2736"/>
            <w:tcBorders>
              <w:top w:val="single" w:sz="14" w:space="0" w:color="000000"/>
              <w:bottom w:val="single" w:sz="6" w:space="0" w:color="000000"/>
            </w:tcBorders>
          </w:tcPr>
          <w:p>
            <w:pPr>
              <w:spacing w:after="40" w:before="40"/>
            </w:pPr>
            <w:r>
              <w:rPr>
                <w:b/>
              </w:rPr>
            </w:r>
            <w:r>
              <w:rPr>
                <w:rFonts w:ascii="Arial" w:hAnsi="Arial"/>
                <w:b/>
                <w:color w:val="000000"/>
                <w:sz w:val="19"/>
              </w:rPr>
              <w:t>Examples</w:t>
            </w:r>
          </w:p>
        </w:tc>
        <w:tc>
          <w:tcPr>
            <w:tcW w:type="dxa" w:w="2880"/>
            <w:tcBorders>
              <w:top w:val="single" w:sz="14" w:space="0" w:color="000000"/>
              <w:bottom w:val="single" w:sz="6" w:space="0" w:color="000000"/>
            </w:tcBorders>
          </w:tcPr>
          <w:p>
            <w:pPr>
              <w:spacing w:after="40" w:before="40"/>
            </w:pPr>
            <w:r>
              <w:rPr>
                <w:b/>
              </w:rPr>
            </w:r>
            <w:r>
              <w:rPr>
                <w:rFonts w:ascii="Arial" w:hAnsi="Arial"/>
                <w:b/>
                <w:color w:val="000000"/>
                <w:sz w:val="19"/>
              </w:rPr>
              <w:t>No effect (null) when…</w:t>
            </w:r>
          </w:p>
        </w:tc>
        <w:tc>
          <w:tcPr>
            <w:tcW w:type="dxa" w:w="2736"/>
            <w:tcBorders>
              <w:top w:val="single" w:sz="14" w:space="0" w:color="000000"/>
              <w:bottom w:val="single" w:sz="6" w:space="0" w:color="000000"/>
            </w:tcBorders>
          </w:tcPr>
          <w:p>
            <w:pPr>
              <w:spacing w:after="40" w:before="40"/>
            </w:pPr>
            <w:r>
              <w:rPr>
                <w:b/>
              </w:rPr>
            </w:r>
            <w:r>
              <w:rPr>
                <w:rFonts w:ascii="Arial" w:hAnsi="Arial"/>
                <w:b/>
                <w:color w:val="000000"/>
                <w:sz w:val="19"/>
              </w:rPr>
              <w:t>A “large” effect is roughly…</w:t>
            </w:r>
          </w:p>
        </w:tc>
      </w:tr>
      <w:tr>
        <w:tc>
          <w:tcPr>
            <w:tcW w:type="dxa" w:w="1728"/>
          </w:tcPr>
          <w:p>
            <w:pPr>
              <w:spacing w:after="40" w:before="40"/>
            </w:pPr>
            <w:r/>
            <w:r>
              <w:rPr>
                <w:rFonts w:ascii="Arial" w:hAnsi="Arial"/>
                <w:b w:val="0"/>
                <w:color w:val="000000"/>
                <w:sz w:val="19"/>
              </w:rPr>
              <w:t>Ratio measures</w:t>
            </w:r>
          </w:p>
        </w:tc>
        <w:tc>
          <w:tcPr>
            <w:tcW w:type="dxa" w:w="2736"/>
          </w:tcPr>
          <w:p>
            <w:pPr>
              <w:spacing w:after="40" w:before="40"/>
            </w:pPr>
            <w:r/>
            <w:r>
              <w:rPr>
                <w:rFonts w:ascii="Arial" w:hAnsi="Arial"/>
                <w:b w:val="0"/>
                <w:color w:val="000000"/>
                <w:sz w:val="19"/>
              </w:rPr>
              <w:t>RR, OR, HR, aOR, PR</w:t>
            </w:r>
          </w:p>
        </w:tc>
        <w:tc>
          <w:tcPr>
            <w:tcW w:type="dxa" w:w="2880"/>
          </w:tcPr>
          <w:p>
            <w:pPr>
              <w:spacing w:after="40" w:before="40"/>
            </w:pPr>
            <w:r/>
            <w:r>
              <w:rPr>
                <w:rFonts w:ascii="Arial" w:hAnsi="Arial"/>
                <w:b w:val="0"/>
                <w:color w:val="000000"/>
                <w:sz w:val="19"/>
              </w:rPr>
              <w:t>the value is 1 and the 95% CI includes 1</w:t>
            </w:r>
          </w:p>
        </w:tc>
        <w:tc>
          <w:tcPr>
            <w:tcW w:type="dxa" w:w="2736"/>
          </w:tcPr>
          <w:p>
            <w:pPr>
              <w:spacing w:after="40" w:before="40"/>
            </w:pPr>
            <w:r/>
            <w:r>
              <w:rPr>
                <w:rFonts w:ascii="Arial" w:hAnsi="Arial"/>
                <w:b w:val="0"/>
                <w:color w:val="000000"/>
                <w:sz w:val="19"/>
              </w:rPr>
              <w:t>≤ 0.5 or ≥ 2.0 with a CI excluding 1</w:t>
            </w:r>
          </w:p>
        </w:tc>
      </w:tr>
      <w:tr>
        <w:tc>
          <w:tcPr>
            <w:tcW w:type="dxa" w:w="1728"/>
            <w:tcBorders>
              <w:bottom w:val="single" w:sz="14" w:space="0" w:color="000000"/>
            </w:tcBorders>
          </w:tcPr>
          <w:p>
            <w:pPr>
              <w:spacing w:after="40" w:before="40"/>
            </w:pPr>
            <w:r/>
            <w:r>
              <w:rPr>
                <w:rFonts w:ascii="Arial" w:hAnsi="Arial"/>
                <w:b w:val="0"/>
                <w:color w:val="000000"/>
                <w:sz w:val="19"/>
              </w:rPr>
              <w:t>Differences</w:t>
            </w:r>
          </w:p>
        </w:tc>
        <w:tc>
          <w:tcPr>
            <w:tcW w:type="dxa" w:w="2736"/>
            <w:tcBorders>
              <w:bottom w:val="single" w:sz="14" w:space="0" w:color="000000"/>
            </w:tcBorders>
          </w:tcPr>
          <w:p>
            <w:pPr>
              <w:spacing w:after="40" w:before="40"/>
            </w:pPr>
            <w:r/>
            <w:r>
              <w:rPr>
                <w:rFonts w:ascii="Arial" w:hAnsi="Arial"/>
                <w:b w:val="0"/>
                <w:color w:val="000000"/>
                <w:sz w:val="19"/>
              </w:rPr>
              <w:t>MD, SMD (mean / standardised mean difference)</w:t>
            </w:r>
          </w:p>
        </w:tc>
        <w:tc>
          <w:tcPr>
            <w:tcW w:type="dxa" w:w="2880"/>
            <w:tcBorders>
              <w:bottom w:val="single" w:sz="14" w:space="0" w:color="000000"/>
            </w:tcBorders>
          </w:tcPr>
          <w:p>
            <w:pPr>
              <w:spacing w:after="40" w:before="40"/>
            </w:pPr>
            <w:r/>
            <w:r>
              <w:rPr>
                <w:rFonts w:ascii="Arial" w:hAnsi="Arial"/>
                <w:b w:val="0"/>
                <w:color w:val="000000"/>
                <w:sz w:val="19"/>
              </w:rPr>
              <w:t>the value is 0 and the CI includes 0</w:t>
            </w:r>
          </w:p>
        </w:tc>
        <w:tc>
          <w:tcPr>
            <w:tcW w:type="dxa" w:w="2736"/>
            <w:tcBorders>
              <w:bottom w:val="single" w:sz="14" w:space="0" w:color="000000"/>
            </w:tcBorders>
          </w:tcPr>
          <w:p>
            <w:pPr>
              <w:spacing w:after="40" w:before="40"/>
            </w:pPr>
            <w:r/>
            <w:r>
              <w:rPr>
                <w:rFonts w:ascii="Arial" w:hAnsi="Arial"/>
                <w:b w:val="0"/>
                <w:color w:val="000000"/>
                <w:sz w:val="19"/>
              </w:rPr>
              <w:t>SMD ≥ 0.5, or a difference large relative to its scale</w:t>
            </w:r>
          </w:p>
        </w:tc>
      </w:tr>
    </w:tbl>
    <w:p>
      <w:pPr>
        <w:spacing w:after="40"/>
      </w:pPr>
    </w:p>
    <w:p>
      <w:r>
        <w:rPr>
          <w:b w:val="0"/>
          <w:i w:val="0"/>
        </w:rPr>
        <w:t>Also shown: the 95% confidence interval (how precise the estimate is), the number of primary studies (feeds Consistency), and the source systematic review (the “anchor”). “CI excludes the null” is the single most useful phrase in this work: it means the result is statistically distinguishable from no effect.</w:t>
      </w:r>
    </w:p>
    <w:p>
      <w:pPr>
        <w:pStyle w:val="Heading1"/>
      </w:pPr>
      <w:r>
        <w:rPr>
          <w:b w:val="0"/>
          <w:i w:val="0"/>
        </w:rPr>
        <w:t>5.  GRADE in brief (the certainty badge)</w:t>
      </w:r>
    </w:p>
    <w:p>
      <w:r>
        <w:rPr>
          <w:b w:val="0"/>
          <w:i w:val="0"/>
        </w:rPr>
        <w:t>GRADE rates how much confidence we can place in the effect estimate for an outcome — not how large the effect is. It has four levels.</w:t>
      </w:r>
    </w:p>
    <w:tbl>
      <w:tblPr>
        <w:tblW w:type="auto" w:w="0"/>
        <w:jc w:val="center"/>
        <w:tblLayout w:type="autofit"/>
        <w:tblLook w:firstColumn="1" w:firstRow="1" w:lastColumn="0" w:lastRow="0" w:noHBand="0" w:noVBand="1" w:val="04A0"/>
      </w:tblPr>
      <w:tblGrid>
        <w:gridCol w:w="4824"/>
        <w:gridCol w:w="4824"/>
      </w:tblGrid>
      <w:tr>
        <w:tc>
          <w:tcPr>
            <w:tcW w:type="dxa" w:w="1872"/>
            <w:tcBorders>
              <w:top w:val="single" w:sz="14" w:space="0" w:color="000000"/>
              <w:bottom w:val="single" w:sz="6" w:space="0" w:color="000000"/>
            </w:tcBorders>
          </w:tcPr>
          <w:p>
            <w:pPr>
              <w:spacing w:after="40" w:before="40"/>
            </w:pPr>
            <w:r>
              <w:rPr>
                <w:b/>
              </w:rPr>
            </w:r>
            <w:r>
              <w:rPr>
                <w:rFonts w:ascii="Arial" w:hAnsi="Arial"/>
                <w:b/>
                <w:color w:val="000000"/>
                <w:sz w:val="19"/>
              </w:rPr>
              <w:t>Certainty</w:t>
            </w:r>
          </w:p>
        </w:tc>
        <w:tc>
          <w:tcPr>
            <w:tcW w:type="dxa" w:w="7776"/>
            <w:tcBorders>
              <w:top w:val="single" w:sz="14" w:space="0" w:color="000000"/>
              <w:bottom w:val="single" w:sz="6" w:space="0" w:color="000000"/>
            </w:tcBorders>
          </w:tcPr>
          <w:p>
            <w:pPr>
              <w:spacing w:after="40" w:before="40"/>
            </w:pPr>
            <w:r>
              <w:rPr>
                <w:b/>
              </w:rPr>
            </w:r>
            <w:r>
              <w:rPr>
                <w:rFonts w:ascii="Arial" w:hAnsi="Arial"/>
                <w:b/>
                <w:color w:val="000000"/>
                <w:sz w:val="19"/>
              </w:rPr>
              <w:t>What it means</w:t>
            </w:r>
          </w:p>
        </w:tc>
      </w:tr>
      <w:tr>
        <w:tc>
          <w:tcPr>
            <w:tcW w:type="dxa" w:w="1872"/>
          </w:tcPr>
          <w:p>
            <w:pPr>
              <w:spacing w:after="40" w:before="40"/>
            </w:pPr>
            <w:r/>
            <w:r>
              <w:rPr>
                <w:rFonts w:ascii="Arial" w:hAnsi="Arial"/>
                <w:b w:val="0"/>
                <w:color w:val="000000"/>
                <w:sz w:val="19"/>
              </w:rPr>
              <w:t>High</w:t>
            </w:r>
          </w:p>
        </w:tc>
        <w:tc>
          <w:tcPr>
            <w:tcW w:type="dxa" w:w="7776"/>
          </w:tcPr>
          <w:p>
            <w:pPr>
              <w:spacing w:after="40" w:before="40"/>
            </w:pPr>
            <w:r/>
            <w:r>
              <w:rPr>
                <w:rFonts w:ascii="Arial" w:hAnsi="Arial"/>
                <w:b w:val="0"/>
                <w:color w:val="000000"/>
                <w:sz w:val="19"/>
              </w:rPr>
              <w:t>We are very confident the true effect is close to the estimate.</w:t>
            </w:r>
          </w:p>
        </w:tc>
      </w:tr>
      <w:tr>
        <w:tc>
          <w:tcPr>
            <w:tcW w:type="dxa" w:w="1872"/>
          </w:tcPr>
          <w:p>
            <w:pPr>
              <w:spacing w:after="40" w:before="40"/>
            </w:pPr>
            <w:r/>
            <w:r>
              <w:rPr>
                <w:rFonts w:ascii="Arial" w:hAnsi="Arial"/>
                <w:b w:val="0"/>
                <w:color w:val="000000"/>
                <w:sz w:val="19"/>
              </w:rPr>
              <w:t>Moderate</w:t>
            </w:r>
          </w:p>
        </w:tc>
        <w:tc>
          <w:tcPr>
            <w:tcW w:type="dxa" w:w="7776"/>
          </w:tcPr>
          <w:p>
            <w:pPr>
              <w:spacing w:after="40" w:before="40"/>
            </w:pPr>
            <w:r/>
            <w:r>
              <w:rPr>
                <w:rFonts w:ascii="Arial" w:hAnsi="Arial"/>
                <w:b w:val="0"/>
                <w:color w:val="000000"/>
                <w:sz w:val="19"/>
              </w:rPr>
              <w:t>Moderately confident; the true effect is probably close, but may differ.</w:t>
            </w:r>
          </w:p>
        </w:tc>
      </w:tr>
      <w:tr>
        <w:tc>
          <w:tcPr>
            <w:tcW w:type="dxa" w:w="1872"/>
          </w:tcPr>
          <w:p>
            <w:pPr>
              <w:spacing w:after="40" w:before="40"/>
            </w:pPr>
            <w:r/>
            <w:r>
              <w:rPr>
                <w:rFonts w:ascii="Arial" w:hAnsi="Arial"/>
                <w:b w:val="0"/>
                <w:color w:val="000000"/>
                <w:sz w:val="19"/>
              </w:rPr>
              <w:t>Low</w:t>
            </w:r>
          </w:p>
        </w:tc>
        <w:tc>
          <w:tcPr>
            <w:tcW w:type="dxa" w:w="7776"/>
          </w:tcPr>
          <w:p>
            <w:pPr>
              <w:spacing w:after="40" w:before="40"/>
            </w:pPr>
            <w:r/>
            <w:r>
              <w:rPr>
                <w:rFonts w:ascii="Arial" w:hAnsi="Arial"/>
                <w:b w:val="0"/>
                <w:color w:val="000000"/>
                <w:sz w:val="19"/>
              </w:rPr>
              <w:t>Limited confidence; the true effect may be substantially different.</w:t>
            </w:r>
          </w:p>
        </w:tc>
      </w:tr>
      <w:tr>
        <w:tc>
          <w:tcPr>
            <w:tcW w:type="dxa" w:w="1872"/>
            <w:tcBorders>
              <w:bottom w:val="single" w:sz="14" w:space="0" w:color="000000"/>
            </w:tcBorders>
          </w:tcPr>
          <w:p>
            <w:pPr>
              <w:spacing w:after="40" w:before="40"/>
            </w:pPr>
            <w:r/>
            <w:r>
              <w:rPr>
                <w:rFonts w:ascii="Arial" w:hAnsi="Arial"/>
                <w:b w:val="0"/>
                <w:color w:val="000000"/>
                <w:sz w:val="19"/>
              </w:rPr>
              <w:t>Very low</w:t>
            </w:r>
          </w:p>
        </w:tc>
        <w:tc>
          <w:tcPr>
            <w:tcW w:type="dxa" w:w="7776"/>
            <w:tcBorders>
              <w:bottom w:val="single" w:sz="14" w:space="0" w:color="000000"/>
            </w:tcBorders>
          </w:tcPr>
          <w:p>
            <w:pPr>
              <w:spacing w:after="40" w:before="40"/>
            </w:pPr>
            <w:r/>
            <w:r>
              <w:rPr>
                <w:rFonts w:ascii="Arial" w:hAnsi="Arial"/>
                <w:b w:val="0"/>
                <w:color w:val="000000"/>
                <w:sz w:val="19"/>
              </w:rPr>
              <w:t>Very little confidence; the true effect is likely substantially different.</w:t>
            </w:r>
          </w:p>
        </w:tc>
      </w:tr>
    </w:tbl>
    <w:p>
      <w:pPr>
        <w:spacing w:after="40"/>
      </w:pPr>
    </w:p>
    <w:p>
      <w:r>
        <w:rPr>
          <w:b w:val="0"/>
          <w:i w:val="0"/>
        </w:rPr>
        <w:t>Certainty starts High for randomised trials and Low for observational studies, then moves down or up across the domains below.</w:t>
      </w:r>
    </w:p>
    <w:tbl>
      <w:tblPr>
        <w:tblW w:type="auto" w:w="0"/>
        <w:jc w:val="center"/>
        <w:tblLayout w:type="autofit"/>
        <w:tblLook w:firstColumn="1" w:firstRow="1" w:lastColumn="0" w:lastRow="0" w:noHBand="0" w:noVBand="1" w:val="04A0"/>
      </w:tblPr>
      <w:tblGrid>
        <w:gridCol w:w="3216"/>
        <w:gridCol w:w="3216"/>
        <w:gridCol w:w="3216"/>
      </w:tblGrid>
      <w:tr>
        <w:tc>
          <w:tcPr>
            <w:tcW w:type="dxa" w:w="2160"/>
            <w:tcBorders>
              <w:top w:val="single" w:sz="14" w:space="0" w:color="000000"/>
              <w:bottom w:val="single" w:sz="6" w:space="0" w:color="000000"/>
            </w:tcBorders>
          </w:tcPr>
          <w:p>
            <w:pPr>
              <w:spacing w:after="40" w:before="40"/>
            </w:pPr>
            <w:r>
              <w:rPr>
                <w:b/>
              </w:rPr>
            </w:r>
            <w:r>
              <w:rPr>
                <w:rFonts w:ascii="Arial" w:hAnsi="Arial"/>
                <w:b/>
                <w:color w:val="000000"/>
                <w:sz w:val="19"/>
              </w:rPr>
              <w:t>Direction</w:t>
            </w:r>
          </w:p>
        </w:tc>
        <w:tc>
          <w:tcPr>
            <w:tcW w:type="dxa" w:w="2448"/>
            <w:tcBorders>
              <w:top w:val="single" w:sz="14" w:space="0" w:color="000000"/>
              <w:bottom w:val="single" w:sz="6" w:space="0" w:color="000000"/>
            </w:tcBorders>
          </w:tcPr>
          <w:p>
            <w:pPr>
              <w:spacing w:after="40" w:before="40"/>
            </w:pPr>
            <w:r>
              <w:rPr>
                <w:b/>
              </w:rPr>
            </w:r>
            <w:r>
              <w:rPr>
                <w:rFonts w:ascii="Arial" w:hAnsi="Arial"/>
                <w:b/>
                <w:color w:val="000000"/>
                <w:sz w:val="19"/>
              </w:rPr>
              <w:t>Domain</w:t>
            </w:r>
          </w:p>
        </w:tc>
        <w:tc>
          <w:tcPr>
            <w:tcW w:type="dxa" w:w="5040"/>
            <w:tcBorders>
              <w:top w:val="single" w:sz="14" w:space="0" w:color="000000"/>
              <w:bottom w:val="single" w:sz="6" w:space="0" w:color="000000"/>
            </w:tcBorders>
          </w:tcPr>
          <w:p>
            <w:pPr>
              <w:spacing w:after="40" w:before="40"/>
            </w:pPr>
            <w:r>
              <w:rPr>
                <w:b/>
              </w:rPr>
            </w:r>
            <w:r>
              <w:rPr>
                <w:rFonts w:ascii="Arial" w:hAnsi="Arial"/>
                <w:b/>
                <w:color w:val="000000"/>
                <w:sz w:val="19"/>
              </w:rPr>
              <w:t>Applied when…</w:t>
            </w:r>
          </w:p>
        </w:tc>
      </w:tr>
      <w:tr>
        <w:tc>
          <w:tcPr>
            <w:tcW w:type="dxa" w:w="2160"/>
          </w:tcPr>
          <w:p>
            <w:pPr>
              <w:spacing w:after="40" w:before="40"/>
            </w:pPr>
            <w:r/>
            <w:r>
              <w:rPr>
                <w:rFonts w:ascii="Arial" w:hAnsi="Arial"/>
                <w:b w:val="0"/>
                <w:color w:val="000000"/>
                <w:sz w:val="19"/>
              </w:rPr>
              <w:t>Downgrade</w:t>
            </w:r>
          </w:p>
        </w:tc>
        <w:tc>
          <w:tcPr>
            <w:tcW w:type="dxa" w:w="2448"/>
          </w:tcPr>
          <w:p>
            <w:pPr>
              <w:spacing w:after="40" w:before="40"/>
            </w:pPr>
            <w:r/>
            <w:r>
              <w:rPr>
                <w:rFonts w:ascii="Arial" w:hAnsi="Arial"/>
                <w:b w:val="0"/>
                <w:color w:val="000000"/>
                <w:sz w:val="19"/>
              </w:rPr>
              <w:t>Risk of bias</w:t>
            </w:r>
          </w:p>
        </w:tc>
        <w:tc>
          <w:tcPr>
            <w:tcW w:type="dxa" w:w="5040"/>
          </w:tcPr>
          <w:p>
            <w:pPr>
              <w:spacing w:after="40" w:before="40"/>
            </w:pPr>
            <w:r/>
            <w:r>
              <w:rPr>
                <w:rFonts w:ascii="Arial" w:hAnsi="Arial"/>
                <w:b w:val="0"/>
                <w:color w:val="000000"/>
                <w:sz w:val="19"/>
              </w:rPr>
              <w:t>study limitations (e.g. lack of blinding, attrition)</w:t>
            </w:r>
          </w:p>
        </w:tc>
      </w:tr>
      <w:tr>
        <w:tc>
          <w:tcPr>
            <w:tcW w:type="dxa" w:w="2160"/>
          </w:tcPr>
          <w:p>
            <w:pPr>
              <w:spacing w:after="40" w:before="40"/>
            </w:pPr>
            <w:r/>
            <w:r>
              <w:rPr>
                <w:rFonts w:ascii="Arial" w:hAnsi="Arial"/>
                <w:b w:val="0"/>
                <w:color w:val="000000"/>
                <w:sz w:val="19"/>
              </w:rPr>
            </w:r>
          </w:p>
        </w:tc>
        <w:tc>
          <w:tcPr>
            <w:tcW w:type="dxa" w:w="2448"/>
          </w:tcPr>
          <w:p>
            <w:pPr>
              <w:spacing w:after="40" w:before="40"/>
            </w:pPr>
            <w:r/>
            <w:r>
              <w:rPr>
                <w:rFonts w:ascii="Arial" w:hAnsi="Arial"/>
                <w:b w:val="0"/>
                <w:color w:val="000000"/>
                <w:sz w:val="19"/>
              </w:rPr>
              <w:t>Inconsistency</w:t>
            </w:r>
          </w:p>
        </w:tc>
        <w:tc>
          <w:tcPr>
            <w:tcW w:type="dxa" w:w="5040"/>
          </w:tcPr>
          <w:p>
            <w:pPr>
              <w:spacing w:after="40" w:before="40"/>
            </w:pPr>
            <w:r/>
            <w:r>
              <w:rPr>
                <w:rFonts w:ascii="Arial" w:hAnsi="Arial"/>
                <w:b w:val="0"/>
                <w:color w:val="000000"/>
                <w:sz w:val="19"/>
              </w:rPr>
              <w:t>effects differ across studies without explanation</w:t>
            </w:r>
          </w:p>
        </w:tc>
      </w:tr>
      <w:tr>
        <w:tc>
          <w:tcPr>
            <w:tcW w:type="dxa" w:w="2160"/>
          </w:tcPr>
          <w:p>
            <w:pPr>
              <w:spacing w:after="40" w:before="40"/>
            </w:pPr>
            <w:r/>
            <w:r>
              <w:rPr>
                <w:rFonts w:ascii="Arial" w:hAnsi="Arial"/>
                <w:b w:val="0"/>
                <w:color w:val="000000"/>
                <w:sz w:val="19"/>
              </w:rPr>
            </w:r>
          </w:p>
        </w:tc>
        <w:tc>
          <w:tcPr>
            <w:tcW w:type="dxa" w:w="2448"/>
          </w:tcPr>
          <w:p>
            <w:pPr>
              <w:spacing w:after="40" w:before="40"/>
            </w:pPr>
            <w:r/>
            <w:r>
              <w:rPr>
                <w:rFonts w:ascii="Arial" w:hAnsi="Arial"/>
                <w:b w:val="0"/>
                <w:color w:val="000000"/>
                <w:sz w:val="19"/>
              </w:rPr>
              <w:t>Indirectness</w:t>
            </w:r>
          </w:p>
        </w:tc>
        <w:tc>
          <w:tcPr>
            <w:tcW w:type="dxa" w:w="5040"/>
          </w:tcPr>
          <w:p>
            <w:pPr>
              <w:spacing w:after="40" w:before="40"/>
            </w:pPr>
            <w:r/>
            <w:r>
              <w:rPr>
                <w:rFonts w:ascii="Arial" w:hAnsi="Arial"/>
                <w:b w:val="0"/>
                <w:color w:val="000000"/>
                <w:sz w:val="19"/>
              </w:rPr>
              <w:t>population, intervention, or outcome differs from the question</w:t>
            </w:r>
          </w:p>
        </w:tc>
      </w:tr>
      <w:tr>
        <w:tc>
          <w:tcPr>
            <w:tcW w:type="dxa" w:w="2160"/>
          </w:tcPr>
          <w:p>
            <w:pPr>
              <w:spacing w:after="40" w:before="40"/>
            </w:pPr>
            <w:r/>
            <w:r>
              <w:rPr>
                <w:rFonts w:ascii="Arial" w:hAnsi="Arial"/>
                <w:b w:val="0"/>
                <w:color w:val="000000"/>
                <w:sz w:val="19"/>
              </w:rPr>
            </w:r>
          </w:p>
        </w:tc>
        <w:tc>
          <w:tcPr>
            <w:tcW w:type="dxa" w:w="2448"/>
          </w:tcPr>
          <w:p>
            <w:pPr>
              <w:spacing w:after="40" w:before="40"/>
            </w:pPr>
            <w:r/>
            <w:r>
              <w:rPr>
                <w:rFonts w:ascii="Arial" w:hAnsi="Arial"/>
                <w:b w:val="0"/>
                <w:color w:val="000000"/>
                <w:sz w:val="19"/>
              </w:rPr>
              <w:t>Imprecision</w:t>
            </w:r>
          </w:p>
        </w:tc>
        <w:tc>
          <w:tcPr>
            <w:tcW w:type="dxa" w:w="5040"/>
          </w:tcPr>
          <w:p>
            <w:pPr>
              <w:spacing w:after="40" w:before="40"/>
            </w:pPr>
            <w:r/>
            <w:r>
              <w:rPr>
                <w:rFonts w:ascii="Arial" w:hAnsi="Arial"/>
                <w:b w:val="0"/>
                <w:color w:val="000000"/>
                <w:sz w:val="19"/>
              </w:rPr>
              <w:t>wide confidence intervals / few events</w:t>
            </w:r>
          </w:p>
        </w:tc>
      </w:tr>
      <w:tr>
        <w:tc>
          <w:tcPr>
            <w:tcW w:type="dxa" w:w="2160"/>
          </w:tcPr>
          <w:p>
            <w:pPr>
              <w:spacing w:after="40" w:before="40"/>
            </w:pPr>
            <w:r/>
            <w:r>
              <w:rPr>
                <w:rFonts w:ascii="Arial" w:hAnsi="Arial"/>
                <w:b w:val="0"/>
                <w:color w:val="000000"/>
                <w:sz w:val="19"/>
              </w:rPr>
            </w:r>
          </w:p>
        </w:tc>
        <w:tc>
          <w:tcPr>
            <w:tcW w:type="dxa" w:w="2448"/>
          </w:tcPr>
          <w:p>
            <w:pPr>
              <w:spacing w:after="40" w:before="40"/>
            </w:pPr>
            <w:r/>
            <w:r>
              <w:rPr>
                <w:rFonts w:ascii="Arial" w:hAnsi="Arial"/>
                <w:b w:val="0"/>
                <w:color w:val="000000"/>
                <w:sz w:val="19"/>
              </w:rPr>
              <w:t>Publication bias</w:t>
            </w:r>
          </w:p>
        </w:tc>
        <w:tc>
          <w:tcPr>
            <w:tcW w:type="dxa" w:w="5040"/>
          </w:tcPr>
          <w:p>
            <w:pPr>
              <w:spacing w:after="40" w:before="40"/>
            </w:pPr>
            <w:r/>
            <w:r>
              <w:rPr>
                <w:rFonts w:ascii="Arial" w:hAnsi="Arial"/>
                <w:b w:val="0"/>
                <w:color w:val="000000"/>
                <w:sz w:val="19"/>
              </w:rPr>
              <w:t>smaller or negative studies appear to be missing</w:t>
            </w:r>
          </w:p>
        </w:tc>
      </w:tr>
      <w:tr>
        <w:tc>
          <w:tcPr>
            <w:tcW w:type="dxa" w:w="2160"/>
          </w:tcPr>
          <w:p>
            <w:pPr>
              <w:spacing w:after="40" w:before="40"/>
            </w:pPr>
            <w:r/>
            <w:r>
              <w:rPr>
                <w:rFonts w:ascii="Arial" w:hAnsi="Arial"/>
                <w:b w:val="0"/>
                <w:color w:val="000000"/>
                <w:sz w:val="19"/>
              </w:rPr>
              <w:t>Upgrade</w:t>
            </w:r>
          </w:p>
        </w:tc>
        <w:tc>
          <w:tcPr>
            <w:tcW w:type="dxa" w:w="2448"/>
          </w:tcPr>
          <w:p>
            <w:pPr>
              <w:spacing w:after="40" w:before="40"/>
            </w:pPr>
            <w:r/>
            <w:r>
              <w:rPr>
                <w:rFonts w:ascii="Arial" w:hAnsi="Arial"/>
                <w:b w:val="0"/>
                <w:color w:val="000000"/>
                <w:sz w:val="19"/>
              </w:rPr>
              <w:t>Large effect</w:t>
            </w:r>
          </w:p>
        </w:tc>
        <w:tc>
          <w:tcPr>
            <w:tcW w:type="dxa" w:w="5040"/>
          </w:tcPr>
          <w:p>
            <w:pPr>
              <w:spacing w:after="40" w:before="40"/>
            </w:pPr>
            <w:r/>
            <w:r>
              <w:rPr>
                <w:rFonts w:ascii="Arial" w:hAnsi="Arial"/>
                <w:b w:val="0"/>
                <w:color w:val="000000"/>
                <w:sz w:val="19"/>
              </w:rPr>
              <w:t>the magnitude is very large and unlikely to be confounding</w:t>
            </w:r>
          </w:p>
        </w:tc>
      </w:tr>
      <w:tr>
        <w:tc>
          <w:tcPr>
            <w:tcW w:type="dxa" w:w="2160"/>
          </w:tcPr>
          <w:p>
            <w:pPr>
              <w:spacing w:after="40" w:before="40"/>
            </w:pPr>
            <w:r/>
            <w:r>
              <w:rPr>
                <w:rFonts w:ascii="Arial" w:hAnsi="Arial"/>
                <w:b w:val="0"/>
                <w:color w:val="000000"/>
                <w:sz w:val="19"/>
              </w:rPr>
              <w:t>(observational,</w:t>
            </w:r>
          </w:p>
        </w:tc>
        <w:tc>
          <w:tcPr>
            <w:tcW w:type="dxa" w:w="2448"/>
          </w:tcPr>
          <w:p>
            <w:pPr>
              <w:spacing w:after="40" w:before="40"/>
            </w:pPr>
            <w:r/>
            <w:r>
              <w:rPr>
                <w:rFonts w:ascii="Arial" w:hAnsi="Arial"/>
                <w:b w:val="0"/>
                <w:color w:val="000000"/>
                <w:sz w:val="19"/>
              </w:rPr>
              <w:t>Dose-response</w:t>
            </w:r>
          </w:p>
        </w:tc>
        <w:tc>
          <w:tcPr>
            <w:tcW w:type="dxa" w:w="5040"/>
          </w:tcPr>
          <w:p>
            <w:pPr>
              <w:spacing w:after="40" w:before="40"/>
            </w:pPr>
            <w:r/>
            <w:r>
              <w:rPr>
                <w:rFonts w:ascii="Arial" w:hAnsi="Arial"/>
                <w:b w:val="0"/>
                <w:color w:val="000000"/>
                <w:sz w:val="19"/>
              </w:rPr>
              <w:t>more exposure is associated with more effect</w:t>
            </w:r>
          </w:p>
        </w:tc>
      </w:tr>
      <w:tr>
        <w:tc>
          <w:tcPr>
            <w:tcW w:type="dxa" w:w="2160"/>
            <w:tcBorders>
              <w:bottom w:val="single" w:sz="14" w:space="0" w:color="000000"/>
            </w:tcBorders>
          </w:tcPr>
          <w:p>
            <w:pPr>
              <w:spacing w:after="40" w:before="40"/>
            </w:pPr>
            <w:r/>
            <w:r>
              <w:rPr>
                <w:rFonts w:ascii="Arial" w:hAnsi="Arial"/>
                <w:b w:val="0"/>
                <w:color w:val="000000"/>
                <w:sz w:val="19"/>
              </w:rPr>
              <w:t>no downgrades)</w:t>
            </w:r>
          </w:p>
        </w:tc>
        <w:tc>
          <w:tcPr>
            <w:tcW w:type="dxa" w:w="2448"/>
            <w:tcBorders>
              <w:bottom w:val="single" w:sz="14" w:space="0" w:color="000000"/>
            </w:tcBorders>
          </w:tcPr>
          <w:p>
            <w:pPr>
              <w:spacing w:after="40" w:before="40"/>
            </w:pPr>
            <w:r/>
            <w:r>
              <w:rPr>
                <w:rFonts w:ascii="Arial" w:hAnsi="Arial"/>
                <w:b w:val="0"/>
                <w:color w:val="000000"/>
                <w:sz w:val="19"/>
              </w:rPr>
              <w:t>Residual confounding</w:t>
            </w:r>
          </w:p>
        </w:tc>
        <w:tc>
          <w:tcPr>
            <w:tcW w:type="dxa" w:w="5040"/>
            <w:tcBorders>
              <w:bottom w:val="single" w:sz="14" w:space="0" w:color="000000"/>
            </w:tcBorders>
          </w:tcPr>
          <w:p>
            <w:pPr>
              <w:spacing w:after="40" w:before="40"/>
            </w:pPr>
            <w:r/>
            <w:r>
              <w:rPr>
                <w:rFonts w:ascii="Arial" w:hAnsi="Arial"/>
                <w:b w:val="0"/>
                <w:color w:val="000000"/>
                <w:sz w:val="19"/>
              </w:rPr>
              <w:t>plausible confounding would only reduce the observed effect</w:t>
            </w:r>
          </w:p>
        </w:tc>
      </w:tr>
    </w:tbl>
    <w:p>
      <w:pPr>
        <w:spacing w:after="40"/>
      </w:pPr>
    </w:p>
    <w:tbl>
      <w:tblPr>
        <w:tblW w:type="auto" w:w="0"/>
        <w:tblLook w:firstColumn="1" w:firstRow="1" w:lastColumn="0" w:lastRow="0" w:noHBand="0" w:noVBand="1" w:val="04A0"/>
      </w:tblPr>
      <w:tblGrid>
        <w:gridCol w:w="9648"/>
      </w:tblGrid>
      <w:tr>
        <w:tc>
          <w:tcPr>
            <w:tcW w:type="dxa" w:w="9648"/>
            <w:shd w:val="clear" w:fill="F4F3F0"/>
            <w:tcBorders>
              <w:top w:val="single" w:sz="4" w:space="0" w:color="BBBBBB"/>
              <w:bottom w:val="single" w:sz="4" w:space="0" w:color="BBBBBB"/>
              <w:left w:val="single" w:sz="4" w:space="0" w:color="BBBBBB"/>
              <w:right w:val="single" w:sz="4" w:space="0" w:color="BBBBBB"/>
            </w:tcBorders>
          </w:tcPr>
          <w:p>
            <w:pPr>
              <w:spacing w:after="40"/>
            </w:pPr>
            <w:r/>
            <w:r>
              <w:rPr>
                <w:rFonts w:ascii="Arial" w:hAnsi="Arial"/>
                <w:b/>
                <w:sz w:val="19"/>
              </w:rPr>
              <w:t xml:space="preserve">How to use it:  </w:t>
            </w:r>
            <w:r>
              <w:rPr>
                <w:rFonts w:ascii="Arial" w:hAnsi="Arial"/>
                <w:sz w:val="19"/>
              </w:rPr>
              <w:t>higher certainty generally supports more confident scores on Strength, Consistency, and Temporality. But GRADE is an input to your judgement, not a substitute for it — a Low-certainty edge can still have a clear mechanism (Plausibility) and temporal direction.</w:t>
            </w:r>
          </w:p>
        </w:tc>
      </w:tr>
    </w:tbl>
    <w:p>
      <w:pPr>
        <w:spacing w:after="40"/>
      </w:pPr>
    </w:p>
    <w:p>
      <w:pPr>
        <w:pStyle w:val="Heading1"/>
      </w:pPr>
      <w:r>
        <w:rPr>
          <w:b w:val="0"/>
          <w:i w:val="0"/>
        </w:rPr>
        <w:t>6.  AMSTAR-2 in brief (the review-quality badge)</w:t>
      </w:r>
    </w:p>
    <w:p>
      <w:r>
        <w:rPr>
          <w:b w:val="0"/>
          <w:i w:val="0"/>
        </w:rPr>
        <w:t>AMSTAR-2 rates the methodological quality of the systematic review that supplies the evidence. It has 16 items; seven are “critical” because a flaw in them can undermine the whole review. The overall rating becomes the quality weight q in the QWoE formula.</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Item</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Critical domain</w:t>
            </w:r>
          </w:p>
        </w:tc>
      </w:tr>
      <w:tr>
        <w:tc>
          <w:tcPr>
            <w:tcW w:type="dxa" w:w="1152"/>
          </w:tcPr>
          <w:p>
            <w:pPr>
              <w:spacing w:after="40" w:before="40"/>
            </w:pPr>
            <w:r/>
            <w:r>
              <w:rPr>
                <w:rFonts w:ascii="Arial" w:hAnsi="Arial"/>
                <w:b w:val="0"/>
                <w:color w:val="000000"/>
                <w:sz w:val="19"/>
              </w:rPr>
              <w:t>2</w:t>
            </w:r>
          </w:p>
        </w:tc>
        <w:tc>
          <w:tcPr>
            <w:tcW w:type="dxa" w:w="8496"/>
          </w:tcPr>
          <w:p>
            <w:pPr>
              <w:spacing w:after="40" w:before="40"/>
            </w:pPr>
            <w:r/>
            <w:r>
              <w:rPr>
                <w:rFonts w:ascii="Arial" w:hAnsi="Arial"/>
                <w:b w:val="0"/>
                <w:color w:val="000000"/>
                <w:sz w:val="19"/>
              </w:rPr>
              <w:t>The review used a protocol registered before it began (a priori)</w:t>
            </w:r>
          </w:p>
        </w:tc>
      </w:tr>
      <w:tr>
        <w:tc>
          <w:tcPr>
            <w:tcW w:type="dxa" w:w="1152"/>
          </w:tcPr>
          <w:p>
            <w:pPr>
              <w:spacing w:after="40" w:before="40"/>
            </w:pPr>
            <w:r/>
            <w:r>
              <w:rPr>
                <w:rFonts w:ascii="Arial" w:hAnsi="Arial"/>
                <w:b w:val="0"/>
                <w:color w:val="000000"/>
                <w:sz w:val="19"/>
              </w:rPr>
              <w:t>4</w:t>
            </w:r>
          </w:p>
        </w:tc>
        <w:tc>
          <w:tcPr>
            <w:tcW w:type="dxa" w:w="8496"/>
          </w:tcPr>
          <w:p>
            <w:pPr>
              <w:spacing w:after="40" w:before="40"/>
            </w:pPr>
            <w:r/>
            <w:r>
              <w:rPr>
                <w:rFonts w:ascii="Arial" w:hAnsi="Arial"/>
                <w:b w:val="0"/>
                <w:color w:val="000000"/>
                <w:sz w:val="19"/>
              </w:rPr>
              <w:t>A comprehensive literature search was performed</w:t>
            </w:r>
          </w:p>
        </w:tc>
      </w:tr>
      <w:tr>
        <w:tc>
          <w:tcPr>
            <w:tcW w:type="dxa" w:w="1152"/>
          </w:tcPr>
          <w:p>
            <w:pPr>
              <w:spacing w:after="40" w:before="40"/>
            </w:pPr>
            <w:r/>
            <w:r>
              <w:rPr>
                <w:rFonts w:ascii="Arial" w:hAnsi="Arial"/>
                <w:b w:val="0"/>
                <w:color w:val="000000"/>
                <w:sz w:val="19"/>
              </w:rPr>
              <w:t>7</w:t>
            </w:r>
          </w:p>
        </w:tc>
        <w:tc>
          <w:tcPr>
            <w:tcW w:type="dxa" w:w="8496"/>
          </w:tcPr>
          <w:p>
            <w:pPr>
              <w:spacing w:after="40" w:before="40"/>
            </w:pPr>
            <w:r/>
            <w:r>
              <w:rPr>
                <w:rFonts w:ascii="Arial" w:hAnsi="Arial"/>
                <w:b w:val="0"/>
                <w:color w:val="000000"/>
                <w:sz w:val="19"/>
              </w:rPr>
              <w:t>Excluded studies are listed with justifications</w:t>
            </w:r>
          </w:p>
        </w:tc>
      </w:tr>
      <w:tr>
        <w:tc>
          <w:tcPr>
            <w:tcW w:type="dxa" w:w="1152"/>
          </w:tcPr>
          <w:p>
            <w:pPr>
              <w:spacing w:after="40" w:before="40"/>
            </w:pPr>
            <w:r/>
            <w:r>
              <w:rPr>
                <w:rFonts w:ascii="Arial" w:hAnsi="Arial"/>
                <w:b w:val="0"/>
                <w:color w:val="000000"/>
                <w:sz w:val="19"/>
              </w:rPr>
              <w:t>9</w:t>
            </w:r>
          </w:p>
        </w:tc>
        <w:tc>
          <w:tcPr>
            <w:tcW w:type="dxa" w:w="8496"/>
          </w:tcPr>
          <w:p>
            <w:pPr>
              <w:spacing w:after="40" w:before="40"/>
            </w:pPr>
            <w:r/>
            <w:r>
              <w:rPr>
                <w:rFonts w:ascii="Arial" w:hAnsi="Arial"/>
                <w:b w:val="0"/>
                <w:color w:val="000000"/>
                <w:sz w:val="19"/>
              </w:rPr>
              <w:t>Risk of bias of each included study was assessed adequately</w:t>
            </w:r>
          </w:p>
        </w:tc>
      </w:tr>
      <w:tr>
        <w:tc>
          <w:tcPr>
            <w:tcW w:type="dxa" w:w="1152"/>
          </w:tcPr>
          <w:p>
            <w:pPr>
              <w:spacing w:after="40" w:before="40"/>
            </w:pPr>
            <w:r/>
            <w:r>
              <w:rPr>
                <w:rFonts w:ascii="Arial" w:hAnsi="Arial"/>
                <w:b w:val="0"/>
                <w:color w:val="000000"/>
                <w:sz w:val="19"/>
              </w:rPr>
              <w:t>11</w:t>
            </w:r>
          </w:p>
        </w:tc>
        <w:tc>
          <w:tcPr>
            <w:tcW w:type="dxa" w:w="8496"/>
          </w:tcPr>
          <w:p>
            <w:pPr>
              <w:spacing w:after="40" w:before="40"/>
            </w:pPr>
            <w:r/>
            <w:r>
              <w:rPr>
                <w:rFonts w:ascii="Arial" w:hAnsi="Arial"/>
                <w:b w:val="0"/>
                <w:color w:val="000000"/>
                <w:sz w:val="19"/>
              </w:rPr>
              <w:t>Appropriate statistical methods were used for meta-analysis</w:t>
            </w:r>
          </w:p>
        </w:tc>
      </w:tr>
      <w:tr>
        <w:tc>
          <w:tcPr>
            <w:tcW w:type="dxa" w:w="1152"/>
          </w:tcPr>
          <w:p>
            <w:pPr>
              <w:spacing w:after="40" w:before="40"/>
            </w:pPr>
            <w:r/>
            <w:r>
              <w:rPr>
                <w:rFonts w:ascii="Arial" w:hAnsi="Arial"/>
                <w:b w:val="0"/>
                <w:color w:val="000000"/>
                <w:sz w:val="19"/>
              </w:rPr>
              <w:t>13</w:t>
            </w:r>
          </w:p>
        </w:tc>
        <w:tc>
          <w:tcPr>
            <w:tcW w:type="dxa" w:w="8496"/>
          </w:tcPr>
          <w:p>
            <w:pPr>
              <w:spacing w:after="40" w:before="40"/>
            </w:pPr>
            <w:r/>
            <w:r>
              <w:rPr>
                <w:rFonts w:ascii="Arial" w:hAnsi="Arial"/>
                <w:b w:val="0"/>
                <w:color w:val="000000"/>
                <w:sz w:val="19"/>
              </w:rPr>
              <w:t>Risk of bias was accounted for when interpreting results</w:t>
            </w:r>
          </w:p>
        </w:tc>
      </w:tr>
      <w:tr>
        <w:tc>
          <w:tcPr>
            <w:tcW w:type="dxa" w:w="1152"/>
            <w:tcBorders>
              <w:bottom w:val="single" w:sz="14" w:space="0" w:color="000000"/>
            </w:tcBorders>
          </w:tcPr>
          <w:p>
            <w:pPr>
              <w:spacing w:after="40" w:before="40"/>
            </w:pPr>
            <w:r/>
            <w:r>
              <w:rPr>
                <w:rFonts w:ascii="Arial" w:hAnsi="Arial"/>
                <w:b w:val="0"/>
                <w:color w:val="000000"/>
                <w:sz w:val="19"/>
              </w:rPr>
              <w:t>15</w:t>
            </w:r>
          </w:p>
        </w:tc>
        <w:tc>
          <w:tcPr>
            <w:tcW w:type="dxa" w:w="8496"/>
            <w:tcBorders>
              <w:bottom w:val="single" w:sz="14" w:space="0" w:color="000000"/>
            </w:tcBorders>
          </w:tcPr>
          <w:p>
            <w:pPr>
              <w:spacing w:after="40" w:before="40"/>
            </w:pPr>
            <w:r/>
            <w:r>
              <w:rPr>
                <w:rFonts w:ascii="Arial" w:hAnsi="Arial"/>
                <w:b w:val="0"/>
                <w:color w:val="000000"/>
                <w:sz w:val="19"/>
              </w:rPr>
              <w:t>Publication (small-study) bias was investigated</w:t>
            </w:r>
          </w:p>
        </w:tc>
      </w:tr>
    </w:tbl>
    <w:p>
      <w:pPr>
        <w:spacing w:after="40"/>
      </w:pPr>
    </w:p>
    <w:tbl>
      <w:tblPr>
        <w:tblW w:type="auto" w:w="0"/>
        <w:jc w:val="center"/>
        <w:tblLayout w:type="autofit"/>
        <w:tblLook w:firstColumn="1" w:firstRow="1" w:lastColumn="0" w:lastRow="0" w:noHBand="0" w:noVBand="1" w:val="04A0"/>
      </w:tblPr>
      <w:tblGrid>
        <w:gridCol w:w="3216"/>
        <w:gridCol w:w="3216"/>
        <w:gridCol w:w="3216"/>
      </w:tblGrid>
      <w:tr>
        <w:tc>
          <w:tcPr>
            <w:tcW w:type="dxa" w:w="2448"/>
            <w:tcBorders>
              <w:top w:val="single" w:sz="14" w:space="0" w:color="000000"/>
              <w:bottom w:val="single" w:sz="6" w:space="0" w:color="000000"/>
            </w:tcBorders>
          </w:tcPr>
          <w:p>
            <w:pPr>
              <w:spacing w:after="40" w:before="40"/>
            </w:pPr>
            <w:r>
              <w:rPr>
                <w:b/>
              </w:rPr>
            </w:r>
            <w:r>
              <w:rPr>
                <w:rFonts w:ascii="Arial" w:hAnsi="Arial"/>
                <w:b/>
                <w:color w:val="000000"/>
                <w:sz w:val="19"/>
              </w:rPr>
              <w:t>Overall rating</w:t>
            </w:r>
          </w:p>
        </w:tc>
        <w:tc>
          <w:tcPr>
            <w:tcW w:type="dxa" w:w="2304"/>
            <w:tcBorders>
              <w:top w:val="single" w:sz="14" w:space="0" w:color="000000"/>
              <w:bottom w:val="single" w:sz="6" w:space="0" w:color="000000"/>
            </w:tcBorders>
          </w:tcPr>
          <w:p>
            <w:pPr>
              <w:spacing w:after="40" w:before="40"/>
            </w:pPr>
            <w:r>
              <w:rPr>
                <w:b/>
              </w:rPr>
            </w:r>
            <w:r>
              <w:rPr>
                <w:rFonts w:ascii="Arial" w:hAnsi="Arial"/>
                <w:b/>
                <w:color w:val="000000"/>
                <w:sz w:val="19"/>
              </w:rPr>
              <w:t>Quality weight q</w:t>
            </w:r>
          </w:p>
        </w:tc>
        <w:tc>
          <w:tcPr>
            <w:tcW w:type="dxa" w:w="4896"/>
            <w:tcBorders>
              <w:top w:val="single" w:sz="14" w:space="0" w:color="000000"/>
              <w:bottom w:val="single" w:sz="6" w:space="0" w:color="000000"/>
            </w:tcBorders>
          </w:tcPr>
          <w:p>
            <w:pPr>
              <w:spacing w:after="40" w:before="40"/>
            </w:pPr>
            <w:r>
              <w:rPr>
                <w:b/>
              </w:rPr>
            </w:r>
            <w:r>
              <w:rPr>
                <w:rFonts w:ascii="Arial" w:hAnsi="Arial"/>
                <w:b/>
                <w:color w:val="000000"/>
                <w:sz w:val="19"/>
              </w:rPr>
              <w:t>Basis</w:t>
            </w:r>
          </w:p>
        </w:tc>
      </w:tr>
      <w:tr>
        <w:tc>
          <w:tcPr>
            <w:tcW w:type="dxa" w:w="2448"/>
          </w:tcPr>
          <w:p>
            <w:pPr>
              <w:spacing w:after="40" w:before="40"/>
            </w:pPr>
            <w:r/>
            <w:r>
              <w:rPr>
                <w:rFonts w:ascii="Arial" w:hAnsi="Arial"/>
                <w:b w:val="0"/>
                <w:color w:val="000000"/>
                <w:sz w:val="19"/>
              </w:rPr>
              <w:t>High</w:t>
            </w:r>
          </w:p>
        </w:tc>
        <w:tc>
          <w:tcPr>
            <w:tcW w:type="dxa" w:w="2304"/>
          </w:tcPr>
          <w:p>
            <w:pPr>
              <w:spacing w:after="40" w:before="40"/>
            </w:pPr>
            <w:r/>
            <w:r>
              <w:rPr>
                <w:rFonts w:ascii="Arial" w:hAnsi="Arial"/>
                <w:b w:val="0"/>
                <w:color w:val="000000"/>
                <w:sz w:val="19"/>
              </w:rPr>
              <w:t>1.00</w:t>
            </w:r>
          </w:p>
        </w:tc>
        <w:tc>
          <w:tcPr>
            <w:tcW w:type="dxa" w:w="4896"/>
          </w:tcPr>
          <w:p>
            <w:pPr>
              <w:spacing w:after="40" w:before="40"/>
            </w:pPr>
            <w:r/>
            <w:r>
              <w:rPr>
                <w:rFonts w:ascii="Arial" w:hAnsi="Arial"/>
                <w:b w:val="0"/>
                <w:color w:val="000000"/>
                <w:sz w:val="19"/>
              </w:rPr>
              <w:t>no or one non-critical weakness</w:t>
            </w:r>
          </w:p>
        </w:tc>
      </w:tr>
      <w:tr>
        <w:tc>
          <w:tcPr>
            <w:tcW w:type="dxa" w:w="2448"/>
          </w:tcPr>
          <w:p>
            <w:pPr>
              <w:spacing w:after="40" w:before="40"/>
            </w:pPr>
            <w:r/>
            <w:r>
              <w:rPr>
                <w:rFonts w:ascii="Arial" w:hAnsi="Arial"/>
                <w:b w:val="0"/>
                <w:color w:val="000000"/>
                <w:sz w:val="19"/>
              </w:rPr>
              <w:t>Moderate</w:t>
            </w:r>
          </w:p>
        </w:tc>
        <w:tc>
          <w:tcPr>
            <w:tcW w:type="dxa" w:w="2304"/>
          </w:tcPr>
          <w:p>
            <w:pPr>
              <w:spacing w:after="40" w:before="40"/>
            </w:pPr>
            <w:r/>
            <w:r>
              <w:rPr>
                <w:rFonts w:ascii="Arial" w:hAnsi="Arial"/>
                <w:b w:val="0"/>
                <w:color w:val="000000"/>
                <w:sz w:val="19"/>
              </w:rPr>
              <w:t>0.75</w:t>
            </w:r>
          </w:p>
        </w:tc>
        <w:tc>
          <w:tcPr>
            <w:tcW w:type="dxa" w:w="4896"/>
          </w:tcPr>
          <w:p>
            <w:pPr>
              <w:spacing w:after="40" w:before="40"/>
            </w:pPr>
            <w:r/>
            <w:r>
              <w:rPr>
                <w:rFonts w:ascii="Arial" w:hAnsi="Arial"/>
                <w:b w:val="0"/>
                <w:color w:val="000000"/>
                <w:sz w:val="19"/>
              </w:rPr>
              <w:t>more than one non-critical weakness, no critical flaw</w:t>
            </w:r>
          </w:p>
        </w:tc>
      </w:tr>
      <w:tr>
        <w:tc>
          <w:tcPr>
            <w:tcW w:type="dxa" w:w="2448"/>
          </w:tcPr>
          <w:p>
            <w:pPr>
              <w:spacing w:after="40" w:before="40"/>
            </w:pPr>
            <w:r/>
            <w:r>
              <w:rPr>
                <w:rFonts w:ascii="Arial" w:hAnsi="Arial"/>
                <w:b w:val="0"/>
                <w:color w:val="000000"/>
                <w:sz w:val="19"/>
              </w:rPr>
              <w:t>Low</w:t>
            </w:r>
          </w:p>
        </w:tc>
        <w:tc>
          <w:tcPr>
            <w:tcW w:type="dxa" w:w="2304"/>
          </w:tcPr>
          <w:p>
            <w:pPr>
              <w:spacing w:after="40" w:before="40"/>
            </w:pPr>
            <w:r/>
            <w:r>
              <w:rPr>
                <w:rFonts w:ascii="Arial" w:hAnsi="Arial"/>
                <w:b w:val="0"/>
                <w:color w:val="000000"/>
                <w:sz w:val="19"/>
              </w:rPr>
              <w:t>0.50</w:t>
            </w:r>
          </w:p>
        </w:tc>
        <w:tc>
          <w:tcPr>
            <w:tcW w:type="dxa" w:w="4896"/>
          </w:tcPr>
          <w:p>
            <w:pPr>
              <w:spacing w:after="40" w:before="40"/>
            </w:pPr>
            <w:r/>
            <w:r>
              <w:rPr>
                <w:rFonts w:ascii="Arial" w:hAnsi="Arial"/>
                <w:b w:val="0"/>
                <w:color w:val="000000"/>
                <w:sz w:val="19"/>
              </w:rPr>
              <w:t>one critical flaw</w:t>
            </w:r>
          </w:p>
        </w:tc>
      </w:tr>
      <w:tr>
        <w:tc>
          <w:tcPr>
            <w:tcW w:type="dxa" w:w="2448"/>
            <w:tcBorders>
              <w:bottom w:val="single" w:sz="14" w:space="0" w:color="000000"/>
            </w:tcBorders>
          </w:tcPr>
          <w:p>
            <w:pPr>
              <w:spacing w:after="40" w:before="40"/>
            </w:pPr>
            <w:r/>
            <w:r>
              <w:rPr>
                <w:rFonts w:ascii="Arial" w:hAnsi="Arial"/>
                <w:b w:val="0"/>
                <w:color w:val="000000"/>
                <w:sz w:val="19"/>
              </w:rPr>
              <w:t>Critically low</w:t>
            </w:r>
          </w:p>
        </w:tc>
        <w:tc>
          <w:tcPr>
            <w:tcW w:type="dxa" w:w="2304"/>
            <w:tcBorders>
              <w:bottom w:val="single" w:sz="14" w:space="0" w:color="000000"/>
            </w:tcBorders>
          </w:tcPr>
          <w:p>
            <w:pPr>
              <w:spacing w:after="40" w:before="40"/>
            </w:pPr>
            <w:r/>
            <w:r>
              <w:rPr>
                <w:rFonts w:ascii="Arial" w:hAnsi="Arial"/>
                <w:b w:val="0"/>
                <w:color w:val="000000"/>
                <w:sz w:val="19"/>
              </w:rPr>
              <w:t>0.25</w:t>
            </w:r>
          </w:p>
        </w:tc>
        <w:tc>
          <w:tcPr>
            <w:tcW w:type="dxa" w:w="4896"/>
            <w:tcBorders>
              <w:bottom w:val="single" w:sz="14" w:space="0" w:color="000000"/>
            </w:tcBorders>
          </w:tcPr>
          <w:p>
            <w:pPr>
              <w:spacing w:after="40" w:before="40"/>
            </w:pPr>
            <w:r/>
            <w:r>
              <w:rPr>
                <w:rFonts w:ascii="Arial" w:hAnsi="Arial"/>
                <w:b w:val="0"/>
                <w:color w:val="000000"/>
                <w:sz w:val="19"/>
              </w:rPr>
              <w:t>more than one critical flaw</w:t>
            </w:r>
          </w:p>
        </w:tc>
      </w:tr>
    </w:tbl>
    <w:p>
      <w:pPr>
        <w:spacing w:after="40"/>
      </w:pPr>
    </w:p>
    <w:p>
      <w:r>
        <w:rPr>
          <w:b w:val="0"/>
          <w:i w:val="0"/>
        </w:rPr>
        <w:t>A lower-quality review still contributes evidence, but with proportionally less weight. You do not score AMSTAR-2 — it is shown so you can judge how much trust the source review earns.</w:t>
      </w:r>
    </w:p>
    <w:p>
      <w:r>
        <w:br w:type="page"/>
      </w:r>
    </w:p>
    <w:p>
      <w:pPr>
        <w:pStyle w:val="Heading1"/>
      </w:pPr>
      <w:r>
        <w:rPr>
          <w:b w:val="0"/>
          <w:i w:val="0"/>
        </w:rPr>
        <w:t>7.  Scoring the six Bradford Hill criteria</w:t>
      </w:r>
    </w:p>
    <w:p>
      <w:r>
        <w:rPr>
          <w:b w:val="0"/>
          <w:i w:val="0"/>
        </w:rPr>
        <w:t>This is your task. Each criterion is scored 0, 1, or 2 against the protocol anchors below. A few principles apply throughout:</w:t>
      </w:r>
    </w:p>
    <w:p>
      <w:pPr>
        <w:pStyle w:val="ListBullet"/>
        <w:spacing w:after="60"/>
      </w:pPr>
      <w:r>
        <w:rPr>
          <w:b/>
        </w:rPr>
        <w:t xml:space="preserve">Use all you know. </w:t>
      </w:r>
      <w:r>
        <w:t>you may use established biology and your own expert knowledge, not only what the review states. Do not score a criterion 0 merely because the paper is silent on it (for example, do not give Plausibility 0 just because the review does not spell out the mechanism).</w:t>
      </w:r>
    </w:p>
    <w:p>
      <w:pPr>
        <w:pStyle w:val="ListBullet"/>
        <w:spacing w:after="60"/>
      </w:pPr>
      <w:r>
        <w:rPr>
          <w:b/>
        </w:rPr>
        <w:t xml:space="preserve">Document the source of judgement. </w:t>
      </w:r>
      <w:r>
        <w:t>note in one line where a non-obvious score comes from — the paper, an established mechanism, triangulation, or a cognate exposure. This makes adjudication quick.</w:t>
      </w:r>
    </w:p>
    <w:p>
      <w:pPr>
        <w:pStyle w:val="ListBullet"/>
        <w:spacing w:after="60"/>
      </w:pPr>
      <w:r>
        <w:rPr>
          <w:b/>
        </w:rPr>
        <w:t xml:space="preserve">Respect the design. </w:t>
      </w:r>
      <w:r>
        <w:t>cross-sectional-only evidence cannot establish that cause preceded effect, so Temporality is 0; a single study cannot establish Consistency, so it caps near 0–1.</w:t>
      </w:r>
    </w:p>
    <w:p>
      <w:pPr>
        <w:pStyle w:val="ListBullet"/>
        <w:spacing w:after="60"/>
      </w:pPr>
      <w:r>
        <w:rPr>
          <w:b/>
        </w:rPr>
        <w:t xml:space="preserve">Stay calibrated. </w:t>
      </w:r>
      <w:r>
        <w:t>score what the evidence supports, not how much you like the intervention. A small but robustly evidenced effect can still earn high causal-support scores.</w:t>
      </w:r>
    </w:p>
    <w:p>
      <w:pPr>
        <w:pStyle w:val="Heading2"/>
      </w:pPr>
      <w:r>
        <w:rPr>
          <w:b w:val="0"/>
          <w:i w:val="0"/>
        </w:rPr>
        <w:t>7.1  Strength of association</w:t>
      </w:r>
    </w:p>
    <w:p>
      <w:pPr>
        <w:spacing w:after="80"/>
      </w:pPr>
      <w:r>
        <w:rPr>
          <w:b w:val="0"/>
          <w:i/>
          <w:color w:val="555555"/>
          <w:sz w:val="21"/>
        </w:rPr>
        <w:t>How big is the effect?</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No association — the CI includes the null, or the effect is negligible.</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Moderate association — the CI excludes the null, but the effect is not large.</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Strong association — a large effect size, with a CI that clearly excludes the null.</w:t>
            </w:r>
          </w:p>
        </w:tc>
      </w:tr>
    </w:tbl>
    <w:p>
      <w:pPr>
        <w:spacing w:after="40"/>
      </w:pPr>
    </w:p>
    <w:p>
      <w:r>
        <w:rPr>
          <w:b/>
          <w:i w:val="0"/>
        </w:rPr>
        <w:t xml:space="preserve">Applying it in SAM.  </w:t>
      </w:r>
      <w:r>
        <w:t>Read it off the effect estimate and CI shown. For ratios, ≤ 0.5 or ≥ 2.0 with a CI excluding 1 is usually “large” (score 2); a significant but modest ratio such as RR 0.90 is a 1. For mean differences, judge the size against the clinical scale.</w:t>
      </w:r>
    </w:p>
    <w:p>
      <w:pPr>
        <w:spacing w:after="40"/>
      </w:pPr>
      <w:r>
        <w:rPr>
          <w:b/>
          <w:i w:val="0"/>
        </w:rPr>
        <w:t xml:space="preserve">Example.  </w:t>
      </w:r>
      <w:r>
        <w:t>A zinc → severe-underweight edge with RR around 0.3 and a CI well below 1 is a clear 2.</w:t>
      </w:r>
    </w:p>
    <w:p>
      <w:pPr>
        <w:spacing w:after="160"/>
      </w:pPr>
      <w:r>
        <w:rPr>
          <w:b/>
          <w:i w:val="0"/>
        </w:rPr>
        <w:t xml:space="preserve">Common error.  </w:t>
      </w:r>
      <w:r>
        <w:t>Do not give 2 to every statistically significant result — significance is necessary, magnitude is what separates 1 from 2.</w:t>
      </w:r>
    </w:p>
    <w:p>
      <w:pPr>
        <w:pStyle w:val="Heading2"/>
      </w:pPr>
      <w:r>
        <w:rPr>
          <w:b w:val="0"/>
          <w:i w:val="0"/>
        </w:rPr>
        <w:t>7.2  Consistency</w:t>
      </w:r>
    </w:p>
    <w:p>
      <w:pPr>
        <w:spacing w:after="80"/>
      </w:pPr>
      <w:r>
        <w:rPr>
          <w:b w:val="0"/>
          <w:i/>
          <w:color w:val="555555"/>
          <w:sz w:val="21"/>
        </w:rPr>
        <w:t>Do multiple studies agree?</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A single study only, or results that contradict each other across studies.</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Partial consistency — some studies show the association, others do not.</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Consistent across multiple studies, populations, or settings.</w:t>
            </w:r>
          </w:p>
        </w:tc>
      </w:tr>
    </w:tbl>
    <w:p>
      <w:pPr>
        <w:spacing w:after="40"/>
      </w:pPr>
    </w:p>
    <w:p>
      <w:r>
        <w:rPr>
          <w:b/>
          <w:i w:val="0"/>
        </w:rPr>
        <w:t xml:space="preserve">Applying it in SAM.  </w:t>
      </w:r>
      <w:r>
        <w:t>Use the number of primary studies and whether their effects point the same way. Several trials or cohorts in the same direction support 2; one study caps you near 0–1; mixed results sit at 1.</w:t>
      </w:r>
    </w:p>
    <w:p>
      <w:pPr>
        <w:spacing w:after="40"/>
      </w:pPr>
      <w:r>
        <w:rPr>
          <w:b/>
          <w:i w:val="0"/>
        </w:rPr>
        <w:t xml:space="preserve">Example.  </w:t>
      </w:r>
      <w:r>
        <w:t>A pooled effect from eight RUTF trials all favouring recovery supports a 2.</w:t>
      </w:r>
    </w:p>
    <w:p>
      <w:pPr>
        <w:spacing w:after="160"/>
      </w:pPr>
      <w:r>
        <w:rPr>
          <w:b/>
          <w:i w:val="0"/>
        </w:rPr>
        <w:t xml:space="preserve">Common error.  </w:t>
      </w:r>
      <w:r>
        <w:t>Do not score 0 for a single in-review study if strong external evidence shows the same direction — use that triangulation, and note it.</w:t>
      </w:r>
    </w:p>
    <w:p>
      <w:pPr>
        <w:pStyle w:val="Heading2"/>
      </w:pPr>
      <w:r>
        <w:rPr>
          <w:b w:val="0"/>
          <w:i w:val="0"/>
        </w:rPr>
        <w:t>7.3  Temporality</w:t>
      </w:r>
    </w:p>
    <w:p>
      <w:pPr>
        <w:spacing w:after="80"/>
      </w:pPr>
      <w:r>
        <w:rPr>
          <w:b w:val="0"/>
          <w:i/>
          <w:color w:val="555555"/>
          <w:sz w:val="21"/>
        </w:rPr>
        <w:t>Did the cause come before the effect?</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Cross-sectional, or the temporal sequence is unclear.</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Partial — some studies establish that exposure preceded outcome.</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Clear temporal precedence — exposure is established to precede outcome.</w:t>
            </w:r>
          </w:p>
        </w:tc>
      </w:tr>
    </w:tbl>
    <w:p>
      <w:pPr>
        <w:spacing w:after="40"/>
      </w:pPr>
    </w:p>
    <w:p>
      <w:r>
        <w:rPr>
          <w:b/>
          <w:i w:val="0"/>
        </w:rPr>
        <w:t xml:space="preserve">Applying it in SAM.  </w:t>
      </w:r>
      <w:r>
        <w:t>Randomised trials and prospective cohorts establish temporality (2). Cross-sectional-only risk-factor evidence is 0. Where the exposure must biologically precede the outcome, you may score on that basis and note it.</w:t>
      </w:r>
    </w:p>
    <w:p>
      <w:pPr>
        <w:spacing w:after="40"/>
      </w:pPr>
      <w:r>
        <w:rPr>
          <w:b/>
          <w:i w:val="0"/>
        </w:rPr>
        <w:t xml:space="preserve">Example.  </w:t>
      </w:r>
      <w:r>
        <w:t>Any randomised intervention edge (the treatment is assigned, then the outcome is measured) is a 2.</w:t>
      </w:r>
    </w:p>
    <w:p>
      <w:pPr>
        <w:spacing w:after="160"/>
      </w:pPr>
      <w:r>
        <w:rPr>
          <w:b/>
          <w:i w:val="0"/>
        </w:rPr>
        <w:t xml:space="preserve">Common error.  </w:t>
      </w:r>
      <w:r>
        <w:t>Do not award 2 to a cross-sectional association just because the direction seems obvious — the design cannot show sequence, so it is 0.</w:t>
      </w:r>
    </w:p>
    <w:p>
      <w:pPr>
        <w:pStyle w:val="Heading2"/>
      </w:pPr>
      <w:r>
        <w:rPr>
          <w:b w:val="0"/>
          <w:i w:val="0"/>
        </w:rPr>
        <w:t>7.4  Biological plausibility</w:t>
      </w:r>
    </w:p>
    <w:p>
      <w:pPr>
        <w:spacing w:after="80"/>
      </w:pPr>
      <w:r>
        <w:rPr>
          <w:b w:val="0"/>
          <w:i/>
          <w:color w:val="555555"/>
          <w:sz w:val="21"/>
        </w:rPr>
        <w:t>Is there a credible mechanism?</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No credible biological mechanism.</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An indirect or speculative mechanism.</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A strong biological mechanism supported by evidence.</w:t>
            </w:r>
          </w:p>
        </w:tc>
      </w:tr>
    </w:tbl>
    <w:p>
      <w:pPr>
        <w:spacing w:after="40"/>
      </w:pPr>
    </w:p>
    <w:p>
      <w:r>
        <w:rPr>
          <w:b/>
          <w:i w:val="0"/>
        </w:rPr>
        <w:t xml:space="preserve">Applying it in SAM.  </w:t>
      </w:r>
      <w:r>
        <w:t>You may draw on established pathophysiology even if the review does not cite it (for example, zinc supports immune function and epithelial integrity). A well-characterised mechanism in malnourished children supports 2; a hand-waving link is 1.</w:t>
      </w:r>
    </w:p>
    <w:p>
      <w:pPr>
        <w:spacing w:after="40"/>
      </w:pPr>
      <w:r>
        <w:rPr>
          <w:b/>
          <w:i w:val="0"/>
        </w:rPr>
        <w:t xml:space="preserve">Example.  </w:t>
      </w:r>
      <w:r>
        <w:t>Therapeutic feeding → weight gain has a direct, well-understood energy-balance mechanism: 2.</w:t>
      </w:r>
    </w:p>
    <w:p>
      <w:pPr>
        <w:spacing w:after="160"/>
      </w:pPr>
      <w:r>
        <w:rPr>
          <w:b/>
          <w:i w:val="0"/>
        </w:rPr>
        <w:t xml:space="preserve">Common error.  </w:t>
      </w:r>
      <w:r>
        <w:t>Do not score 0 simply because the review is silent on mechanism — use what is known and note the source.</w:t>
      </w:r>
    </w:p>
    <w:p>
      <w:pPr>
        <w:pStyle w:val="Heading2"/>
      </w:pPr>
      <w:r>
        <w:rPr>
          <w:b w:val="0"/>
          <w:i w:val="0"/>
        </w:rPr>
        <w:t>7.5  Coherence</w:t>
      </w:r>
    </w:p>
    <w:p>
      <w:pPr>
        <w:spacing w:after="80"/>
      </w:pPr>
      <w:r>
        <w:rPr>
          <w:b w:val="0"/>
          <w:i/>
          <w:color w:val="555555"/>
          <w:sz w:val="21"/>
        </w:rPr>
        <w:t>Does it fit what we already know?</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The findings conflict with established knowledge.</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Partial coherence, or alignment is unclear.</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Findings cohere with established biology and epidemiology.</w:t>
            </w:r>
          </w:p>
        </w:tc>
      </w:tr>
    </w:tbl>
    <w:p>
      <w:pPr>
        <w:spacing w:after="40"/>
      </w:pPr>
    </w:p>
    <w:p>
      <w:r>
        <w:rPr>
          <w:b/>
          <w:i w:val="0"/>
        </w:rPr>
        <w:t xml:space="preserve">Applying it in SAM.  </w:t>
      </w:r>
      <w:r>
        <w:t>Ask whether the finding sits comfortably alongside the known natural history of SAM and the population patterns. Comfortable fit is 2; an awkward or partial fit is 1; outright conflict with established knowledge is 0.</w:t>
      </w:r>
    </w:p>
    <w:p>
      <w:pPr>
        <w:spacing w:after="40"/>
      </w:pPr>
      <w:r>
        <w:rPr>
          <w:b/>
          <w:i w:val="0"/>
        </w:rPr>
        <w:t xml:space="preserve">Example.  </w:t>
      </w:r>
      <w:r>
        <w:t>Higher post-discharge mortality with persistent food insecurity coheres with the known relapse pathway: 2.</w:t>
      </w:r>
    </w:p>
    <w:p>
      <w:pPr>
        <w:spacing w:after="160"/>
      </w:pPr>
      <w:r>
        <w:rPr>
          <w:b/>
          <w:i w:val="0"/>
        </w:rPr>
        <w:t xml:space="preserve">Common error.  </w:t>
      </w:r>
      <w:r>
        <w:t>Coherence is about fit with the wider evidence base, not whether this one study was internally consistent — keep it distinct from Consistency.</w:t>
      </w:r>
    </w:p>
    <w:p>
      <w:pPr>
        <w:pStyle w:val="Heading2"/>
      </w:pPr>
      <w:r>
        <w:rPr>
          <w:b w:val="0"/>
          <w:i w:val="0"/>
        </w:rPr>
        <w:t>7.6  Analogy</w:t>
      </w:r>
    </w:p>
    <w:p>
      <w:pPr>
        <w:spacing w:after="80"/>
      </w:pPr>
      <w:r>
        <w:rPr>
          <w:b w:val="0"/>
          <w:i/>
          <w:color w:val="555555"/>
          <w:sz w:val="21"/>
        </w:rPr>
        <w:t>Are there similar known cause–effect pairs?</w:t>
      </w:r>
    </w:p>
    <w:tbl>
      <w:tblPr>
        <w:tblW w:type="auto" w:w="0"/>
        <w:jc w:val="center"/>
        <w:tblLayout w:type="autofit"/>
        <w:tblLook w:firstColumn="1" w:firstRow="1" w:lastColumn="0" w:lastRow="0" w:noHBand="0" w:noVBand="1" w:val="04A0"/>
      </w:tblPr>
      <w:tblGrid>
        <w:gridCol w:w="4824"/>
        <w:gridCol w:w="4824"/>
      </w:tblGrid>
      <w:tr>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8496"/>
            <w:tcBorders>
              <w:top w:val="single" w:sz="14" w:space="0" w:color="000000"/>
              <w:bottom w:val="single" w:sz="6" w:space="0" w:color="000000"/>
            </w:tcBorders>
          </w:tcPr>
          <w:p>
            <w:pPr>
              <w:spacing w:after="40" w:before="40"/>
            </w:pPr>
            <w:r>
              <w:rPr>
                <w:b/>
              </w:rPr>
            </w:r>
            <w:r>
              <w:rPr>
                <w:rFonts w:ascii="Arial" w:hAnsi="Arial"/>
                <w:b/>
                <w:color w:val="000000"/>
                <w:sz w:val="19"/>
              </w:rPr>
              <w:t>Protocol anchor</w:t>
            </w:r>
          </w:p>
        </w:tc>
      </w:tr>
      <w:tr>
        <w:tc>
          <w:tcPr>
            <w:tcW w:type="dxa" w:w="1152"/>
          </w:tcPr>
          <w:p>
            <w:pPr>
              <w:spacing w:after="40" w:before="40"/>
            </w:pPr>
            <w:r/>
            <w:r>
              <w:rPr>
                <w:rFonts w:ascii="Arial" w:hAnsi="Arial"/>
                <w:b w:val="0"/>
                <w:color w:val="000000"/>
                <w:sz w:val="19"/>
              </w:rPr>
              <w:t>0</w:t>
            </w:r>
          </w:p>
        </w:tc>
        <w:tc>
          <w:tcPr>
            <w:tcW w:type="dxa" w:w="8496"/>
          </w:tcPr>
          <w:p>
            <w:pPr>
              <w:spacing w:after="40" w:before="40"/>
            </w:pPr>
            <w:r/>
            <w:r>
              <w:rPr>
                <w:rFonts w:ascii="Arial" w:hAnsi="Arial"/>
                <w:b w:val="0"/>
                <w:color w:val="000000"/>
                <w:sz w:val="19"/>
              </w:rPr>
              <w:t>No similar exposure–outcome relationships are known.</w:t>
            </w:r>
          </w:p>
        </w:tc>
      </w:tr>
      <w:tr>
        <w:tc>
          <w:tcPr>
            <w:tcW w:type="dxa" w:w="1152"/>
          </w:tcPr>
          <w:p>
            <w:pPr>
              <w:spacing w:after="40" w:before="40"/>
            </w:pPr>
            <w:r/>
            <w:r>
              <w:rPr>
                <w:rFonts w:ascii="Arial" w:hAnsi="Arial"/>
                <w:b w:val="0"/>
                <w:color w:val="000000"/>
                <w:sz w:val="19"/>
              </w:rPr>
              <w:t>1</w:t>
            </w:r>
          </w:p>
        </w:tc>
        <w:tc>
          <w:tcPr>
            <w:tcW w:type="dxa" w:w="8496"/>
          </w:tcPr>
          <w:p>
            <w:pPr>
              <w:spacing w:after="40" w:before="40"/>
            </w:pPr>
            <w:r/>
            <w:r>
              <w:rPr>
                <w:rFonts w:ascii="Arial" w:hAnsi="Arial"/>
                <w:b w:val="0"/>
                <w:color w:val="000000"/>
                <w:sz w:val="19"/>
              </w:rPr>
              <w:t>A weak analogy — a somewhat similar exposure or context.</w:t>
            </w:r>
          </w:p>
        </w:tc>
      </w:tr>
      <w:tr>
        <w:tc>
          <w:tcPr>
            <w:tcW w:type="dxa" w:w="1152"/>
            <w:tcBorders>
              <w:bottom w:val="single" w:sz="14" w:space="0" w:color="000000"/>
            </w:tcBorders>
          </w:tcPr>
          <w:p>
            <w:pPr>
              <w:spacing w:after="40" w:before="40"/>
            </w:pPr>
            <w:r/>
            <w:r>
              <w:rPr>
                <w:rFonts w:ascii="Arial" w:hAnsi="Arial"/>
                <w:b w:val="0"/>
                <w:color w:val="000000"/>
                <w:sz w:val="19"/>
              </w:rPr>
              <w:t>2</w:t>
            </w:r>
          </w:p>
        </w:tc>
        <w:tc>
          <w:tcPr>
            <w:tcW w:type="dxa" w:w="8496"/>
            <w:tcBorders>
              <w:bottom w:val="single" w:sz="14" w:space="0" w:color="000000"/>
            </w:tcBorders>
          </w:tcPr>
          <w:p>
            <w:pPr>
              <w:spacing w:after="40" w:before="40"/>
            </w:pPr>
            <w:r/>
            <w:r>
              <w:rPr>
                <w:rFonts w:ascii="Arial" w:hAnsi="Arial"/>
                <w:b w:val="0"/>
                <w:color w:val="000000"/>
                <w:sz w:val="19"/>
              </w:rPr>
              <w:t>A strong analogy — a cognate exposure with a similar mechanism.</w:t>
            </w:r>
          </w:p>
        </w:tc>
      </w:tr>
    </w:tbl>
    <w:p>
      <w:pPr>
        <w:spacing w:after="40"/>
      </w:pPr>
    </w:p>
    <w:p>
      <w:r>
        <w:rPr>
          <w:b/>
          <w:i w:val="0"/>
        </w:rPr>
        <w:t xml:space="preserve">Applying it in SAM.  </w:t>
      </w:r>
      <w:r>
        <w:t>Cognate exposures with parallel mechanisms support 1–2 (for example, one micronutrient behaving like another with a shared pathway). Expert-recognised analogies count even when the paper does not state them.</w:t>
      </w:r>
    </w:p>
    <w:p>
      <w:pPr>
        <w:spacing w:after="40"/>
      </w:pPr>
      <w:r>
        <w:rPr>
          <w:b/>
          <w:i w:val="0"/>
        </w:rPr>
        <w:t xml:space="preserve">Example.  </w:t>
      </w:r>
      <w:r>
        <w:t>Vitamin A → infection mortality is a strong analogy for other micronutrient → infection edges.</w:t>
      </w:r>
    </w:p>
    <w:p>
      <w:pPr>
        <w:spacing w:after="160"/>
      </w:pPr>
      <w:r>
        <w:rPr>
          <w:b/>
          <w:i w:val="0"/>
        </w:rPr>
        <w:t xml:space="preserve">Common error.  </w:t>
      </w:r>
      <w:r>
        <w:t>Do not require the review to spell out the analogy — a recognised cognate relationship is enough; note which one you used.</w:t>
      </w:r>
    </w:p>
    <w:p>
      <w:r>
        <w:br w:type="page"/>
      </w:r>
    </w:p>
    <w:p>
      <w:pPr>
        <w:pStyle w:val="Heading1"/>
      </w:pPr>
      <w:r>
        <w:rPr>
          <w:b w:val="0"/>
          <w:i w:val="0"/>
        </w:rPr>
        <w:t>8.  From your six scores to a tier</w:t>
      </w:r>
    </w:p>
    <w:p>
      <w:r>
        <w:rPr>
          <w:b w:val="0"/>
          <w:i w:val="0"/>
        </w:rPr>
        <w:t>The six criteria sum to the Bradford Hill total (0–12). For a single representative review the QWoE equals that total, so the provisional tier is read straight off it:</w:t>
      </w:r>
    </w:p>
    <w:tbl>
      <w:tblPr>
        <w:tblW w:type="auto" w:w="0"/>
        <w:jc w:val="center"/>
        <w:tblLayout w:type="autofit"/>
        <w:tblLook w:firstColumn="1" w:firstRow="1" w:lastColumn="0" w:lastRow="0" w:noHBand="0" w:noVBand="1" w:val="04A0"/>
      </w:tblPr>
      <w:tblGrid>
        <w:gridCol w:w="4824"/>
        <w:gridCol w:w="4824"/>
      </w:tblGrid>
      <w:tr>
        <w:tc>
          <w:tcPr>
            <w:tcW w:type="dxa" w:w="3456"/>
            <w:tcBorders>
              <w:top w:val="single" w:sz="14" w:space="0" w:color="000000"/>
              <w:bottom w:val="single" w:sz="6" w:space="0" w:color="000000"/>
            </w:tcBorders>
          </w:tcPr>
          <w:p>
            <w:pPr>
              <w:spacing w:after="40" w:before="40"/>
            </w:pPr>
            <w:r>
              <w:rPr>
                <w:b/>
              </w:rPr>
            </w:r>
            <w:r>
              <w:rPr>
                <w:rFonts w:ascii="Arial" w:hAnsi="Arial"/>
                <w:b/>
                <w:color w:val="000000"/>
                <w:sz w:val="19"/>
              </w:rPr>
              <w:t>Bradford Hill total</w:t>
            </w:r>
          </w:p>
        </w:tc>
        <w:tc>
          <w:tcPr>
            <w:tcW w:type="dxa" w:w="3456"/>
            <w:tcBorders>
              <w:top w:val="single" w:sz="14" w:space="0" w:color="000000"/>
              <w:bottom w:val="single" w:sz="6" w:space="0" w:color="000000"/>
            </w:tcBorders>
          </w:tcPr>
          <w:p>
            <w:pPr>
              <w:spacing w:after="40" w:before="40"/>
            </w:pPr>
            <w:r>
              <w:rPr>
                <w:b/>
              </w:rPr>
            </w:r>
            <w:r>
              <w:rPr>
                <w:rFonts w:ascii="Arial" w:hAnsi="Arial"/>
                <w:b/>
                <w:color w:val="000000"/>
                <w:sz w:val="19"/>
              </w:rPr>
              <w:t>Provisional tier</w:t>
            </w:r>
          </w:p>
        </w:tc>
      </w:tr>
      <w:tr>
        <w:tc>
          <w:tcPr>
            <w:tcW w:type="dxa" w:w="3456"/>
          </w:tcPr>
          <w:p>
            <w:pPr>
              <w:spacing w:after="40" w:before="40"/>
            </w:pPr>
            <w:r/>
            <w:r>
              <w:rPr>
                <w:rFonts w:ascii="Arial" w:hAnsi="Arial"/>
                <w:b w:val="0"/>
                <w:color w:val="000000"/>
                <w:sz w:val="19"/>
              </w:rPr>
              <w:t>8 – 12</w:t>
            </w:r>
          </w:p>
        </w:tc>
        <w:tc>
          <w:tcPr>
            <w:tcW w:type="dxa" w:w="3456"/>
          </w:tcPr>
          <w:p>
            <w:pPr>
              <w:spacing w:after="40" w:before="40"/>
            </w:pPr>
            <w:r/>
            <w:r>
              <w:rPr>
                <w:rFonts w:ascii="Arial" w:hAnsi="Arial"/>
                <w:b w:val="0"/>
                <w:color w:val="000000"/>
                <w:sz w:val="19"/>
              </w:rPr>
              <w:t>Strong</w:t>
            </w:r>
          </w:p>
        </w:tc>
      </w:tr>
      <w:tr>
        <w:tc>
          <w:tcPr>
            <w:tcW w:type="dxa" w:w="3456"/>
          </w:tcPr>
          <w:p>
            <w:pPr>
              <w:spacing w:after="40" w:before="40"/>
            </w:pPr>
            <w:r/>
            <w:r>
              <w:rPr>
                <w:rFonts w:ascii="Arial" w:hAnsi="Arial"/>
                <w:b w:val="0"/>
                <w:color w:val="000000"/>
                <w:sz w:val="19"/>
              </w:rPr>
              <w:t>5 – 7</w:t>
            </w:r>
          </w:p>
        </w:tc>
        <w:tc>
          <w:tcPr>
            <w:tcW w:type="dxa" w:w="3456"/>
          </w:tcPr>
          <w:p>
            <w:pPr>
              <w:spacing w:after="40" w:before="40"/>
            </w:pPr>
            <w:r/>
            <w:r>
              <w:rPr>
                <w:rFonts w:ascii="Arial" w:hAnsi="Arial"/>
                <w:b w:val="0"/>
                <w:color w:val="000000"/>
                <w:sz w:val="19"/>
              </w:rPr>
              <w:t>Moderate</w:t>
            </w:r>
          </w:p>
        </w:tc>
      </w:tr>
      <w:tr>
        <w:tc>
          <w:tcPr>
            <w:tcW w:type="dxa" w:w="3456"/>
          </w:tcPr>
          <w:p>
            <w:pPr>
              <w:spacing w:after="40" w:before="40"/>
            </w:pPr>
            <w:r/>
            <w:r>
              <w:rPr>
                <w:rFonts w:ascii="Arial" w:hAnsi="Arial"/>
                <w:b w:val="0"/>
                <w:color w:val="000000"/>
                <w:sz w:val="19"/>
              </w:rPr>
              <w:t>3 – 4</w:t>
            </w:r>
          </w:p>
        </w:tc>
        <w:tc>
          <w:tcPr>
            <w:tcW w:type="dxa" w:w="3456"/>
          </w:tcPr>
          <w:p>
            <w:pPr>
              <w:spacing w:after="40" w:before="40"/>
            </w:pPr>
            <w:r/>
            <w:r>
              <w:rPr>
                <w:rFonts w:ascii="Arial" w:hAnsi="Arial"/>
                <w:b w:val="0"/>
                <w:color w:val="000000"/>
                <w:sz w:val="19"/>
              </w:rPr>
              <w:t>Probable</w:t>
            </w:r>
          </w:p>
        </w:tc>
      </w:tr>
      <w:tr>
        <w:tc>
          <w:tcPr>
            <w:tcW w:type="dxa" w:w="3456"/>
            <w:tcBorders>
              <w:bottom w:val="single" w:sz="14" w:space="0" w:color="000000"/>
            </w:tcBorders>
          </w:tcPr>
          <w:p>
            <w:pPr>
              <w:spacing w:after="40" w:before="40"/>
            </w:pPr>
            <w:r/>
            <w:r>
              <w:rPr>
                <w:rFonts w:ascii="Arial" w:hAnsi="Arial"/>
                <w:b w:val="0"/>
                <w:color w:val="000000"/>
                <w:sz w:val="19"/>
              </w:rPr>
              <w:t>0 – 2</w:t>
            </w:r>
          </w:p>
        </w:tc>
        <w:tc>
          <w:tcPr>
            <w:tcW w:type="dxa" w:w="3456"/>
            <w:tcBorders>
              <w:bottom w:val="single" w:sz="14" w:space="0" w:color="000000"/>
            </w:tcBorders>
          </w:tcPr>
          <w:p>
            <w:pPr>
              <w:spacing w:after="40" w:before="40"/>
            </w:pPr>
            <w:r/>
            <w:r>
              <w:rPr>
                <w:rFonts w:ascii="Arial" w:hAnsi="Arial"/>
                <w:b w:val="0"/>
                <w:color w:val="000000"/>
                <w:sz w:val="19"/>
              </w:rPr>
              <w:t>Uncertain</w:t>
            </w:r>
          </w:p>
        </w:tc>
      </w:tr>
    </w:tbl>
    <w:p>
      <w:pPr>
        <w:spacing w:after="40"/>
      </w:pPr>
    </w:p>
    <w:p>
      <w:r>
        <w:rPr>
          <w:b w:val="0"/>
          <w:i w:val="0"/>
        </w:rPr>
        <w:t>After both assessors finish, the agreement between you (ICC per criterion and for the total) is reported, every disagreement on the worklist is resolved by discussion or a third reviewer, and the agreed Bradford Hill scores are combined with the AMSTAR-2 weight to give each edge its final QWoE and tier. The boundaries are then stress-tested by ±0.5 points. None of this needs you to calculate anything — score the six criteria honestly and the rest follows.</w:t>
      </w:r>
    </w:p>
    <w:p>
      <w:pPr>
        <w:pStyle w:val="Heading1"/>
      </w:pPr>
      <w:r>
        <w:rPr>
          <w:b w:val="0"/>
          <w:i w:val="0"/>
        </w:rPr>
        <w:t>9.  A worked example, end to end</w:t>
      </w:r>
    </w:p>
    <w:p>
      <w:r>
        <w:rPr>
          <w:b w:val="0"/>
          <w:i w:val="0"/>
        </w:rPr>
        <w:t>Edge: co-trimoxazole prophylaxis → all-cause mortality (post-discharge). Evidence shown: HR 0.90 (0.71–1.16) from a single randomised trial within the anchor review; GRADE Moderate; AMSTAR-2 Moderate; 1 primary study.</w:t>
      </w:r>
    </w:p>
    <w:tbl>
      <w:tblPr>
        <w:tblW w:type="auto" w:w="0"/>
        <w:jc w:val="center"/>
        <w:tblLayout w:type="autofit"/>
        <w:tblLook w:firstColumn="1" w:firstRow="1" w:lastColumn="0" w:lastRow="0" w:noHBand="0" w:noVBand="1" w:val="04A0"/>
      </w:tblPr>
      <w:tblGrid>
        <w:gridCol w:w="3216"/>
        <w:gridCol w:w="3216"/>
        <w:gridCol w:w="3216"/>
      </w:tblGrid>
      <w:tr>
        <w:tc>
          <w:tcPr>
            <w:tcW w:type="dxa" w:w="2016"/>
            <w:tcBorders>
              <w:top w:val="single" w:sz="14" w:space="0" w:color="000000"/>
              <w:bottom w:val="single" w:sz="6" w:space="0" w:color="000000"/>
            </w:tcBorders>
          </w:tcPr>
          <w:p>
            <w:pPr>
              <w:spacing w:after="40" w:before="40"/>
            </w:pPr>
            <w:r>
              <w:rPr>
                <w:b/>
              </w:rPr>
            </w:r>
            <w:r>
              <w:rPr>
                <w:rFonts w:ascii="Arial" w:hAnsi="Arial"/>
                <w:b/>
                <w:color w:val="000000"/>
                <w:sz w:val="19"/>
              </w:rPr>
              <w:t>Criterion</w:t>
            </w:r>
          </w:p>
        </w:tc>
        <w:tc>
          <w:tcPr>
            <w:tcW w:type="dxa" w:w="1152"/>
            <w:tcBorders>
              <w:top w:val="single" w:sz="14" w:space="0" w:color="000000"/>
              <w:bottom w:val="single" w:sz="6" w:space="0" w:color="000000"/>
            </w:tcBorders>
          </w:tcPr>
          <w:p>
            <w:pPr>
              <w:spacing w:after="40" w:before="40"/>
            </w:pPr>
            <w:r>
              <w:rPr>
                <w:b/>
              </w:rPr>
            </w:r>
            <w:r>
              <w:rPr>
                <w:rFonts w:ascii="Arial" w:hAnsi="Arial"/>
                <w:b/>
                <w:color w:val="000000"/>
                <w:sz w:val="19"/>
              </w:rPr>
              <w:t>Score</w:t>
            </w:r>
          </w:p>
        </w:tc>
        <w:tc>
          <w:tcPr>
            <w:tcW w:type="dxa" w:w="6480"/>
            <w:tcBorders>
              <w:top w:val="single" w:sz="14" w:space="0" w:color="000000"/>
              <w:bottom w:val="single" w:sz="6" w:space="0" w:color="000000"/>
            </w:tcBorders>
          </w:tcPr>
          <w:p>
            <w:pPr>
              <w:spacing w:after="40" w:before="40"/>
            </w:pPr>
            <w:r>
              <w:rPr>
                <w:b/>
              </w:rPr>
            </w:r>
            <w:r>
              <w:rPr>
                <w:rFonts w:ascii="Arial" w:hAnsi="Arial"/>
                <w:b/>
                <w:color w:val="000000"/>
                <w:sz w:val="19"/>
              </w:rPr>
              <w:t>Reasoning</w:t>
            </w:r>
          </w:p>
        </w:tc>
      </w:tr>
      <w:tr>
        <w:tc>
          <w:tcPr>
            <w:tcW w:type="dxa" w:w="2016"/>
          </w:tcPr>
          <w:p>
            <w:pPr>
              <w:spacing w:after="40" w:before="40"/>
            </w:pPr>
            <w:r/>
            <w:r>
              <w:rPr>
                <w:rFonts w:ascii="Arial" w:hAnsi="Arial"/>
                <w:b w:val="0"/>
                <w:color w:val="000000"/>
                <w:sz w:val="19"/>
              </w:rPr>
              <w:t>Strength</w:t>
            </w:r>
          </w:p>
        </w:tc>
        <w:tc>
          <w:tcPr>
            <w:tcW w:type="dxa" w:w="1152"/>
          </w:tcPr>
          <w:p>
            <w:pPr>
              <w:spacing w:after="40" w:before="40"/>
            </w:pPr>
            <w:r/>
            <w:r>
              <w:rPr>
                <w:rFonts w:ascii="Arial" w:hAnsi="Arial"/>
                <w:b w:val="0"/>
                <w:color w:val="000000"/>
                <w:sz w:val="19"/>
              </w:rPr>
              <w:t>0</w:t>
            </w:r>
          </w:p>
        </w:tc>
        <w:tc>
          <w:tcPr>
            <w:tcW w:type="dxa" w:w="6480"/>
          </w:tcPr>
          <w:p>
            <w:pPr>
              <w:spacing w:after="40" w:before="40"/>
            </w:pPr>
            <w:r/>
            <w:r>
              <w:rPr>
                <w:rFonts w:ascii="Arial" w:hAnsi="Arial"/>
                <w:b w:val="0"/>
                <w:color w:val="000000"/>
                <w:sz w:val="19"/>
              </w:rPr>
              <w:t>HR 0.90 with a CI crossing 1 — the CI includes the null, so 0.</w:t>
            </w:r>
          </w:p>
        </w:tc>
      </w:tr>
      <w:tr>
        <w:tc>
          <w:tcPr>
            <w:tcW w:type="dxa" w:w="2016"/>
          </w:tcPr>
          <w:p>
            <w:pPr>
              <w:spacing w:after="40" w:before="40"/>
            </w:pPr>
            <w:r/>
            <w:r>
              <w:rPr>
                <w:rFonts w:ascii="Arial" w:hAnsi="Arial"/>
                <w:b w:val="0"/>
                <w:color w:val="000000"/>
                <w:sz w:val="19"/>
              </w:rPr>
              <w:t>Consistency</w:t>
            </w:r>
          </w:p>
        </w:tc>
        <w:tc>
          <w:tcPr>
            <w:tcW w:type="dxa" w:w="1152"/>
          </w:tcPr>
          <w:p>
            <w:pPr>
              <w:spacing w:after="40" w:before="40"/>
            </w:pPr>
            <w:r/>
            <w:r>
              <w:rPr>
                <w:rFonts w:ascii="Arial" w:hAnsi="Arial"/>
                <w:b w:val="0"/>
                <w:color w:val="000000"/>
                <w:sz w:val="19"/>
              </w:rPr>
              <w:t>1</w:t>
            </w:r>
          </w:p>
        </w:tc>
        <w:tc>
          <w:tcPr>
            <w:tcW w:type="dxa" w:w="6480"/>
          </w:tcPr>
          <w:p>
            <w:pPr>
              <w:spacing w:after="40" w:before="40"/>
            </w:pPr>
            <w:r/>
            <w:r>
              <w:rPr>
                <w:rFonts w:ascii="Arial" w:hAnsi="Arial"/>
                <w:b w:val="0"/>
                <w:color w:val="000000"/>
                <w:sz w:val="19"/>
              </w:rPr>
              <w:t>One trial only; supportive external prophylaxis evidence prevents a 0.</w:t>
            </w:r>
          </w:p>
        </w:tc>
      </w:tr>
      <w:tr>
        <w:tc>
          <w:tcPr>
            <w:tcW w:type="dxa" w:w="2016"/>
          </w:tcPr>
          <w:p>
            <w:pPr>
              <w:spacing w:after="40" w:before="40"/>
            </w:pPr>
            <w:r/>
            <w:r>
              <w:rPr>
                <w:rFonts w:ascii="Arial" w:hAnsi="Arial"/>
                <w:b w:val="0"/>
                <w:color w:val="000000"/>
                <w:sz w:val="19"/>
              </w:rPr>
              <w:t>Temporality</w:t>
            </w:r>
          </w:p>
        </w:tc>
        <w:tc>
          <w:tcPr>
            <w:tcW w:type="dxa" w:w="1152"/>
          </w:tcPr>
          <w:p>
            <w:pPr>
              <w:spacing w:after="40" w:before="40"/>
            </w:pPr>
            <w:r/>
            <w:r>
              <w:rPr>
                <w:rFonts w:ascii="Arial" w:hAnsi="Arial"/>
                <w:b w:val="0"/>
                <w:color w:val="000000"/>
                <w:sz w:val="19"/>
              </w:rPr>
              <w:t>2</w:t>
            </w:r>
          </w:p>
        </w:tc>
        <w:tc>
          <w:tcPr>
            <w:tcW w:type="dxa" w:w="6480"/>
          </w:tcPr>
          <w:p>
            <w:pPr>
              <w:spacing w:after="40" w:before="40"/>
            </w:pPr>
            <w:r/>
            <w:r>
              <w:rPr>
                <w:rFonts w:ascii="Arial" w:hAnsi="Arial"/>
                <w:b w:val="0"/>
                <w:color w:val="000000"/>
                <w:sz w:val="19"/>
              </w:rPr>
              <w:t>Randomised: prophylaxis assigned, then mortality observed.</w:t>
            </w:r>
          </w:p>
        </w:tc>
      </w:tr>
      <w:tr>
        <w:tc>
          <w:tcPr>
            <w:tcW w:type="dxa" w:w="2016"/>
          </w:tcPr>
          <w:p>
            <w:pPr>
              <w:spacing w:after="40" w:before="40"/>
            </w:pPr>
            <w:r/>
            <w:r>
              <w:rPr>
                <w:rFonts w:ascii="Arial" w:hAnsi="Arial"/>
                <w:b w:val="0"/>
                <w:color w:val="000000"/>
                <w:sz w:val="19"/>
              </w:rPr>
              <w:t>Plausibility</w:t>
            </w:r>
          </w:p>
        </w:tc>
        <w:tc>
          <w:tcPr>
            <w:tcW w:type="dxa" w:w="1152"/>
          </w:tcPr>
          <w:p>
            <w:pPr>
              <w:spacing w:after="40" w:before="40"/>
            </w:pPr>
            <w:r/>
            <w:r>
              <w:rPr>
                <w:rFonts w:ascii="Arial" w:hAnsi="Arial"/>
                <w:b w:val="0"/>
                <w:color w:val="000000"/>
                <w:sz w:val="19"/>
              </w:rPr>
              <w:t>2</w:t>
            </w:r>
          </w:p>
        </w:tc>
        <w:tc>
          <w:tcPr>
            <w:tcW w:type="dxa" w:w="6480"/>
          </w:tcPr>
          <w:p>
            <w:pPr>
              <w:spacing w:after="40" w:before="40"/>
            </w:pPr>
            <w:r/>
            <w:r>
              <w:rPr>
                <w:rFonts w:ascii="Arial" w:hAnsi="Arial"/>
                <w:b w:val="0"/>
                <w:color w:val="000000"/>
                <w:sz w:val="19"/>
              </w:rPr>
              <w:t>Clear mechanism — infection control in immunocompromised children.</w:t>
            </w:r>
          </w:p>
        </w:tc>
      </w:tr>
      <w:tr>
        <w:tc>
          <w:tcPr>
            <w:tcW w:type="dxa" w:w="2016"/>
          </w:tcPr>
          <w:p>
            <w:pPr>
              <w:spacing w:after="40" w:before="40"/>
            </w:pPr>
            <w:r/>
            <w:r>
              <w:rPr>
                <w:rFonts w:ascii="Arial" w:hAnsi="Arial"/>
                <w:b w:val="0"/>
                <w:color w:val="000000"/>
                <w:sz w:val="19"/>
              </w:rPr>
              <w:t>Coherence</w:t>
            </w:r>
          </w:p>
        </w:tc>
        <w:tc>
          <w:tcPr>
            <w:tcW w:type="dxa" w:w="1152"/>
          </w:tcPr>
          <w:p>
            <w:pPr>
              <w:spacing w:after="40" w:before="40"/>
            </w:pPr>
            <w:r/>
            <w:r>
              <w:rPr>
                <w:rFonts w:ascii="Arial" w:hAnsi="Arial"/>
                <w:b w:val="0"/>
                <w:color w:val="000000"/>
                <w:sz w:val="19"/>
              </w:rPr>
              <w:t>2</w:t>
            </w:r>
          </w:p>
        </w:tc>
        <w:tc>
          <w:tcPr>
            <w:tcW w:type="dxa" w:w="6480"/>
          </w:tcPr>
          <w:p>
            <w:pPr>
              <w:spacing w:after="40" w:before="40"/>
            </w:pPr>
            <w:r/>
            <w:r>
              <w:rPr>
                <w:rFonts w:ascii="Arial" w:hAnsi="Arial"/>
                <w:b w:val="0"/>
                <w:color w:val="000000"/>
                <w:sz w:val="19"/>
              </w:rPr>
              <w:t>Fits the known infection-driven post-discharge mortality pathway.</w:t>
            </w:r>
          </w:p>
        </w:tc>
      </w:tr>
      <w:tr>
        <w:tc>
          <w:tcPr>
            <w:tcW w:type="dxa" w:w="2016"/>
            <w:tcBorders>
              <w:bottom w:val="single" w:sz="14" w:space="0" w:color="000000"/>
            </w:tcBorders>
          </w:tcPr>
          <w:p>
            <w:pPr>
              <w:spacing w:after="40" w:before="40"/>
            </w:pPr>
            <w:r/>
            <w:r>
              <w:rPr>
                <w:rFonts w:ascii="Arial" w:hAnsi="Arial"/>
                <w:b w:val="0"/>
                <w:color w:val="000000"/>
                <w:sz w:val="19"/>
              </w:rPr>
              <w:t>Analogy</w:t>
            </w:r>
          </w:p>
        </w:tc>
        <w:tc>
          <w:tcPr>
            <w:tcW w:type="dxa" w:w="1152"/>
            <w:tcBorders>
              <w:bottom w:val="single" w:sz="14" w:space="0" w:color="000000"/>
            </w:tcBorders>
          </w:tcPr>
          <w:p>
            <w:pPr>
              <w:spacing w:after="40" w:before="40"/>
            </w:pPr>
            <w:r/>
            <w:r>
              <w:rPr>
                <w:rFonts w:ascii="Arial" w:hAnsi="Arial"/>
                <w:b w:val="0"/>
                <w:color w:val="000000"/>
                <w:sz w:val="19"/>
              </w:rPr>
              <w:t>1</w:t>
            </w:r>
          </w:p>
        </w:tc>
        <w:tc>
          <w:tcPr>
            <w:tcW w:type="dxa" w:w="6480"/>
            <w:tcBorders>
              <w:bottom w:val="single" w:sz="14" w:space="0" w:color="000000"/>
            </w:tcBorders>
          </w:tcPr>
          <w:p>
            <w:pPr>
              <w:spacing w:after="40" w:before="40"/>
            </w:pPr>
            <w:r/>
            <w:r>
              <w:rPr>
                <w:rFonts w:ascii="Arial" w:hAnsi="Arial"/>
                <w:b w:val="0"/>
                <w:color w:val="000000"/>
                <w:sz w:val="19"/>
              </w:rPr>
              <w:t>Cognate antibiotic-prophylaxis effects in similar populations.</w:t>
            </w:r>
          </w:p>
        </w:tc>
      </w:tr>
    </w:tbl>
    <w:p>
      <w:pPr>
        <w:spacing w:after="40"/>
      </w:pPr>
    </w:p>
    <w:p>
      <w:r>
        <w:rPr>
          <w:b w:val="0"/>
          <w:i w:val="0"/>
        </w:rPr>
        <w:t>Bradford Hill total = 0 + 1 + 2 + 2 + 2 + 1 = 8 → provisional tier Moderate to Strong, on the boundary. This is exactly the kind of edge worth a note and, if you are unsure, a flag — boundary cases are where a second opinion matters most.</w:t>
      </w:r>
    </w:p>
    <w:p>
      <w:pPr>
        <w:pStyle w:val="Heading1"/>
      </w:pPr>
      <w:r>
        <w:rPr>
          <w:b w:val="0"/>
          <w:i w:val="0"/>
        </w:rPr>
        <w:t>10.  Flagging and what happens next</w:t>
      </w:r>
    </w:p>
    <w:p>
      <w:pPr>
        <w:pStyle w:val="ListBullet"/>
        <w:spacing w:after="60"/>
      </w:pPr>
      <w:r>
        <w:rPr>
          <w:b/>
        </w:rPr>
        <w:t xml:space="preserve">Flag an edge when </w:t>
      </w:r>
      <w:r>
        <w:t>the evidence shown seems too thin to score confidently;</w:t>
      </w:r>
    </w:p>
    <w:p>
      <w:pPr>
        <w:pStyle w:val="ListBullet"/>
        <w:spacing w:after="60"/>
      </w:pPr>
      <w:r>
        <w:rPr>
          <w:b/>
        </w:rPr>
        <w:t xml:space="preserve">Flag when </w:t>
      </w:r>
      <w:r>
        <w:t>you find yourself torn between two scores on a criterion;</w:t>
      </w:r>
    </w:p>
    <w:p>
      <w:pPr>
        <w:pStyle w:val="ListBullet"/>
        <w:spacing w:after="60"/>
      </w:pPr>
      <w:r>
        <w:rPr>
          <w:b/>
        </w:rPr>
        <w:t xml:space="preserve">Flag when </w:t>
      </w:r>
      <w:r>
        <w:t>you suspect the effect estimate or the source review may be mismatched to the edge.</w:t>
      </w:r>
    </w:p>
    <w:p>
      <w:r>
        <w:rPr>
          <w:b w:val="0"/>
          <w:i w:val="0"/>
        </w:rPr>
        <w:t>Every flagged edge, every edge where the two assessors land in different tiers, and every edge with a large gap on any criterion goes onto an adjudication worklist. You and the first assessor (with a third reviewer if needed) settle those together. The inter-rater agreement is reported in the methods; the reconciled tiers become the figures. Your independent scores — including your disagreements — are precisely what the process needs.</w:t>
      </w:r>
    </w:p>
    <w:p>
      <w:r>
        <w:br w:type="page"/>
      </w:r>
    </w:p>
    <w:p>
      <w:pPr>
        <w:pStyle w:val="Heading1"/>
      </w:pPr>
      <w:r>
        <w:rPr>
          <w:b w:val="0"/>
          <w:i w:val="0"/>
        </w:rPr>
        <w:t>Quick-reference card</w:t>
      </w:r>
    </w:p>
    <w:p>
      <w:pPr>
        <w:spacing w:after="120"/>
      </w:pPr>
      <w:r>
        <w:rPr>
          <w:b w:val="0"/>
          <w:i w:val="0"/>
          <w:sz w:val="20"/>
        </w:rPr>
        <w:t>Score each criterion 0 / 1 / 2. Sum = Bradford Hill total (0–12).</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1728"/>
            <w:tcBorders>
              <w:top w:val="single" w:sz="14" w:space="0" w:color="000000"/>
              <w:bottom w:val="single" w:sz="6" w:space="0" w:color="000000"/>
            </w:tcBorders>
          </w:tcPr>
          <w:p>
            <w:pPr>
              <w:spacing w:after="40" w:before="40"/>
            </w:pPr>
            <w:r>
              <w:rPr>
                <w:b/>
              </w:rPr>
            </w:r>
            <w:r>
              <w:rPr>
                <w:rFonts w:ascii="Arial" w:hAnsi="Arial"/>
                <w:b/>
                <w:color w:val="000000"/>
                <w:sz w:val="17"/>
              </w:rPr>
              <w:t>Criterion</w:t>
            </w:r>
          </w:p>
        </w:tc>
        <w:tc>
          <w:tcPr>
            <w:tcW w:type="dxa" w:w="2664"/>
            <w:tcBorders>
              <w:top w:val="single" w:sz="14" w:space="0" w:color="000000"/>
              <w:bottom w:val="single" w:sz="6" w:space="0" w:color="000000"/>
            </w:tcBorders>
          </w:tcPr>
          <w:p>
            <w:pPr>
              <w:spacing w:after="40" w:before="40"/>
            </w:pPr>
            <w:r>
              <w:rPr>
                <w:b/>
              </w:rPr>
            </w:r>
            <w:r>
              <w:rPr>
                <w:rFonts w:ascii="Arial" w:hAnsi="Arial"/>
                <w:b/>
                <w:color w:val="000000"/>
                <w:sz w:val="17"/>
              </w:rPr>
              <w:t>0</w:t>
            </w:r>
          </w:p>
        </w:tc>
        <w:tc>
          <w:tcPr>
            <w:tcW w:type="dxa" w:w="2448"/>
            <w:tcBorders>
              <w:top w:val="single" w:sz="14" w:space="0" w:color="000000"/>
              <w:bottom w:val="single" w:sz="6" w:space="0" w:color="000000"/>
            </w:tcBorders>
          </w:tcPr>
          <w:p>
            <w:pPr>
              <w:spacing w:after="40" w:before="40"/>
            </w:pPr>
            <w:r>
              <w:rPr>
                <w:b/>
              </w:rPr>
            </w:r>
            <w:r>
              <w:rPr>
                <w:rFonts w:ascii="Arial" w:hAnsi="Arial"/>
                <w:b/>
                <w:color w:val="000000"/>
                <w:sz w:val="17"/>
              </w:rPr>
              <w:t>1</w:t>
            </w:r>
          </w:p>
        </w:tc>
        <w:tc>
          <w:tcPr>
            <w:tcW w:type="dxa" w:w="2880"/>
            <w:tcBorders>
              <w:top w:val="single" w:sz="14" w:space="0" w:color="000000"/>
              <w:bottom w:val="single" w:sz="6" w:space="0" w:color="000000"/>
            </w:tcBorders>
          </w:tcPr>
          <w:p>
            <w:pPr>
              <w:spacing w:after="40" w:before="40"/>
            </w:pPr>
            <w:r>
              <w:rPr>
                <w:b/>
              </w:rPr>
            </w:r>
            <w:r>
              <w:rPr>
                <w:rFonts w:ascii="Arial" w:hAnsi="Arial"/>
                <w:b/>
                <w:color w:val="000000"/>
                <w:sz w:val="17"/>
              </w:rPr>
              <w:t>2</w:t>
            </w:r>
          </w:p>
        </w:tc>
      </w:tr>
      <w:tr>
        <w:tc>
          <w:tcPr>
            <w:tcW w:type="dxa" w:w="1728"/>
          </w:tcPr>
          <w:p>
            <w:pPr>
              <w:spacing w:after="40" w:before="40"/>
            </w:pPr>
            <w:r/>
            <w:r>
              <w:rPr>
                <w:rFonts w:ascii="Arial" w:hAnsi="Arial"/>
                <w:b w:val="0"/>
                <w:color w:val="000000"/>
                <w:sz w:val="17"/>
              </w:rPr>
              <w:t>Strength</w:t>
            </w:r>
          </w:p>
        </w:tc>
        <w:tc>
          <w:tcPr>
            <w:tcW w:type="dxa" w:w="2664"/>
          </w:tcPr>
          <w:p>
            <w:pPr>
              <w:spacing w:after="40" w:before="40"/>
            </w:pPr>
            <w:r/>
            <w:r>
              <w:rPr>
                <w:rFonts w:ascii="Arial" w:hAnsi="Arial"/>
                <w:b w:val="0"/>
                <w:color w:val="000000"/>
                <w:sz w:val="17"/>
              </w:rPr>
              <w:t>CI includes null / negligible</w:t>
            </w:r>
          </w:p>
        </w:tc>
        <w:tc>
          <w:tcPr>
            <w:tcW w:type="dxa" w:w="2448"/>
          </w:tcPr>
          <w:p>
            <w:pPr>
              <w:spacing w:after="40" w:before="40"/>
            </w:pPr>
            <w:r/>
            <w:r>
              <w:rPr>
                <w:rFonts w:ascii="Arial" w:hAnsi="Arial"/>
                <w:b w:val="0"/>
                <w:color w:val="000000"/>
                <w:sz w:val="17"/>
              </w:rPr>
              <w:t>CI excludes null, modest</w:t>
            </w:r>
          </w:p>
        </w:tc>
        <w:tc>
          <w:tcPr>
            <w:tcW w:type="dxa" w:w="2880"/>
          </w:tcPr>
          <w:p>
            <w:pPr>
              <w:spacing w:after="40" w:before="40"/>
            </w:pPr>
            <w:r/>
            <w:r>
              <w:rPr>
                <w:rFonts w:ascii="Arial" w:hAnsi="Arial"/>
                <w:b w:val="0"/>
                <w:color w:val="000000"/>
                <w:sz w:val="17"/>
              </w:rPr>
              <w:t>large effect, CI excludes null</w:t>
            </w:r>
          </w:p>
        </w:tc>
      </w:tr>
      <w:tr>
        <w:tc>
          <w:tcPr>
            <w:tcW w:type="dxa" w:w="1728"/>
          </w:tcPr>
          <w:p>
            <w:pPr>
              <w:spacing w:after="40" w:before="40"/>
            </w:pPr>
            <w:r/>
            <w:r>
              <w:rPr>
                <w:rFonts w:ascii="Arial" w:hAnsi="Arial"/>
                <w:b w:val="0"/>
                <w:color w:val="000000"/>
                <w:sz w:val="17"/>
              </w:rPr>
              <w:t>Consistency</w:t>
            </w:r>
          </w:p>
        </w:tc>
        <w:tc>
          <w:tcPr>
            <w:tcW w:type="dxa" w:w="2664"/>
          </w:tcPr>
          <w:p>
            <w:pPr>
              <w:spacing w:after="40" w:before="40"/>
            </w:pPr>
            <w:r/>
            <w:r>
              <w:rPr>
                <w:rFonts w:ascii="Arial" w:hAnsi="Arial"/>
                <w:b w:val="0"/>
                <w:color w:val="000000"/>
                <w:sz w:val="17"/>
              </w:rPr>
              <w:t>single study / contradictory</w:t>
            </w:r>
          </w:p>
        </w:tc>
        <w:tc>
          <w:tcPr>
            <w:tcW w:type="dxa" w:w="2448"/>
          </w:tcPr>
          <w:p>
            <w:pPr>
              <w:spacing w:after="40" w:before="40"/>
            </w:pPr>
            <w:r/>
            <w:r>
              <w:rPr>
                <w:rFonts w:ascii="Arial" w:hAnsi="Arial"/>
                <w:b w:val="0"/>
                <w:color w:val="000000"/>
                <w:sz w:val="17"/>
              </w:rPr>
              <w:t>partial</w:t>
            </w:r>
          </w:p>
        </w:tc>
        <w:tc>
          <w:tcPr>
            <w:tcW w:type="dxa" w:w="2880"/>
          </w:tcPr>
          <w:p>
            <w:pPr>
              <w:spacing w:after="40" w:before="40"/>
            </w:pPr>
            <w:r/>
            <w:r>
              <w:rPr>
                <w:rFonts w:ascii="Arial" w:hAnsi="Arial"/>
                <w:b w:val="0"/>
                <w:color w:val="000000"/>
                <w:sz w:val="17"/>
              </w:rPr>
              <w:t>consistent across studies</w:t>
            </w:r>
          </w:p>
        </w:tc>
      </w:tr>
      <w:tr>
        <w:tc>
          <w:tcPr>
            <w:tcW w:type="dxa" w:w="1728"/>
          </w:tcPr>
          <w:p>
            <w:pPr>
              <w:spacing w:after="40" w:before="40"/>
            </w:pPr>
            <w:r/>
            <w:r>
              <w:rPr>
                <w:rFonts w:ascii="Arial" w:hAnsi="Arial"/>
                <w:b w:val="0"/>
                <w:color w:val="000000"/>
                <w:sz w:val="17"/>
              </w:rPr>
              <w:t>Temporality</w:t>
            </w:r>
          </w:p>
        </w:tc>
        <w:tc>
          <w:tcPr>
            <w:tcW w:type="dxa" w:w="2664"/>
          </w:tcPr>
          <w:p>
            <w:pPr>
              <w:spacing w:after="40" w:before="40"/>
            </w:pPr>
            <w:r/>
            <w:r>
              <w:rPr>
                <w:rFonts w:ascii="Arial" w:hAnsi="Arial"/>
                <w:b w:val="0"/>
                <w:color w:val="000000"/>
                <w:sz w:val="17"/>
              </w:rPr>
              <w:t>cross-sectional / unclear</w:t>
            </w:r>
          </w:p>
        </w:tc>
        <w:tc>
          <w:tcPr>
            <w:tcW w:type="dxa" w:w="2448"/>
          </w:tcPr>
          <w:p>
            <w:pPr>
              <w:spacing w:after="40" w:before="40"/>
            </w:pPr>
            <w:r/>
            <w:r>
              <w:rPr>
                <w:rFonts w:ascii="Arial" w:hAnsi="Arial"/>
                <w:b w:val="0"/>
                <w:color w:val="000000"/>
                <w:sz w:val="17"/>
              </w:rPr>
              <w:t>partial sequence</w:t>
            </w:r>
          </w:p>
        </w:tc>
        <w:tc>
          <w:tcPr>
            <w:tcW w:type="dxa" w:w="2880"/>
          </w:tcPr>
          <w:p>
            <w:pPr>
              <w:spacing w:after="40" w:before="40"/>
            </w:pPr>
            <w:r/>
            <w:r>
              <w:rPr>
                <w:rFonts w:ascii="Arial" w:hAnsi="Arial"/>
                <w:b w:val="0"/>
                <w:color w:val="000000"/>
                <w:sz w:val="17"/>
              </w:rPr>
              <w:t>clear precedence (RCT, cohort)</w:t>
            </w:r>
          </w:p>
        </w:tc>
      </w:tr>
      <w:tr>
        <w:tc>
          <w:tcPr>
            <w:tcW w:type="dxa" w:w="1728"/>
          </w:tcPr>
          <w:p>
            <w:pPr>
              <w:spacing w:after="40" w:before="40"/>
            </w:pPr>
            <w:r/>
            <w:r>
              <w:rPr>
                <w:rFonts w:ascii="Arial" w:hAnsi="Arial"/>
                <w:b w:val="0"/>
                <w:color w:val="000000"/>
                <w:sz w:val="17"/>
              </w:rPr>
              <w:t>Plausibility</w:t>
            </w:r>
          </w:p>
        </w:tc>
        <w:tc>
          <w:tcPr>
            <w:tcW w:type="dxa" w:w="2664"/>
          </w:tcPr>
          <w:p>
            <w:pPr>
              <w:spacing w:after="40" w:before="40"/>
            </w:pPr>
            <w:r/>
            <w:r>
              <w:rPr>
                <w:rFonts w:ascii="Arial" w:hAnsi="Arial"/>
                <w:b w:val="0"/>
                <w:color w:val="000000"/>
                <w:sz w:val="17"/>
              </w:rPr>
              <w:t>no mechanism</w:t>
            </w:r>
          </w:p>
        </w:tc>
        <w:tc>
          <w:tcPr>
            <w:tcW w:type="dxa" w:w="2448"/>
          </w:tcPr>
          <w:p>
            <w:pPr>
              <w:spacing w:after="40" w:before="40"/>
            </w:pPr>
            <w:r/>
            <w:r>
              <w:rPr>
                <w:rFonts w:ascii="Arial" w:hAnsi="Arial"/>
                <w:b w:val="0"/>
                <w:color w:val="000000"/>
                <w:sz w:val="17"/>
              </w:rPr>
              <w:t>indirect / speculative</w:t>
            </w:r>
          </w:p>
        </w:tc>
        <w:tc>
          <w:tcPr>
            <w:tcW w:type="dxa" w:w="2880"/>
          </w:tcPr>
          <w:p>
            <w:pPr>
              <w:spacing w:after="40" w:before="40"/>
            </w:pPr>
            <w:r/>
            <w:r>
              <w:rPr>
                <w:rFonts w:ascii="Arial" w:hAnsi="Arial"/>
                <w:b w:val="0"/>
                <w:color w:val="000000"/>
                <w:sz w:val="17"/>
              </w:rPr>
              <w:t>strong, evidenced mechanism</w:t>
            </w:r>
          </w:p>
        </w:tc>
      </w:tr>
      <w:tr>
        <w:tc>
          <w:tcPr>
            <w:tcW w:type="dxa" w:w="1728"/>
          </w:tcPr>
          <w:p>
            <w:pPr>
              <w:spacing w:after="40" w:before="40"/>
            </w:pPr>
            <w:r/>
            <w:r>
              <w:rPr>
                <w:rFonts w:ascii="Arial" w:hAnsi="Arial"/>
                <w:b w:val="0"/>
                <w:color w:val="000000"/>
                <w:sz w:val="17"/>
              </w:rPr>
              <w:t>Coherence</w:t>
            </w:r>
          </w:p>
        </w:tc>
        <w:tc>
          <w:tcPr>
            <w:tcW w:type="dxa" w:w="2664"/>
          </w:tcPr>
          <w:p>
            <w:pPr>
              <w:spacing w:after="40" w:before="40"/>
            </w:pPr>
            <w:r/>
            <w:r>
              <w:rPr>
                <w:rFonts w:ascii="Arial" w:hAnsi="Arial"/>
                <w:b w:val="0"/>
                <w:color w:val="000000"/>
                <w:sz w:val="17"/>
              </w:rPr>
              <w:t>conflicts with knowledge</w:t>
            </w:r>
          </w:p>
        </w:tc>
        <w:tc>
          <w:tcPr>
            <w:tcW w:type="dxa" w:w="2448"/>
          </w:tcPr>
          <w:p>
            <w:pPr>
              <w:spacing w:after="40" w:before="40"/>
            </w:pPr>
            <w:r/>
            <w:r>
              <w:rPr>
                <w:rFonts w:ascii="Arial" w:hAnsi="Arial"/>
                <w:b w:val="0"/>
                <w:color w:val="000000"/>
                <w:sz w:val="17"/>
              </w:rPr>
              <w:t>partial fit</w:t>
            </w:r>
          </w:p>
        </w:tc>
        <w:tc>
          <w:tcPr>
            <w:tcW w:type="dxa" w:w="2880"/>
          </w:tcPr>
          <w:p>
            <w:pPr>
              <w:spacing w:after="40" w:before="40"/>
            </w:pPr>
            <w:r/>
            <w:r>
              <w:rPr>
                <w:rFonts w:ascii="Arial" w:hAnsi="Arial"/>
                <w:b w:val="0"/>
                <w:color w:val="000000"/>
                <w:sz w:val="17"/>
              </w:rPr>
              <w:t>coheres with biology / epidemiology</w:t>
            </w:r>
          </w:p>
        </w:tc>
      </w:tr>
      <w:tr>
        <w:tc>
          <w:tcPr>
            <w:tcW w:type="dxa" w:w="1728"/>
            <w:tcBorders>
              <w:bottom w:val="single" w:sz="14" w:space="0" w:color="000000"/>
            </w:tcBorders>
          </w:tcPr>
          <w:p>
            <w:pPr>
              <w:spacing w:after="40" w:before="40"/>
            </w:pPr>
            <w:r/>
            <w:r>
              <w:rPr>
                <w:rFonts w:ascii="Arial" w:hAnsi="Arial"/>
                <w:b w:val="0"/>
                <w:color w:val="000000"/>
                <w:sz w:val="17"/>
              </w:rPr>
              <w:t>Analogy</w:t>
            </w:r>
          </w:p>
        </w:tc>
        <w:tc>
          <w:tcPr>
            <w:tcW w:type="dxa" w:w="2664"/>
            <w:tcBorders>
              <w:bottom w:val="single" w:sz="14" w:space="0" w:color="000000"/>
            </w:tcBorders>
          </w:tcPr>
          <w:p>
            <w:pPr>
              <w:spacing w:after="40" w:before="40"/>
            </w:pPr>
            <w:r/>
            <w:r>
              <w:rPr>
                <w:rFonts w:ascii="Arial" w:hAnsi="Arial"/>
                <w:b w:val="0"/>
                <w:color w:val="000000"/>
                <w:sz w:val="17"/>
              </w:rPr>
              <w:t>none known</w:t>
            </w:r>
          </w:p>
        </w:tc>
        <w:tc>
          <w:tcPr>
            <w:tcW w:type="dxa" w:w="2448"/>
            <w:tcBorders>
              <w:bottom w:val="single" w:sz="14" w:space="0" w:color="000000"/>
            </w:tcBorders>
          </w:tcPr>
          <w:p>
            <w:pPr>
              <w:spacing w:after="40" w:before="40"/>
            </w:pPr>
            <w:r/>
            <w:r>
              <w:rPr>
                <w:rFonts w:ascii="Arial" w:hAnsi="Arial"/>
                <w:b w:val="0"/>
                <w:color w:val="000000"/>
                <w:sz w:val="17"/>
              </w:rPr>
              <w:t>weak analogy</w:t>
            </w:r>
          </w:p>
        </w:tc>
        <w:tc>
          <w:tcPr>
            <w:tcW w:type="dxa" w:w="2880"/>
            <w:tcBorders>
              <w:bottom w:val="single" w:sz="14" w:space="0" w:color="000000"/>
            </w:tcBorders>
          </w:tcPr>
          <w:p>
            <w:pPr>
              <w:spacing w:after="40" w:before="40"/>
            </w:pPr>
            <w:r/>
            <w:r>
              <w:rPr>
                <w:rFonts w:ascii="Arial" w:hAnsi="Arial"/>
                <w:b w:val="0"/>
                <w:color w:val="000000"/>
                <w:sz w:val="17"/>
              </w:rPr>
              <w:t>strong cognate analogy</w:t>
            </w:r>
          </w:p>
        </w:tc>
      </w:tr>
    </w:tbl>
    <w:p>
      <w:pPr>
        <w:spacing w:after="40"/>
      </w:pP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440"/>
            <w:tcBorders>
              <w:top w:val="single" w:sz="14" w:space="0" w:color="000000"/>
              <w:bottom w:val="single" w:sz="6" w:space="0" w:color="000000"/>
            </w:tcBorders>
          </w:tcPr>
          <w:p>
            <w:pPr>
              <w:spacing w:after="40" w:before="40"/>
            </w:pPr>
            <w:r>
              <w:rPr>
                <w:b/>
              </w:rPr>
            </w:r>
            <w:r>
              <w:rPr>
                <w:rFonts w:ascii="Arial" w:hAnsi="Arial"/>
                <w:b/>
                <w:color w:val="000000"/>
                <w:sz w:val="18"/>
              </w:rPr>
              <w:t>Tier</w:t>
            </w:r>
          </w:p>
        </w:tc>
        <w:tc>
          <w:tcPr>
            <w:tcW w:type="dxa" w:w="1872"/>
            <w:tcBorders>
              <w:top w:val="single" w:sz="14" w:space="0" w:color="000000"/>
              <w:bottom w:val="single" w:sz="6" w:space="0" w:color="000000"/>
            </w:tcBorders>
          </w:tcPr>
          <w:p>
            <w:pPr>
              <w:spacing w:after="40" w:before="40"/>
            </w:pPr>
            <w:r>
              <w:rPr>
                <w:b/>
              </w:rPr>
            </w:r>
            <w:r>
              <w:rPr>
                <w:rFonts w:ascii="Arial" w:hAnsi="Arial"/>
                <w:b/>
                <w:color w:val="000000"/>
                <w:sz w:val="18"/>
              </w:rPr>
              <w:t>Strong</w:t>
            </w:r>
          </w:p>
        </w:tc>
        <w:tc>
          <w:tcPr>
            <w:tcW w:type="dxa" w:w="1872"/>
            <w:tcBorders>
              <w:top w:val="single" w:sz="14" w:space="0" w:color="000000"/>
              <w:bottom w:val="single" w:sz="6" w:space="0" w:color="000000"/>
            </w:tcBorders>
          </w:tcPr>
          <w:p>
            <w:pPr>
              <w:spacing w:after="40" w:before="40"/>
            </w:pPr>
            <w:r>
              <w:rPr>
                <w:b/>
              </w:rPr>
            </w:r>
            <w:r>
              <w:rPr>
                <w:rFonts w:ascii="Arial" w:hAnsi="Arial"/>
                <w:b/>
                <w:color w:val="000000"/>
                <w:sz w:val="18"/>
              </w:rPr>
              <w:t>Moderate</w:t>
            </w:r>
          </w:p>
        </w:tc>
        <w:tc>
          <w:tcPr>
            <w:tcW w:type="dxa" w:w="1872"/>
            <w:tcBorders>
              <w:top w:val="single" w:sz="14" w:space="0" w:color="000000"/>
              <w:bottom w:val="single" w:sz="6" w:space="0" w:color="000000"/>
            </w:tcBorders>
          </w:tcPr>
          <w:p>
            <w:pPr>
              <w:spacing w:after="40" w:before="40"/>
            </w:pPr>
            <w:r>
              <w:rPr>
                <w:b/>
              </w:rPr>
            </w:r>
            <w:r>
              <w:rPr>
                <w:rFonts w:ascii="Arial" w:hAnsi="Arial"/>
                <w:b/>
                <w:color w:val="000000"/>
                <w:sz w:val="18"/>
              </w:rPr>
              <w:t>Probable</w:t>
            </w:r>
          </w:p>
        </w:tc>
        <w:tc>
          <w:tcPr>
            <w:tcW w:type="dxa" w:w="1872"/>
            <w:tcBorders>
              <w:top w:val="single" w:sz="14" w:space="0" w:color="000000"/>
              <w:bottom w:val="single" w:sz="6" w:space="0" w:color="000000"/>
            </w:tcBorders>
          </w:tcPr>
          <w:p>
            <w:pPr>
              <w:spacing w:after="40" w:before="40"/>
            </w:pPr>
            <w:r>
              <w:rPr>
                <w:b/>
              </w:rPr>
            </w:r>
            <w:r>
              <w:rPr>
                <w:rFonts w:ascii="Arial" w:hAnsi="Arial"/>
                <w:b/>
                <w:color w:val="000000"/>
                <w:sz w:val="18"/>
              </w:rPr>
              <w:t>Uncertain</w:t>
            </w:r>
          </w:p>
        </w:tc>
      </w:tr>
      <w:tr>
        <w:tc>
          <w:tcPr>
            <w:tcW w:type="dxa" w:w="1440"/>
            <w:tcBorders>
              <w:bottom w:val="single" w:sz="14" w:space="0" w:color="000000"/>
            </w:tcBorders>
          </w:tcPr>
          <w:p>
            <w:pPr>
              <w:spacing w:after="40" w:before="40"/>
            </w:pPr>
            <w:r/>
            <w:r>
              <w:rPr>
                <w:rFonts w:ascii="Arial" w:hAnsi="Arial"/>
                <w:b w:val="0"/>
                <w:color w:val="000000"/>
                <w:sz w:val="18"/>
              </w:rPr>
              <w:t>BH total</w:t>
            </w:r>
          </w:p>
        </w:tc>
        <w:tc>
          <w:tcPr>
            <w:tcW w:type="dxa" w:w="1872"/>
            <w:tcBorders>
              <w:bottom w:val="single" w:sz="14" w:space="0" w:color="000000"/>
            </w:tcBorders>
          </w:tcPr>
          <w:p>
            <w:pPr>
              <w:spacing w:after="40" w:before="40"/>
            </w:pPr>
            <w:r/>
            <w:r>
              <w:rPr>
                <w:rFonts w:ascii="Arial" w:hAnsi="Arial"/>
                <w:b w:val="0"/>
                <w:color w:val="000000"/>
                <w:sz w:val="18"/>
              </w:rPr>
              <w:t>8 – 12</w:t>
            </w:r>
          </w:p>
        </w:tc>
        <w:tc>
          <w:tcPr>
            <w:tcW w:type="dxa" w:w="1872"/>
            <w:tcBorders>
              <w:bottom w:val="single" w:sz="14" w:space="0" w:color="000000"/>
            </w:tcBorders>
          </w:tcPr>
          <w:p>
            <w:pPr>
              <w:spacing w:after="40" w:before="40"/>
            </w:pPr>
            <w:r/>
            <w:r>
              <w:rPr>
                <w:rFonts w:ascii="Arial" w:hAnsi="Arial"/>
                <w:b w:val="0"/>
                <w:color w:val="000000"/>
                <w:sz w:val="18"/>
              </w:rPr>
              <w:t>5 – 7</w:t>
            </w:r>
          </w:p>
        </w:tc>
        <w:tc>
          <w:tcPr>
            <w:tcW w:type="dxa" w:w="1872"/>
            <w:tcBorders>
              <w:bottom w:val="single" w:sz="14" w:space="0" w:color="000000"/>
            </w:tcBorders>
          </w:tcPr>
          <w:p>
            <w:pPr>
              <w:spacing w:after="40" w:before="40"/>
            </w:pPr>
            <w:r/>
            <w:r>
              <w:rPr>
                <w:rFonts w:ascii="Arial" w:hAnsi="Arial"/>
                <w:b w:val="0"/>
                <w:color w:val="000000"/>
                <w:sz w:val="18"/>
              </w:rPr>
              <w:t>3 – 4</w:t>
            </w:r>
          </w:p>
        </w:tc>
        <w:tc>
          <w:tcPr>
            <w:tcW w:type="dxa" w:w="1872"/>
            <w:tcBorders>
              <w:bottom w:val="single" w:sz="14" w:space="0" w:color="000000"/>
            </w:tcBorders>
          </w:tcPr>
          <w:p>
            <w:pPr>
              <w:spacing w:after="40" w:before="40"/>
            </w:pPr>
            <w:r/>
            <w:r>
              <w:rPr>
                <w:rFonts w:ascii="Arial" w:hAnsi="Arial"/>
                <w:b w:val="0"/>
                <w:color w:val="000000"/>
                <w:sz w:val="18"/>
              </w:rPr>
              <w:t>0 – 2</w:t>
            </w:r>
          </w:p>
        </w:tc>
      </w:tr>
    </w:tbl>
    <w:p>
      <w:pPr>
        <w:spacing w:after="40"/>
      </w:pPr>
    </w:p>
    <w:p>
      <w:pPr>
        <w:spacing w:after="200"/>
      </w:pPr>
      <w:r>
        <w:rPr>
          <w:b w:val="0"/>
          <w:i w:val="0"/>
          <w:color w:val="555555"/>
          <w:sz w:val="18"/>
        </w:rPr>
        <w:t>Use established biology and expert knowledge — do not score 0 for paper silence. Cross-sectional → Temporality 0. Single study → Consistency ≤ 1. Flag anything you are unsure about.</w:t>
      </w:r>
    </w:p>
    <w:p>
      <w:pPr>
        <w:pStyle w:val="Heading2"/>
      </w:pPr>
      <w:r>
        <w:rPr>
          <w:b w:val="0"/>
          <w:i w:val="0"/>
        </w:rPr>
        <w:t>References</w:t>
      </w:r>
    </w:p>
    <w:p>
      <w:pPr>
        <w:spacing w:after="80"/>
      </w:pPr>
      <w:r>
        <w:rPr>
          <w:rFonts w:ascii="Arial" w:hAnsi="Arial"/>
          <w:sz w:val="18"/>
        </w:rPr>
        <w:t>Hill AB. The environment and disease: association or causation? Proc R Soc Med. 1965;58:295–300.</w:t>
      </w:r>
    </w:p>
    <w:p>
      <w:pPr>
        <w:spacing w:after="80"/>
      </w:pPr>
      <w:r>
        <w:rPr>
          <w:rFonts w:ascii="Arial" w:hAnsi="Arial"/>
          <w:sz w:val="18"/>
        </w:rPr>
        <w:t>Shea BJ, Reeves BC, Wells G, et al. AMSTAR 2: a critical appraisal tool for systematic reviews that include randomised or non-randomised studies of healthcare interventions, or both. BMJ. 2017;358:j4008.</w:t>
      </w:r>
    </w:p>
    <w:p>
      <w:pPr>
        <w:spacing w:after="80"/>
      </w:pPr>
      <w:r>
        <w:rPr>
          <w:rFonts w:ascii="Arial" w:hAnsi="Arial"/>
          <w:sz w:val="18"/>
        </w:rPr>
        <w:t>Guyatt GH, Oxman AD, Vist GE, et al. GRADE: an emerging consensus on rating quality of evidence and strength of recommendations. BMJ. 2008;336:924–926.</w:t>
      </w:r>
    </w:p>
    <w:p>
      <w:pPr>
        <w:spacing w:after="80"/>
      </w:pPr>
      <w:r>
        <w:rPr>
          <w:rFonts w:ascii="Arial" w:hAnsi="Arial"/>
          <w:sz w:val="18"/>
        </w:rPr>
        <w:t>CAMEO-SAM Evidence Synthesis Protocol (registered), PROSPERO CRD420261365391, Table 3 and supplementary S4–S6.</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55555"/>
        <w:sz w:val="17"/>
      </w:rPr>
      <w:t xml:space="preserve">Page </w:t>
    </w:r>
    <w:fldSimple w:instr="PAGE"/>
    <w:r>
      <w:rPr>
        <w:rFonts w:ascii="Arial" w:hAnsi="Arial"/>
        <w:color w:val="555555"/>
        <w:sz w:val="17"/>
      </w:rPr>
      <w:t xml:space="preserve">   ·   CAMEO-SAM Independent Assessor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