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 1 — Öğrenme Süreci ve Zorunlu Deney Analizi</w:t>
      </w:r>
    </w:p>
    <w:p>
      <w:pPr>
        <w:jc w:val="both"/>
      </w:pPr>
      <w:r>
        <w:t>Reyhan Onbaşı | Öğrenci No: 202612696008 | YSA F26</w:t>
      </w:r>
    </w:p>
    <w:p>
      <w:pPr>
        <w:pStyle w:val="Heading1"/>
        <w:keepNext/>
        <w:spacing w:before="140" w:after="40"/>
      </w:pPr>
      <w:r>
        <w:t>1. Problem ve veri kümesi</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t>Colab'ın 17 Ekim 2026 tarihli tek çalışma oturumunda 1.797 örnek, sınıf oranları korunarak 1.257 eğitim, 270 doğrulama ve 270 test örneğine ayrılmıştır. Ayrım indeksleri kaydedilmiş ve kümeler arasında kesişim olmadığı doğrulanmıştır. Ana model doğrulama makro F1 ölçütüyle, test kümesine bakılmadan seçilmiştir. Aynı veri ayrımı, beş başlangıç tohumu ve üç mimarinin üçer tekrarı için de korunmuştur.</w:t>
      </w:r>
    </w:p>
    <w:p>
      <w:pPr>
        <w:pStyle w:val="Heading1"/>
        <w:keepNext/>
        <w:spacing w:before="140" w:after="40"/>
      </w:pPr>
      <w:r>
        <w:t>2. Keşif, ön işleme ve veri ayrımı</w:t>
      </w:r>
    </w:p>
    <w:p>
      <w:pPr>
        <w:jc w:val="both"/>
      </w:pPr>
      <w: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pStyle w:val="Heading1"/>
        <w:keepNext/>
        <w:spacing w:before="140" w:after="40"/>
      </w:pPr>
      <w:r>
        <w:t>3. Karşılaştırılan algoritmalar</w:t>
      </w:r>
    </w:p>
    <w:p>
      <w:pPr>
        <w:jc w:val="both"/>
      </w:pPr>
      <w: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pStyle w:val="Heading1"/>
        <w:keepNext/>
        <w:spacing w:before="140" w:after="40"/>
      </w:pPr>
      <w:r>
        <w:t>4. Model eğitimi ve model seçimi</w:t>
      </w:r>
    </w:p>
    <w:p>
      <w:pPr>
        <w:jc w:val="both"/>
      </w:pPr>
      <w:r>
        <w:t>Ana deneyde klasik modeller eğitim kümesi içinde çapraz doğrulamayla ayarlanırken MLP-A, MLP-B ve CNN-C için doğrulama performansına göre erken durdurma uygulanmıştır. MLP-A 43, MLP-B 238, CNN-C ise 46 epoch çalışmış; CNN-C için en iyi epoch 28 olarak kaydedilmiştir. Beş tohumlu kararlılık analizinde ağ her koşuda sıfırdan kurulmuş, en düşük doğrulama kaybı ile ağırlıklar geri yüklenmiştir. Ek dokuz eğitim test kümesinde yeni bir model seçimi amacıyla kullanılmamıştır.</w:t>
      </w:r>
    </w:p>
    <w:p>
      <w:pPr>
        <w:jc w:val="both"/>
      </w:pPr>
      <w: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pStyle w:val="Heading1"/>
        <w:keepNext/>
        <w:spacing w:before="140" w:after="40"/>
      </w:pPr>
      <w:r>
        <w:t>5. Bulgular ve karşılaştırma</w:t>
      </w:r>
    </w:p>
    <w:p>
      <w:pPr>
        <w:jc w:val="both"/>
      </w:pPr>
      <w:r>
        <w:t>Colab ana deneyinde doğrulama makro F1 bakımından CNN-C (0,99266) seçilmiştir. Bağımsız testte CNN-C 270 örneğin 265'ini (%98,15), SVM-RBF ise 267'sini (%98,89) doğru sınıflandırmıştır. İki örneklik fark, kesin McNemar testinde istatistiksel olarak anlamlı bir üstünlük göstermemektedir (p=0,6875). CNN-C için test makro F1 değeri 0,98124, SVM-RBF için 0,98885 olmuştur.</w:t>
      </w:r>
    </w:p>
    <w:p>
      <w:pPr>
        <w:jc w:val="both"/>
      </w:pPr>
      <w:r>
        <w:t>Colab'da 101, 202, 303, 404 ve 505 tohumları ile yapılan beş CNN-C eğitiminin test doğrulukları sırasıyla %98,15, %99,63, %97,04, %99,63 ve %99,26'dır. Ortalama %98,74, örnek standart sapması yaklaşık 1,13 yüzde puandır. En düşük skor 303, en yüksek skor 202 ve 404 koşularında görülmüştür. Bu sonuç, aynı veri ayrımında bile eğitim rastgeleliğinin göz ardı edilemeyeceğini gösterir. Bunlar bağımsız yeni test kümeleri değil, aynı 270 örnek üstündeki keşifsel tekrarlardır.</w:t>
      </w:r>
    </w:p>
    <w:p>
      <w:pPr>
        <w:jc w:val="both"/>
      </w:pPr>
      <w:r>
        <w:t>Aşırı öğrenmeyi değerlendirmek için eğitim, doğrulama ve test ölçütleri birlikte incelenmiştir. Ana deneyde CNN-C'nin eğitim doğruluğu %100, doğrulama doğruluğu %99,26 olduğundan eğitim-doğrulama farkı yaklaşık 0,74 yüzde puandır. Bu fark tek başına aşırı öğrenme olmadığı anlamına gelmez; doğrulama kaybının seyrine, erken durdurmaya ve farklı başlangıçlarda elde edilen değişkenliğe de bakılmalıdır. Ek dokuz eğitimde güçlü düzenlileştirmenin ortalama doğrulama kaybı 0,02876, referansın 0,02909'dur; bu küçük farkın kesin üstünlük sayılmaması gerekir.</w:t>
      </w:r>
    </w:p>
    <w:p>
      <w:pPr>
        <w:pStyle w:val="Heading1"/>
        <w:keepNext/>
        <w:spacing w:before="140" w:after="40"/>
      </w:pPr>
      <w:r>
        <w:t>6. Sınırlılıklar</w:t>
      </w:r>
    </w:p>
    <w:p>
      <w:pPr>
        <w:jc w:val="both"/>
      </w:pPr>
      <w:r>
        <w:t>Veri kümesi küçük, temiz ve 8 × 8 çözünürlüklü olduğundan sonuçlar kamera fotoğrafları, farklı ışık koşulları veya farklı kişilerin el yazıları için doğrudan genellenemez. Beş kararlılık koşusu aynı test kümesini tekrar kullanır ve test sonuçları görüldükten sonra yürütüldüğünden bağımsız bir dış doğrulama değildir. Farklı veri ayrımları, yazara göre grup bazlı değerlendirme ve yeni bir test kümesi ile genellenebilirlik ayrıca araştırılmalıdır.</w:t>
      </w:r>
    </w:p>
    <w:p>
      <w:pPr>
        <w:pStyle w:val="Heading1"/>
        <w:keepNext/>
        <w:spacing w:before="140" w:after="40"/>
      </w:pPr>
      <w:r>
        <w:t>7. Model performans tablosu (Colab ana deney)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vAlign w:val="center"/>
          </w:tcPr>
          <w:p>
            <w:r>
              <w:rPr>
                <w:rFonts w:ascii="Times New Roman" w:hAnsi="Times New Roman"/>
                <w:sz w:val="18"/>
              </w:rPr>
              <w:t>Model</w:t>
            </w:r>
          </w:p>
        </w:tc>
        <w:tc>
          <w:tcPr>
            <w:tcW w:type="dxa" w:w="2379"/>
            <w:vAlign w:val="center"/>
          </w:tcPr>
          <w:p>
            <w:r>
              <w:rPr>
                <w:rFonts w:ascii="Times New Roman" w:hAnsi="Times New Roman"/>
                <w:sz w:val="18"/>
              </w:rPr>
              <w:t>Dogrulama %</w:t>
            </w:r>
          </w:p>
        </w:tc>
        <w:tc>
          <w:tcPr>
            <w:tcW w:type="dxa" w:w="2379"/>
            <w:vAlign w:val="center"/>
          </w:tcPr>
          <w:p>
            <w:r>
              <w:rPr>
                <w:rFonts w:ascii="Times New Roman" w:hAnsi="Times New Roman"/>
                <w:sz w:val="18"/>
              </w:rPr>
              <w:t>Test %</w:t>
            </w:r>
          </w:p>
        </w:tc>
        <w:tc>
          <w:tcPr>
            <w:tcW w:type="dxa" w:w="2379"/>
            <w:vAlign w:val="center"/>
          </w:tcPr>
          <w:p>
            <w:r>
              <w:rPr>
                <w:rFonts w:ascii="Times New Roman" w:hAnsi="Times New Roman"/>
                <w:sz w:val="18"/>
              </w:rPr>
              <w:t>Macro F1 %</w:t>
            </w:r>
          </w:p>
        </w:tc>
      </w:tr>
      <w:tr>
        <w:tc>
          <w:tcPr>
            <w:tcW w:type="dxa" w:w="2379"/>
            <w:vAlign w:val="center"/>
          </w:tcPr>
          <w:p>
            <w:r>
              <w:rPr>
                <w:rFonts w:ascii="Times New Roman" w:hAnsi="Times New Roman"/>
                <w:sz w:val="18"/>
              </w:rPr>
              <w:t>CNN (CNN-C Görüntü modeli)</w:t>
            </w:r>
          </w:p>
        </w:tc>
        <w:tc>
          <w:tcPr>
            <w:tcW w:type="dxa" w:w="2379"/>
            <w:vAlign w:val="center"/>
          </w:tcPr>
          <w:p>
            <w:pPr>
              <w:spacing w:before="0" w:after="0"/>
            </w:pPr>
            <w:r>
              <w:rPr>
                <w:rFonts w:ascii="Times New Roman" w:hAnsi="Times New Roman"/>
                <w:sz w:val="18"/>
              </w:rPr>
              <w:t>99.26</w:t>
            </w:r>
          </w:p>
        </w:tc>
        <w:tc>
          <w:tcPr>
            <w:tcW w:type="dxa" w:w="2379"/>
            <w:vAlign w:val="center"/>
          </w:tcPr>
          <w:p>
            <w:pPr>
              <w:spacing w:before="0" w:after="0"/>
            </w:pPr>
            <w:r>
              <w:rPr>
                <w:rFonts w:ascii="Times New Roman" w:hAnsi="Times New Roman"/>
                <w:sz w:val="18"/>
              </w:rPr>
              <w:t>98.15</w:t>
            </w:r>
          </w:p>
        </w:tc>
        <w:tc>
          <w:tcPr>
            <w:tcW w:type="dxa" w:w="2379"/>
            <w:vAlign w:val="center"/>
          </w:tcPr>
          <w:p>
            <w:pPr>
              <w:spacing w:before="0" w:after="0"/>
            </w:pPr>
            <w:r>
              <w:rPr>
                <w:rFonts w:ascii="Times New Roman" w:hAnsi="Times New Roman"/>
                <w:sz w:val="18"/>
              </w:rPr>
              <w:t>98.12</w:t>
            </w:r>
          </w:p>
        </w:tc>
      </w:tr>
      <w:tr>
        <w:tc>
          <w:tcPr>
            <w:tcW w:type="dxa" w:w="2379"/>
            <w:vAlign w:val="center"/>
          </w:tcPr>
          <w:p>
            <w:r>
              <w:rPr>
                <w:rFonts w:ascii="Times New Roman" w:hAnsi="Times New Roman"/>
                <w:sz w:val="18"/>
              </w:rPr>
              <w:t>Logistic Regression</w:t>
            </w:r>
          </w:p>
        </w:tc>
        <w:tc>
          <w:tcPr>
            <w:tcW w:type="dxa" w:w="2379"/>
            <w:vAlign w:val="center"/>
          </w:tcPr>
          <w:p>
            <w:pPr>
              <w:spacing w:before="0" w:after="0"/>
            </w:pPr>
            <w:r>
              <w:rPr>
                <w:rFonts w:ascii="Times New Roman" w:hAnsi="Times New Roman"/>
                <w:sz w:val="18"/>
              </w:rPr>
              <w:t>97.78</w:t>
            </w:r>
          </w:p>
        </w:tc>
        <w:tc>
          <w:tcPr>
            <w:tcW w:type="dxa" w:w="2379"/>
            <w:vAlign w:val="center"/>
          </w:tcPr>
          <w:p>
            <w:pPr>
              <w:spacing w:before="0" w:after="0"/>
            </w:pPr>
            <w:r>
              <w:rPr>
                <w:rFonts w:ascii="Times New Roman" w:hAnsi="Times New Roman"/>
                <w:sz w:val="18"/>
              </w:rPr>
              <w:t>98.52</w:t>
            </w:r>
          </w:p>
        </w:tc>
        <w:tc>
          <w:tcPr>
            <w:tcW w:type="dxa" w:w="2379"/>
            <w:vAlign w:val="center"/>
          </w:tcPr>
          <w:p>
            <w:pPr>
              <w:spacing w:before="0" w:after="0"/>
            </w:pPr>
            <w:r>
              <w:rPr>
                <w:rFonts w:ascii="Times New Roman" w:hAnsi="Times New Roman"/>
                <w:sz w:val="18"/>
              </w:rPr>
              <w:t>98.52</w:t>
            </w:r>
          </w:p>
        </w:tc>
      </w:tr>
      <w:tr>
        <w:tc>
          <w:tcPr>
            <w:tcW w:type="dxa" w:w="2379"/>
            <w:vAlign w:val="center"/>
          </w:tcPr>
          <w:p>
            <w:r>
              <w:rPr>
                <w:rFonts w:ascii="Times New Roman" w:hAnsi="Times New Roman"/>
                <w:sz w:val="18"/>
              </w:rPr>
              <w:t>SVM (RBF)</w:t>
            </w:r>
          </w:p>
        </w:tc>
        <w:tc>
          <w:tcPr>
            <w:tcW w:type="dxa" w:w="2379"/>
            <w:vAlign w:val="center"/>
          </w:tcPr>
          <w:p>
            <w:pPr>
              <w:spacing w:before="0" w:after="0"/>
            </w:pPr>
            <w:r>
              <w:rPr>
                <w:rFonts w:ascii="Times New Roman" w:hAnsi="Times New Roman"/>
                <w:sz w:val="18"/>
              </w:rPr>
              <w:t>97.41</w:t>
            </w:r>
          </w:p>
        </w:tc>
        <w:tc>
          <w:tcPr>
            <w:tcW w:type="dxa" w:w="2379"/>
            <w:vAlign w:val="center"/>
          </w:tcPr>
          <w:p>
            <w:pPr>
              <w:spacing w:before="0" w:after="0"/>
            </w:pPr>
            <w:r>
              <w:rPr>
                <w:rFonts w:ascii="Times New Roman" w:hAnsi="Times New Roman"/>
                <w:sz w:val="18"/>
              </w:rPr>
              <w:t>98.89</w:t>
            </w:r>
          </w:p>
        </w:tc>
        <w:tc>
          <w:tcPr>
            <w:tcW w:type="dxa" w:w="2379"/>
            <w:vAlign w:val="center"/>
          </w:tcPr>
          <w:p>
            <w:pPr>
              <w:spacing w:before="0" w:after="0"/>
            </w:pPr>
            <w:r>
              <w:rPr>
                <w:rFonts w:ascii="Times New Roman" w:hAnsi="Times New Roman"/>
                <w:sz w:val="18"/>
              </w:rPr>
              <w:t>98.88</w:t>
            </w:r>
          </w:p>
        </w:tc>
      </w:tr>
      <w:tr>
        <w:tc>
          <w:tcPr>
            <w:tcW w:type="dxa" w:w="2379"/>
            <w:vAlign w:val="center"/>
          </w:tcPr>
          <w:p>
            <w:r>
              <w:rPr>
                <w:rFonts w:ascii="Times New Roman" w:hAnsi="Times New Roman"/>
                <w:sz w:val="18"/>
              </w:rPr>
              <w:t>Random Forest</w:t>
            </w:r>
          </w:p>
        </w:tc>
        <w:tc>
          <w:tcPr>
            <w:tcW w:type="dxa" w:w="2379"/>
            <w:vAlign w:val="center"/>
          </w:tcPr>
          <w:p>
            <w:pPr>
              <w:spacing w:before="0" w:after="0"/>
            </w:pPr>
            <w:r>
              <w:rPr>
                <w:rFonts w:ascii="Times New Roman" w:hAnsi="Times New Roman"/>
                <w:sz w:val="18"/>
              </w:rPr>
              <w:t>96.67</w:t>
            </w:r>
          </w:p>
        </w:tc>
        <w:tc>
          <w:tcPr>
            <w:tcW w:type="dxa" w:w="2379"/>
            <w:vAlign w:val="center"/>
          </w:tcPr>
          <w:p>
            <w:pPr>
              <w:spacing w:before="0" w:after="0"/>
            </w:pPr>
            <w:r>
              <w:rPr>
                <w:rFonts w:ascii="Times New Roman" w:hAnsi="Times New Roman"/>
                <w:sz w:val="18"/>
              </w:rPr>
              <w:t>97.41</w:t>
            </w:r>
          </w:p>
        </w:tc>
        <w:tc>
          <w:tcPr>
            <w:tcW w:type="dxa" w:w="2379"/>
            <w:vAlign w:val="center"/>
          </w:tcPr>
          <w:p>
            <w:pPr>
              <w:spacing w:before="0" w:after="0"/>
            </w:pPr>
            <w:r>
              <w:rPr>
                <w:rFonts w:ascii="Times New Roman" w:hAnsi="Times New Roman"/>
                <w:sz w:val="18"/>
              </w:rPr>
              <w:t>97.38</w:t>
            </w:r>
          </w:p>
        </w:tc>
      </w:tr>
      <w:tr>
        <w:tc>
          <w:tcPr>
            <w:tcW w:type="dxa" w:w="2379"/>
            <w:vAlign w:val="center"/>
          </w:tcPr>
          <w:p>
            <w:r>
              <w:rPr>
                <w:rFonts w:ascii="Times New Roman" w:hAnsi="Times New Roman"/>
                <w:sz w:val="18"/>
              </w:rPr>
              <w:t>KNN</w:t>
            </w:r>
          </w:p>
        </w:tc>
        <w:tc>
          <w:tcPr>
            <w:tcW w:type="dxa" w:w="2379"/>
            <w:vAlign w:val="center"/>
          </w:tcPr>
          <w:p>
            <w:pPr>
              <w:spacing w:before="0" w:after="0"/>
            </w:pPr>
            <w:r>
              <w:rPr>
                <w:rFonts w:ascii="Times New Roman" w:hAnsi="Times New Roman"/>
                <w:sz w:val="18"/>
              </w:rPr>
              <w:t>96.30</w:t>
            </w:r>
          </w:p>
        </w:tc>
        <w:tc>
          <w:tcPr>
            <w:tcW w:type="dxa" w:w="2379"/>
            <w:vAlign w:val="center"/>
          </w:tcPr>
          <w:p>
            <w:pPr>
              <w:spacing w:before="0" w:after="0"/>
            </w:pPr>
            <w:r>
              <w:rPr>
                <w:rFonts w:ascii="Times New Roman" w:hAnsi="Times New Roman"/>
                <w:sz w:val="18"/>
              </w:rPr>
              <w:t>98.15</w:t>
            </w:r>
          </w:p>
        </w:tc>
        <w:tc>
          <w:tcPr>
            <w:tcW w:type="dxa" w:w="2379"/>
            <w:vAlign w:val="center"/>
          </w:tcPr>
          <w:p>
            <w:pPr>
              <w:spacing w:before="0" w:after="0"/>
            </w:pPr>
            <w:r>
              <w:rPr>
                <w:rFonts w:ascii="Times New Roman" w:hAnsi="Times New Roman"/>
                <w:sz w:val="18"/>
              </w:rPr>
              <w:t>98.15</w:t>
            </w:r>
          </w:p>
        </w:tc>
      </w:tr>
      <w:tr>
        <w:tc>
          <w:tcPr>
            <w:tcW w:type="dxa" w:w="2379"/>
            <w:vAlign w:val="center"/>
          </w:tcPr>
          <w:p>
            <w:r>
              <w:rPr>
                <w:rFonts w:ascii="Times New Roman" w:hAnsi="Times New Roman"/>
                <w:sz w:val="18"/>
              </w:rPr>
              <w:t>Gradient Boosting</w:t>
            </w:r>
          </w:p>
        </w:tc>
        <w:tc>
          <w:tcPr>
            <w:tcW w:type="dxa" w:w="2379"/>
            <w:vAlign w:val="center"/>
          </w:tcPr>
          <w:p>
            <w:pPr>
              <w:spacing w:before="0" w:after="0"/>
            </w:pPr>
            <w:r>
              <w:rPr>
                <w:rFonts w:ascii="Times New Roman" w:hAnsi="Times New Roman"/>
                <w:sz w:val="18"/>
              </w:rPr>
              <w:t>95.19</w:t>
            </w:r>
          </w:p>
        </w:tc>
        <w:tc>
          <w:tcPr>
            <w:tcW w:type="dxa" w:w="2379"/>
            <w:vAlign w:val="center"/>
          </w:tcPr>
          <w:p>
            <w:pPr>
              <w:spacing w:before="0" w:after="0"/>
            </w:pPr>
            <w:r>
              <w:rPr>
                <w:rFonts w:ascii="Times New Roman" w:hAnsi="Times New Roman"/>
                <w:sz w:val="18"/>
              </w:rPr>
              <w:t>96.30</w:t>
            </w:r>
          </w:p>
        </w:tc>
        <w:tc>
          <w:tcPr>
            <w:tcW w:type="dxa" w:w="2379"/>
            <w:vAlign w:val="center"/>
          </w:tcPr>
          <w:p>
            <w:pPr>
              <w:spacing w:before="0" w:after="0"/>
            </w:pPr>
            <w:r>
              <w:rPr>
                <w:rFonts w:ascii="Times New Roman" w:hAnsi="Times New Roman"/>
                <w:sz w:val="18"/>
              </w:rPr>
              <w:t>96.27</w:t>
            </w:r>
          </w:p>
        </w:tc>
      </w:tr>
    </w:tbl>
    <w:p>
      <w:pPr>
        <w:pStyle w:val="Heading1"/>
        <w:keepNext/>
        <w:spacing w:before="140" w:after="40"/>
      </w:pPr>
      <w:r>
        <w:t>8. CNN kararlılık analizi (Colab, beş tohum)</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vAlign w:val="center"/>
          </w:tcPr>
          <w:p>
            <w:r>
              <w:rPr>
                <w:rFonts w:ascii="Times New Roman" w:hAnsi="Times New Roman"/>
                <w:sz w:val="18"/>
              </w:rPr>
              <w:t>Seed</w:t>
            </w:r>
          </w:p>
        </w:tc>
        <w:tc>
          <w:tcPr>
            <w:tcW w:type="dxa" w:w="2379"/>
            <w:vAlign w:val="center"/>
          </w:tcPr>
          <w:p>
            <w:r>
              <w:rPr>
                <w:rFonts w:ascii="Times New Roman" w:hAnsi="Times New Roman"/>
                <w:sz w:val="18"/>
              </w:rPr>
              <w:t>En iyi epoch</w:t>
            </w:r>
          </w:p>
        </w:tc>
        <w:tc>
          <w:tcPr>
            <w:tcW w:type="dxa" w:w="2379"/>
            <w:vAlign w:val="center"/>
          </w:tcPr>
          <w:p>
            <w:r>
              <w:rPr>
                <w:rFonts w:ascii="Times New Roman" w:hAnsi="Times New Roman"/>
                <w:sz w:val="18"/>
              </w:rPr>
              <w:t>Test %</w:t>
            </w:r>
          </w:p>
        </w:tc>
        <w:tc>
          <w:tcPr>
            <w:tcW w:type="dxa" w:w="2379"/>
            <w:vAlign w:val="center"/>
          </w:tcPr>
          <w:p>
            <w:r>
              <w:rPr>
                <w:rFonts w:ascii="Times New Roman" w:hAnsi="Times New Roman"/>
                <w:sz w:val="18"/>
              </w:rPr>
              <w:t>Hata</w:t>
            </w:r>
          </w:p>
        </w:tc>
      </w:tr>
      <w:tr>
        <w:tc>
          <w:tcPr>
            <w:tcW w:type="dxa" w:w="2379"/>
            <w:vAlign w:val="center"/>
          </w:tcPr>
          <w:p>
            <w:pPr>
              <w:spacing w:before="0" w:after="0"/>
            </w:pPr>
            <w:r>
              <w:rPr>
                <w:rFonts w:ascii="Times New Roman" w:hAnsi="Times New Roman"/>
                <w:sz w:val="18"/>
              </w:rPr>
              <w:t>101</w:t>
            </w:r>
          </w:p>
        </w:tc>
        <w:tc>
          <w:tcPr>
            <w:tcW w:type="dxa" w:w="2379"/>
            <w:vAlign w:val="center"/>
          </w:tcPr>
          <w:p>
            <w:pPr>
              <w:spacing w:before="0" w:after="0"/>
            </w:pPr>
            <w:r>
              <w:rPr>
                <w:rFonts w:ascii="Times New Roman" w:hAnsi="Times New Roman"/>
                <w:sz w:val="18"/>
              </w:rPr>
              <w:t>44</w:t>
            </w:r>
          </w:p>
        </w:tc>
        <w:tc>
          <w:tcPr>
            <w:tcW w:type="dxa" w:w="2379"/>
            <w:vAlign w:val="center"/>
          </w:tcPr>
          <w:p>
            <w:pPr>
              <w:spacing w:before="0" w:after="0"/>
            </w:pPr>
            <w:r>
              <w:rPr>
                <w:rFonts w:ascii="Times New Roman" w:hAnsi="Times New Roman"/>
                <w:sz w:val="18"/>
              </w:rPr>
              <w:t>98.15</w:t>
            </w:r>
          </w:p>
        </w:tc>
        <w:tc>
          <w:tcPr>
            <w:tcW w:type="dxa" w:w="2379"/>
            <w:vAlign w:val="center"/>
          </w:tcPr>
          <w:p>
            <w:pPr>
              <w:spacing w:before="0" w:after="0"/>
            </w:pPr>
            <w:r>
              <w:rPr>
                <w:rFonts w:ascii="Times New Roman" w:hAnsi="Times New Roman"/>
                <w:sz w:val="18"/>
              </w:rPr>
              <w:t>5</w:t>
            </w:r>
          </w:p>
        </w:tc>
      </w:tr>
      <w:tr>
        <w:tc>
          <w:tcPr>
            <w:tcW w:type="dxa" w:w="2379"/>
            <w:vAlign w:val="center"/>
          </w:tcPr>
          <w:p>
            <w:pPr>
              <w:spacing w:before="0" w:after="0"/>
            </w:pPr>
            <w:r>
              <w:rPr>
                <w:rFonts w:ascii="Times New Roman" w:hAnsi="Times New Roman"/>
                <w:sz w:val="18"/>
              </w:rPr>
              <w:t>202</w:t>
            </w:r>
          </w:p>
        </w:tc>
        <w:tc>
          <w:tcPr>
            <w:tcW w:type="dxa" w:w="2379"/>
            <w:vAlign w:val="center"/>
          </w:tcPr>
          <w:p>
            <w:pPr>
              <w:spacing w:before="0" w:after="0"/>
            </w:pPr>
            <w:r>
              <w:rPr>
                <w:rFonts w:ascii="Times New Roman" w:hAnsi="Times New Roman"/>
                <w:sz w:val="18"/>
              </w:rPr>
              <w:t>37</w:t>
            </w:r>
          </w:p>
        </w:tc>
        <w:tc>
          <w:tcPr>
            <w:tcW w:type="dxa" w:w="2379"/>
            <w:vAlign w:val="center"/>
          </w:tcPr>
          <w:p>
            <w:pPr>
              <w:spacing w:before="0" w:after="0"/>
            </w:pPr>
            <w:r>
              <w:rPr>
                <w:rFonts w:ascii="Times New Roman" w:hAnsi="Times New Roman"/>
                <w:sz w:val="18"/>
              </w:rPr>
              <w:t>99.63</w:t>
            </w:r>
          </w:p>
        </w:tc>
        <w:tc>
          <w:tcPr>
            <w:tcW w:type="dxa" w:w="2379"/>
            <w:vAlign w:val="center"/>
          </w:tcPr>
          <w:p>
            <w:pPr>
              <w:spacing w:before="0" w:after="0"/>
            </w:pPr>
            <w:r>
              <w:rPr>
                <w:rFonts w:ascii="Times New Roman" w:hAnsi="Times New Roman"/>
                <w:sz w:val="18"/>
              </w:rPr>
              <w:t>1</w:t>
            </w:r>
          </w:p>
        </w:tc>
      </w:tr>
      <w:tr>
        <w:tc>
          <w:tcPr>
            <w:tcW w:type="dxa" w:w="2379"/>
            <w:vAlign w:val="center"/>
          </w:tcPr>
          <w:p>
            <w:pPr>
              <w:spacing w:before="0" w:after="0"/>
            </w:pPr>
            <w:r>
              <w:rPr>
                <w:rFonts w:ascii="Times New Roman" w:hAnsi="Times New Roman"/>
                <w:sz w:val="18"/>
              </w:rPr>
              <w:t>303</w:t>
            </w:r>
          </w:p>
        </w:tc>
        <w:tc>
          <w:tcPr>
            <w:tcW w:type="dxa" w:w="2379"/>
            <w:vAlign w:val="center"/>
          </w:tcPr>
          <w:p>
            <w:pPr>
              <w:spacing w:before="0" w:after="0"/>
            </w:pPr>
            <w:r>
              <w:rPr>
                <w:rFonts w:ascii="Times New Roman" w:hAnsi="Times New Roman"/>
                <w:sz w:val="18"/>
              </w:rPr>
              <w:t>31</w:t>
            </w:r>
          </w:p>
        </w:tc>
        <w:tc>
          <w:tcPr>
            <w:tcW w:type="dxa" w:w="2379"/>
            <w:vAlign w:val="center"/>
          </w:tcPr>
          <w:p>
            <w:pPr>
              <w:spacing w:before="0" w:after="0"/>
            </w:pPr>
            <w:r>
              <w:rPr>
                <w:rFonts w:ascii="Times New Roman" w:hAnsi="Times New Roman"/>
                <w:sz w:val="18"/>
              </w:rPr>
              <w:t>97.04</w:t>
            </w:r>
          </w:p>
        </w:tc>
        <w:tc>
          <w:tcPr>
            <w:tcW w:type="dxa" w:w="2379"/>
            <w:vAlign w:val="center"/>
          </w:tcPr>
          <w:p>
            <w:pPr>
              <w:spacing w:before="0" w:after="0"/>
            </w:pPr>
            <w:r>
              <w:rPr>
                <w:rFonts w:ascii="Times New Roman" w:hAnsi="Times New Roman"/>
                <w:sz w:val="18"/>
              </w:rPr>
              <w:t>8</w:t>
            </w:r>
          </w:p>
        </w:tc>
      </w:tr>
      <w:tr>
        <w:tc>
          <w:tcPr>
            <w:tcW w:type="dxa" w:w="2379"/>
            <w:vAlign w:val="center"/>
          </w:tcPr>
          <w:p>
            <w:pPr>
              <w:spacing w:before="0" w:after="0"/>
            </w:pPr>
            <w:r>
              <w:rPr>
                <w:rFonts w:ascii="Times New Roman" w:hAnsi="Times New Roman"/>
                <w:sz w:val="18"/>
              </w:rPr>
              <w:t>404</w:t>
            </w:r>
          </w:p>
        </w:tc>
        <w:tc>
          <w:tcPr>
            <w:tcW w:type="dxa" w:w="2379"/>
            <w:vAlign w:val="center"/>
          </w:tcPr>
          <w:p>
            <w:pPr>
              <w:spacing w:before="0" w:after="0"/>
            </w:pPr>
            <w:r>
              <w:rPr>
                <w:rFonts w:ascii="Times New Roman" w:hAnsi="Times New Roman"/>
                <w:sz w:val="18"/>
              </w:rPr>
              <w:t>23</w:t>
            </w:r>
          </w:p>
        </w:tc>
        <w:tc>
          <w:tcPr>
            <w:tcW w:type="dxa" w:w="2379"/>
            <w:vAlign w:val="center"/>
          </w:tcPr>
          <w:p>
            <w:pPr>
              <w:spacing w:before="0" w:after="0"/>
            </w:pPr>
            <w:r>
              <w:rPr>
                <w:rFonts w:ascii="Times New Roman" w:hAnsi="Times New Roman"/>
                <w:sz w:val="18"/>
              </w:rPr>
              <w:t>99.63</w:t>
            </w:r>
          </w:p>
        </w:tc>
        <w:tc>
          <w:tcPr>
            <w:tcW w:type="dxa" w:w="2379"/>
            <w:vAlign w:val="center"/>
          </w:tcPr>
          <w:p>
            <w:pPr>
              <w:spacing w:before="0" w:after="0"/>
            </w:pPr>
            <w:r>
              <w:rPr>
                <w:rFonts w:ascii="Times New Roman" w:hAnsi="Times New Roman"/>
                <w:sz w:val="18"/>
              </w:rPr>
              <w:t>1</w:t>
            </w:r>
          </w:p>
        </w:tc>
      </w:tr>
      <w:tr>
        <w:tc>
          <w:tcPr>
            <w:tcW w:type="dxa" w:w="2379"/>
            <w:vAlign w:val="center"/>
          </w:tcPr>
          <w:p>
            <w:pPr>
              <w:spacing w:before="0" w:after="0"/>
            </w:pPr>
            <w:r>
              <w:rPr>
                <w:rFonts w:ascii="Times New Roman" w:hAnsi="Times New Roman"/>
                <w:sz w:val="18"/>
              </w:rPr>
              <w:t>505</w:t>
            </w:r>
          </w:p>
        </w:tc>
        <w:tc>
          <w:tcPr>
            <w:tcW w:type="dxa" w:w="2379"/>
            <w:vAlign w:val="center"/>
          </w:tcPr>
          <w:p>
            <w:pPr>
              <w:spacing w:before="0" w:after="0"/>
            </w:pPr>
            <w:r>
              <w:rPr>
                <w:rFonts w:ascii="Times New Roman" w:hAnsi="Times New Roman"/>
                <w:sz w:val="18"/>
              </w:rPr>
              <w:t>50</w:t>
            </w:r>
          </w:p>
        </w:tc>
        <w:tc>
          <w:tcPr>
            <w:tcW w:type="dxa" w:w="2379"/>
            <w:vAlign w:val="center"/>
          </w:tcPr>
          <w:p>
            <w:pPr>
              <w:spacing w:before="0" w:after="0"/>
            </w:pPr>
            <w:r>
              <w:rPr>
                <w:rFonts w:ascii="Times New Roman" w:hAnsi="Times New Roman"/>
                <w:sz w:val="18"/>
              </w:rPr>
              <w:t>99.26</w:t>
            </w:r>
          </w:p>
        </w:tc>
        <w:tc>
          <w:tcPr>
            <w:tcW w:type="dxa" w:w="2379"/>
            <w:vAlign w:val="center"/>
          </w:tcPr>
          <w:p>
            <w:pPr>
              <w:spacing w:before="0" w:after="0"/>
            </w:pPr>
            <w:r>
              <w:rPr>
                <w:rFonts w:ascii="Times New Roman" w:hAnsi="Times New Roman"/>
                <w:sz w:val="18"/>
              </w:rPr>
              <w:t>2</w:t>
            </w:r>
          </w:p>
        </w:tc>
      </w:tr>
    </w:tbl>
    <w:p>
      <w:pPr>
        <w:pStyle w:val="Heading1"/>
        <w:keepNext/>
        <w:spacing w:before="140" w:after="40"/>
      </w:pPr>
      <w:r>
        <w:t>9. Bu çalışmadan ne öğrendim?</w:t>
      </w:r>
    </w:p>
    <w:p>
      <w:pPr>
        <w:jc w:val="both"/>
      </w:pPr>
      <w:r>
        <w:t>Model seçimiyle test raporlamasının farklı aşamalar olduğunu öğrendim. CNN'nin doğrulama makro F1 değerinin en yüksek olması, test doğruluğunda da mutlaka birinci çıkacağı anlamına gelmedi. Bu nedenle modeli test sonucuna göre sonradan değiştirmemek gerektiğini somut sonuçlarla gördüm.</w:t>
      </w:r>
    </w:p>
    <w:p>
      <w:pPr>
        <w:jc w:val="both"/>
      </w:pPr>
      <w:r>
        <w:t>270 test örneği üzerinde bir tahminlik farkın yaklaşık 0,37 yüzde puana karşılık geldiğini, dolayısıyla küçük başarı farklarının olduğundan büyük görünmemesi gerektiğini öğrendim. McNemar testi ve güven aralıkları böyle farkları daha temkinli yorumlamamı sağladı.</w:t>
      </w:r>
    </w:p>
    <w:p>
      <w:pPr>
        <w:jc w:val="both"/>
      </w:pPr>
      <w:r>
        <w:t>Dropout, L2, erken durdurma ve farklı seed denemelerinin farklı soruları cevapladığını öğrendim. Özellikle CNN-C'nin aynı test kümesinde beş eğitimde %97,04–%99,63 arasında değişmesi, tek bir koşu sonucunu bütün modelin başarısıymış gibi sunmamak gerektiğini gösterdi.</w:t>
      </w:r>
    </w:p>
    <w:p>
      <w:pPr>
        <w:pStyle w:val="Heading1"/>
        <w:keepNext/>
        <w:spacing w:before="140" w:after="40"/>
      </w:pPr>
      <w:r>
        <w:t>Yapay zekâ kullanımı beyanı</w:t>
      </w:r>
    </w:p>
    <w:p>
      <w:pPr>
        <w:jc w:val="both"/>
      </w:pPr>
      <w:r>
        <w:t>Bu çalışmada üretken yapay zekâdan kod taslağı ve düzenleme, hata giderme, sonuç kontrolü, rapor planlama ve dil düzenlemesi için yararlanılmıştır. Eğitimler Google Colab'da yürütülmüş; tablolar, grafikler ve deney yorumları kaydedilmiş çıktı dosyalarına dayandırılmıştır. Kullanılan kaynakların doğruluğu, kullanılan kodun anlaşılması ve nihai teslimin akademik sorumluluğu öğrenciye aittir.</w:t>
      </w:r>
    </w:p>
    <w:p>
      <w:pPr>
        <w:pStyle w:val="Heading1"/>
        <w:keepNext/>
        <w:spacing w:before="140" w:after="40"/>
      </w:pPr>
      <w:r>
        <w:t>Kod ve veri bağlantıları</w:t>
      </w:r>
    </w:p>
    <w:p>
      <w:pPr>
        <w:jc w:val="both"/>
      </w:pPr>
      <w:r>
        <w:t>Veri kümesi: https://scikit-learn.org/stable/modules/generated/sklearn.datasets.load_digits.html</w:t>
      </w:r>
    </w:p>
    <w:p>
      <w:pPr>
        <w:spacing w:before="0" w:after="0"/>
        <w:jc w:val="both"/>
      </w:pPr>
      <w:r>
        <w:t>GitHub kod deposu: https://github.com/ReyhanOnbasi/El-Yazisi-Rakam-Siniflandirma</w:t>
      </w:r>
    </w:p>
    <w:sectPr w:rsidR="00FC693F" w:rsidRPr="0006063C" w:rsidSect="00034616">
      <w:pgSz w:w="11906" w:h="16838"/>
      <w:pgMar w:top="1361"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3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