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C1D38" w14:textId="77777777" w:rsidR="002A65C8" w:rsidRDefault="002A65C8">
      <w:pPr>
        <w:pStyle w:val="Heading1"/>
        <w:rPr>
          <w:rFonts w:eastAsia="Times New Roman"/>
          <w:rtl/>
        </w:rPr>
      </w:pPr>
      <w:r>
        <w:rPr>
          <w:rFonts w:eastAsia="Times New Roman" w:hint="cs"/>
          <w:lang w:bidi="fa-IR"/>
        </w:rPr>
        <w:t>C</w:t>
      </w:r>
      <w:r>
        <w:rPr>
          <w:rFonts w:eastAsia="Times New Roman"/>
        </w:rPr>
        <w:t>LINICAL GENOMICS REPORT: WHOLE EXOME SEQUENCING (WES)</w:t>
      </w:r>
    </w:p>
    <w:p w14:paraId="76FF9FAA" w14:textId="479D2761" w:rsidR="00745430" w:rsidRPr="003D68A9" w:rsidRDefault="00745430" w:rsidP="005B6599">
      <w:pPr>
        <w:rPr>
          <w:color w:val="000000" w:themeColor="text1"/>
          <w:rtl/>
          <w:lang w:bidi="fa-IR"/>
        </w:rPr>
      </w:pPr>
      <w:r>
        <w:rPr>
          <w:rFonts w:hint="cs"/>
          <w:color w:val="156082" w:themeColor="accent1"/>
          <w:lang w:bidi="fa-IR"/>
        </w:rPr>
        <w:t>Project Title:</w:t>
      </w:r>
      <w:r w:rsidRPr="003D68A9">
        <w:rPr>
          <w:rFonts w:hint="cs"/>
          <w:color w:val="000000" w:themeColor="text1"/>
          <w:lang w:bidi="fa-IR"/>
        </w:rPr>
        <w:t xml:space="preserve"> Genetic Evaluation of Developmental Delay and Manifestations in an Affected Family</w:t>
      </w:r>
    </w:p>
    <w:p w14:paraId="6B0C68D5" w14:textId="75F5EFDB" w:rsidR="005B6599" w:rsidRDefault="00403D94" w:rsidP="005B6599">
      <w:r w:rsidRPr="004202D9">
        <w:rPr>
          <w:rFonts w:hint="cs"/>
          <w:color w:val="156082" w:themeColor="accent1"/>
          <w:lang w:bidi="fa-IR"/>
        </w:rPr>
        <w:t>Author</w:t>
      </w:r>
      <w:r w:rsidR="005B6599" w:rsidRPr="004202D9">
        <w:rPr>
          <w:color w:val="156082" w:themeColor="accent1"/>
        </w:rPr>
        <w:t>:</w:t>
      </w:r>
      <w:r w:rsidR="005B6599">
        <w:t xml:space="preserve"> </w:t>
      </w:r>
      <w:proofErr w:type="spellStart"/>
      <w:r w:rsidR="005B6599">
        <w:rPr>
          <w:rFonts w:hint="cs"/>
          <w:lang w:bidi="fa-IR"/>
        </w:rPr>
        <w:t>Reyhaneh</w:t>
      </w:r>
      <w:proofErr w:type="spellEnd"/>
      <w:r w:rsidR="005B6599">
        <w:rPr>
          <w:rFonts w:hint="cs"/>
          <w:lang w:bidi="fa-IR"/>
        </w:rPr>
        <w:t xml:space="preserve"> </w:t>
      </w:r>
      <w:proofErr w:type="spellStart"/>
      <w:r w:rsidR="005B6599">
        <w:rPr>
          <w:rFonts w:hint="cs"/>
          <w:lang w:bidi="fa-IR"/>
        </w:rPr>
        <w:t>Foroughi</w:t>
      </w:r>
      <w:proofErr w:type="spellEnd"/>
      <w:r w:rsidR="005B6599">
        <w:rPr>
          <w:rFonts w:hint="cs"/>
          <w:lang w:bidi="fa-IR"/>
        </w:rPr>
        <w:t xml:space="preserve"> </w:t>
      </w:r>
    </w:p>
    <w:p w14:paraId="561EAAAA" w14:textId="77777777" w:rsidR="005B6599" w:rsidRDefault="005B6599" w:rsidP="005B6599">
      <w:r w:rsidRPr="004202D9">
        <w:rPr>
          <w:color w:val="156082" w:themeColor="accent1"/>
        </w:rPr>
        <w:t>Affiliation:</w:t>
      </w:r>
      <w:r>
        <w:t xml:space="preserve"> International Genomics Fellowship between the Genomics Research Laboratory (Iran) and the Helix Institute of Medical and Biological Sciences (USA)</w:t>
      </w:r>
    </w:p>
    <w:p w14:paraId="43C3F619" w14:textId="77777777" w:rsidR="009A12C3" w:rsidRDefault="009A12C3" w:rsidP="008252A0">
      <w:r w:rsidRPr="00F61EEF">
        <w:rPr>
          <w:color w:val="156082" w:themeColor="accent1"/>
        </w:rPr>
        <w:t>Project Duration:</w:t>
      </w:r>
      <w:r w:rsidRPr="00A00C8A">
        <w:t xml:space="preserve"> June 22, 2026 – September 22, 2026 </w:t>
      </w:r>
    </w:p>
    <w:p w14:paraId="1BC01CAD" w14:textId="77777777" w:rsidR="00593DFB" w:rsidRPr="007831FC" w:rsidRDefault="00593DFB">
      <w:pPr>
        <w:pStyle w:val="Heading3"/>
        <w:rPr>
          <w:color w:val="000000" w:themeColor="text1"/>
          <w:sz w:val="24"/>
          <w:szCs w:val="24"/>
          <w:rtl/>
        </w:rPr>
      </w:pPr>
      <w:r w:rsidRPr="00B8170C">
        <w:rPr>
          <w:color w:val="156082" w:themeColor="accent1"/>
          <w:sz w:val="24"/>
          <w:szCs w:val="24"/>
        </w:rPr>
        <w:t>Analysis Type:</w:t>
      </w:r>
      <w:r w:rsidRPr="007831FC">
        <w:rPr>
          <w:sz w:val="24"/>
          <w:szCs w:val="24"/>
        </w:rPr>
        <w:t xml:space="preserve"> </w:t>
      </w:r>
      <w:r w:rsidRPr="007831FC">
        <w:rPr>
          <w:color w:val="000000" w:themeColor="text1"/>
          <w:sz w:val="24"/>
          <w:szCs w:val="24"/>
        </w:rPr>
        <w:t xml:space="preserve">Clinical Whole </w:t>
      </w:r>
      <w:proofErr w:type="spellStart"/>
      <w:r w:rsidRPr="007831FC">
        <w:rPr>
          <w:color w:val="000000" w:themeColor="text1"/>
          <w:sz w:val="24"/>
          <w:szCs w:val="24"/>
        </w:rPr>
        <w:t>Exome</w:t>
      </w:r>
      <w:proofErr w:type="spellEnd"/>
      <w:r w:rsidRPr="007831FC">
        <w:rPr>
          <w:color w:val="000000" w:themeColor="text1"/>
          <w:sz w:val="24"/>
          <w:szCs w:val="24"/>
        </w:rPr>
        <w:t xml:space="preserve"> Sequencing (WES) &amp; Variant Prioritization</w:t>
      </w:r>
    </w:p>
    <w:p w14:paraId="4EC2E7C1" w14:textId="77777777" w:rsidR="00946857" w:rsidRPr="00946857" w:rsidRDefault="00946857" w:rsidP="00946857">
      <w:pPr>
        <w:rPr>
          <w:rtl/>
        </w:rPr>
      </w:pPr>
    </w:p>
    <w:p w14:paraId="09F9DAAB" w14:textId="7CE296CC" w:rsidR="002A65C8" w:rsidRDefault="002A65C8">
      <w:pPr>
        <w:pStyle w:val="Heading3"/>
        <w:rPr>
          <w:rFonts w:eastAsia="Times New Roman"/>
        </w:rPr>
      </w:pPr>
      <w:r>
        <w:rPr>
          <w:rFonts w:eastAsia="Times New Roman"/>
        </w:rPr>
        <w:t xml:space="preserve"> CLINICAL INFORMATION &amp; PEDIGREE ANALYSIS</w:t>
      </w:r>
    </w:p>
    <w:p w14:paraId="5146861F" w14:textId="77777777" w:rsidR="002A65C8" w:rsidRDefault="002A65C8" w:rsidP="002A65C8">
      <w:pPr>
        <w:numPr>
          <w:ilvl w:val="0"/>
          <w:numId w:val="1"/>
        </w:numPr>
        <w:spacing w:before="100" w:beforeAutospacing="1" w:after="100" w:afterAutospacing="1" w:line="240" w:lineRule="auto"/>
        <w:rPr>
          <w:rFonts w:eastAsia="Times New Roman"/>
        </w:rPr>
      </w:pPr>
      <w:proofErr w:type="spellStart"/>
      <w:r>
        <w:rPr>
          <w:rStyle w:val="Strong"/>
          <w:rFonts w:eastAsia="Times New Roman"/>
        </w:rPr>
        <w:t>Proband</w:t>
      </w:r>
      <w:proofErr w:type="spellEnd"/>
      <w:r>
        <w:rPr>
          <w:rStyle w:val="Strong"/>
          <w:rFonts w:eastAsia="Times New Roman"/>
        </w:rPr>
        <w:t>:</w:t>
      </w:r>
      <w:r>
        <w:rPr>
          <w:rFonts w:eastAsia="Times New Roman"/>
        </w:rPr>
        <w:t xml:space="preserve"> Individual III-1 (indicated by the arrow in the pedigree).</w:t>
      </w:r>
    </w:p>
    <w:p w14:paraId="19942F5A" w14:textId="77777777" w:rsidR="002A65C8" w:rsidRDefault="002A65C8" w:rsidP="002A65C8">
      <w:pPr>
        <w:numPr>
          <w:ilvl w:val="0"/>
          <w:numId w:val="1"/>
        </w:numPr>
        <w:spacing w:before="100" w:beforeAutospacing="1" w:after="100" w:afterAutospacing="1" w:line="240" w:lineRule="auto"/>
        <w:rPr>
          <w:rFonts w:eastAsia="Times New Roman"/>
        </w:rPr>
      </w:pPr>
      <w:r>
        <w:rPr>
          <w:rStyle w:val="Strong"/>
          <w:rFonts w:eastAsia="Times New Roman"/>
        </w:rPr>
        <w:t>Family History:</w:t>
      </w:r>
      <w:r>
        <w:rPr>
          <w:rFonts w:eastAsia="Times New Roman"/>
        </w:rPr>
        <w:t xml:space="preserve"> The </w:t>
      </w:r>
      <w:proofErr w:type="spellStart"/>
      <w:r>
        <w:rPr>
          <w:rFonts w:eastAsia="Times New Roman"/>
        </w:rPr>
        <w:t>proband</w:t>
      </w:r>
      <w:proofErr w:type="spellEnd"/>
      <w:r>
        <w:rPr>
          <w:rFonts w:eastAsia="Times New Roman"/>
        </w:rPr>
        <w:t xml:space="preserve"> was born to non-consanguineous parents (II-1 and II-2). The pedigree shows three affected children across both sexes (two females [III-1, III-4] and one male [III-7]) alongside three unaffected siblings.</w:t>
      </w:r>
    </w:p>
    <w:p w14:paraId="64E94C3C" w14:textId="77777777" w:rsidR="002A65C8" w:rsidRDefault="002A65C8" w:rsidP="002A65C8">
      <w:pPr>
        <w:numPr>
          <w:ilvl w:val="0"/>
          <w:numId w:val="1"/>
        </w:numPr>
        <w:spacing w:before="100" w:beforeAutospacing="1" w:after="100" w:afterAutospacing="1" w:line="240" w:lineRule="auto"/>
        <w:rPr>
          <w:rFonts w:eastAsia="Times New Roman"/>
        </w:rPr>
      </w:pPr>
      <w:r>
        <w:rPr>
          <w:rStyle w:val="Strong"/>
          <w:rFonts w:eastAsia="Times New Roman"/>
        </w:rPr>
        <w:t>Clinical Indications &amp; Phenotype:</w:t>
      </w:r>
    </w:p>
    <w:p w14:paraId="651E9101" w14:textId="77777777" w:rsidR="002A65C8" w:rsidRDefault="002A65C8" w:rsidP="002A65C8">
      <w:pPr>
        <w:numPr>
          <w:ilvl w:val="1"/>
          <w:numId w:val="1"/>
        </w:numPr>
        <w:spacing w:before="100" w:beforeAutospacing="1" w:after="100" w:afterAutospacing="1" w:line="240" w:lineRule="auto"/>
        <w:rPr>
          <w:rFonts w:eastAsia="Times New Roman"/>
        </w:rPr>
      </w:pPr>
      <w:r>
        <w:rPr>
          <w:rFonts w:eastAsia="Times New Roman"/>
        </w:rPr>
        <w:t>Intellectual Disability (mild-to-moderate / trainable)</w:t>
      </w:r>
    </w:p>
    <w:p w14:paraId="60ADD330" w14:textId="77777777" w:rsidR="002A65C8" w:rsidRDefault="002A65C8" w:rsidP="002A65C8">
      <w:pPr>
        <w:numPr>
          <w:ilvl w:val="1"/>
          <w:numId w:val="1"/>
        </w:numPr>
        <w:spacing w:before="100" w:beforeAutospacing="1" w:after="100" w:afterAutospacing="1" w:line="240" w:lineRule="auto"/>
        <w:rPr>
          <w:rFonts w:eastAsia="Times New Roman"/>
        </w:rPr>
      </w:pPr>
      <w:r>
        <w:rPr>
          <w:rFonts w:eastAsia="Times New Roman"/>
        </w:rPr>
        <w:t>Global Developmental Delay (GDD)</w:t>
      </w:r>
    </w:p>
    <w:p w14:paraId="078BD3FF" w14:textId="77777777" w:rsidR="002A65C8" w:rsidRDefault="002A65C8" w:rsidP="002A65C8">
      <w:pPr>
        <w:numPr>
          <w:ilvl w:val="1"/>
          <w:numId w:val="1"/>
        </w:numPr>
        <w:spacing w:before="100" w:beforeAutospacing="1" w:after="100" w:afterAutospacing="1" w:line="240" w:lineRule="auto"/>
        <w:rPr>
          <w:rFonts w:eastAsia="Times New Roman"/>
        </w:rPr>
      </w:pPr>
      <w:r>
        <w:rPr>
          <w:rFonts w:eastAsia="Times New Roman"/>
        </w:rPr>
        <w:t>Strabismus (ocular deviation)</w:t>
      </w:r>
    </w:p>
    <w:p w14:paraId="1A50A545" w14:textId="5C8FB9CE" w:rsidR="002A65C8" w:rsidRDefault="002A65C8" w:rsidP="002A65C8">
      <w:pPr>
        <w:numPr>
          <w:ilvl w:val="0"/>
          <w:numId w:val="1"/>
        </w:numPr>
        <w:spacing w:before="100" w:beforeAutospacing="1" w:after="100" w:afterAutospacing="1" w:line="240" w:lineRule="auto"/>
        <w:rPr>
          <w:rFonts w:eastAsia="Times New Roman"/>
        </w:rPr>
      </w:pPr>
      <w:r>
        <w:rPr>
          <w:rStyle w:val="Strong"/>
          <w:rFonts w:eastAsia="Times New Roman"/>
        </w:rPr>
        <w:t>Inheritance Pattern Assessment:</w:t>
      </w:r>
      <w:r>
        <w:rPr>
          <w:rFonts w:eastAsia="Times New Roman"/>
        </w:rPr>
        <w:t xml:space="preserve"> The involvement of both male and female offspring born to unaffected parents strongly indicates an </w:t>
      </w:r>
      <w:r>
        <w:rPr>
          <w:rStyle w:val="Strong"/>
          <w:rFonts w:eastAsia="Times New Roman"/>
        </w:rPr>
        <w:t>Autosomal Recessive (AR)</w:t>
      </w:r>
      <w:r>
        <w:rPr>
          <w:rFonts w:eastAsia="Times New Roman"/>
        </w:rPr>
        <w:t xml:space="preserve"> mode of inheritance. In the absence of documented parental consanguinity, causative variants may present either as compound heterozygous alleles or as homozygous mutations resulting from remote ancestral consanguinity.</w:t>
      </w:r>
    </w:p>
    <w:p w14:paraId="5DD8615D" w14:textId="12918795" w:rsidR="003146FF" w:rsidRPr="00472C0D" w:rsidRDefault="00807D0A" w:rsidP="00472C0D">
      <w:pPr>
        <w:spacing w:before="100" w:beforeAutospacing="1" w:after="100" w:afterAutospacing="1" w:line="240" w:lineRule="auto"/>
        <w:rPr>
          <w:rFonts w:eastAsia="Times New Roman"/>
          <w:b/>
          <w:bCs/>
        </w:rPr>
      </w:pPr>
      <w:r>
        <w:rPr>
          <w:rFonts w:eastAsia="Times New Roman"/>
          <w:b/>
          <w:bCs/>
          <w:noProof/>
        </w:rPr>
        <w:drawing>
          <wp:anchor distT="0" distB="0" distL="114300" distR="114300" simplePos="0" relativeHeight="251659264" behindDoc="0" locked="0" layoutInCell="1" allowOverlap="1" wp14:anchorId="1FD96E45" wp14:editId="0F7A9081">
            <wp:simplePos x="0" y="0"/>
            <wp:positionH relativeFrom="column">
              <wp:posOffset>-18415</wp:posOffset>
            </wp:positionH>
            <wp:positionV relativeFrom="paragraph">
              <wp:posOffset>47625</wp:posOffset>
            </wp:positionV>
            <wp:extent cx="5943600" cy="2743200"/>
            <wp:effectExtent l="0" t="0" r="0" b="0"/>
            <wp:wrapTopAndBottom/>
            <wp:docPr id="897803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03360" name="Picture 89780336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743200"/>
                    </a:xfrm>
                    <a:prstGeom prst="rect">
                      <a:avLst/>
                    </a:prstGeom>
                  </pic:spPr>
                </pic:pic>
              </a:graphicData>
            </a:graphic>
          </wp:anchor>
        </w:drawing>
      </w:r>
    </w:p>
    <w:p w14:paraId="22E1146C" w14:textId="259B9CBA" w:rsidR="002A65C8" w:rsidRDefault="002A65C8">
      <w:pPr>
        <w:pStyle w:val="Heading3"/>
        <w:rPr>
          <w:rFonts w:eastAsia="Times New Roman"/>
        </w:rPr>
      </w:pPr>
      <w:r>
        <w:rPr>
          <w:rFonts w:eastAsia="Times New Roman"/>
        </w:rPr>
        <w:t>2. METHODOLOGY: WHOLE EXOME SEQUENCING (WES)</w:t>
      </w:r>
    </w:p>
    <w:p w14:paraId="2FD92A3C" w14:textId="26576807" w:rsidR="002A65C8" w:rsidRDefault="002A65C8" w:rsidP="002A65C8">
      <w:pPr>
        <w:numPr>
          <w:ilvl w:val="0"/>
          <w:numId w:val="2"/>
        </w:numPr>
        <w:spacing w:before="100" w:beforeAutospacing="1" w:after="100" w:afterAutospacing="1" w:line="240" w:lineRule="auto"/>
        <w:rPr>
          <w:rFonts w:eastAsia="Times New Roman"/>
        </w:rPr>
      </w:pPr>
      <w:proofErr w:type="spellStart"/>
      <w:r>
        <w:rPr>
          <w:rStyle w:val="Strong"/>
          <w:rFonts w:eastAsia="Times New Roman"/>
        </w:rPr>
        <w:t>Exome</w:t>
      </w:r>
      <w:proofErr w:type="spellEnd"/>
      <w:r>
        <w:rPr>
          <w:rStyle w:val="Strong"/>
          <w:rFonts w:eastAsia="Times New Roman"/>
        </w:rPr>
        <w:t xml:space="preserve"> Capture &amp; Sequencing:</w:t>
      </w:r>
      <w:r>
        <w:rPr>
          <w:rFonts w:eastAsia="Times New Roman"/>
        </w:rPr>
        <w:t xml:space="preserve"> Whole </w:t>
      </w:r>
      <w:proofErr w:type="spellStart"/>
      <w:r>
        <w:rPr>
          <w:rFonts w:eastAsia="Times New Roman"/>
        </w:rPr>
        <w:t>Exome</w:t>
      </w:r>
      <w:proofErr w:type="spellEnd"/>
      <w:r>
        <w:rPr>
          <w:rFonts w:eastAsia="Times New Roman"/>
        </w:rPr>
        <w:t xml:space="preserve"> Sequencing was performed on genomic DNA extracted from the </w:t>
      </w:r>
      <w:proofErr w:type="spellStart"/>
      <w:r>
        <w:rPr>
          <w:rFonts w:eastAsia="Times New Roman"/>
        </w:rPr>
        <w:t>proband</w:t>
      </w:r>
      <w:proofErr w:type="spellEnd"/>
      <w:r>
        <w:rPr>
          <w:rFonts w:eastAsia="Times New Roman"/>
        </w:rPr>
        <w:t xml:space="preserve">. </w:t>
      </w:r>
      <w:proofErr w:type="spellStart"/>
      <w:r>
        <w:rPr>
          <w:rFonts w:eastAsia="Times New Roman"/>
        </w:rPr>
        <w:t>Exonic</w:t>
      </w:r>
      <w:proofErr w:type="spellEnd"/>
      <w:r>
        <w:rPr>
          <w:rFonts w:eastAsia="Times New Roman"/>
        </w:rPr>
        <w:t xml:space="preserve"> targets covering approximately 1–2% of the human genome (encompassing &gt;85% of known disease-causing mutations) were captured via hybrid-enrichment platforms and sequenced on a high-throughput NGS platform with high mean target coverage (&gt;100×).</w:t>
      </w:r>
    </w:p>
    <w:p w14:paraId="3935FFB6" w14:textId="02B4FACE" w:rsidR="002A65C8" w:rsidRDefault="002A65C8" w:rsidP="002A65C8">
      <w:pPr>
        <w:numPr>
          <w:ilvl w:val="0"/>
          <w:numId w:val="2"/>
        </w:numPr>
        <w:spacing w:before="100" w:beforeAutospacing="1" w:after="100" w:afterAutospacing="1" w:line="240" w:lineRule="auto"/>
        <w:rPr>
          <w:rFonts w:eastAsia="Times New Roman"/>
        </w:rPr>
      </w:pPr>
      <w:r>
        <w:rPr>
          <w:rStyle w:val="Strong"/>
          <w:rFonts w:eastAsia="Times New Roman"/>
        </w:rPr>
        <w:t>Bioinformatics Pipeline &amp; VCF Generation:</w:t>
      </w:r>
      <w:r>
        <w:rPr>
          <w:rFonts w:eastAsia="Times New Roman"/>
        </w:rPr>
        <w:t xml:space="preserve"> Raw sequencing reads (FASTQ) underwent quality control, adapter removal, and alignment to the reference genome (GRCh38/hg38) using BWA-MEM. Duplicate reads were flagged with Picard, followed by Base Quality Score Recalibration (BQSR). Single-nucleotide variants (SNVs) and small </w:t>
      </w:r>
      <w:proofErr w:type="spellStart"/>
      <w:r>
        <w:rPr>
          <w:rFonts w:eastAsia="Times New Roman"/>
        </w:rPr>
        <w:t>indels</w:t>
      </w:r>
      <w:proofErr w:type="spellEnd"/>
      <w:r>
        <w:rPr>
          <w:rFonts w:eastAsia="Times New Roman"/>
        </w:rPr>
        <w:t xml:space="preserve"> were called using GATK </w:t>
      </w:r>
      <w:proofErr w:type="spellStart"/>
      <w:r>
        <w:rPr>
          <w:rFonts w:eastAsia="Times New Roman"/>
        </w:rPr>
        <w:t>HaplotypeCaller</w:t>
      </w:r>
      <w:proofErr w:type="spellEnd"/>
      <w:r>
        <w:rPr>
          <w:rFonts w:eastAsia="Times New Roman"/>
        </w:rPr>
        <w:t xml:space="preserve"> to produce a standard Variant Call Format (VCF) file.</w:t>
      </w:r>
    </w:p>
    <w:p w14:paraId="679FC0A2" w14:textId="77777777" w:rsidR="002A65C8" w:rsidRDefault="002A65C8">
      <w:pPr>
        <w:pStyle w:val="Heading3"/>
        <w:rPr>
          <w:rFonts w:eastAsia="Times New Roman"/>
        </w:rPr>
      </w:pPr>
      <w:r>
        <w:rPr>
          <w:rFonts w:eastAsia="Times New Roman"/>
        </w:rPr>
        <w:t>3. VARIANT FILTRATION &amp; PRIORITIZATION STRATEGY</w:t>
      </w:r>
    </w:p>
    <w:p w14:paraId="76ADE6AF" w14:textId="77777777" w:rsidR="002A65C8" w:rsidRDefault="002A65C8">
      <w:pPr>
        <w:pStyle w:val="NormalWeb"/>
      </w:pPr>
      <w:r>
        <w:t>Variants within the VCF file were systematically filtered and prioritized through the following protocol:</w:t>
      </w:r>
    </w:p>
    <w:p w14:paraId="1D7F6E84" w14:textId="04902C29" w:rsidR="00F336B6" w:rsidRPr="00C34AE6" w:rsidRDefault="002A65C8" w:rsidP="00C34AE6">
      <w:pPr>
        <w:numPr>
          <w:ilvl w:val="0"/>
          <w:numId w:val="3"/>
        </w:numPr>
        <w:spacing w:before="100" w:beforeAutospacing="1" w:after="100" w:afterAutospacing="1" w:line="240" w:lineRule="auto"/>
        <w:rPr>
          <w:rFonts w:eastAsia="Times New Roman"/>
        </w:rPr>
      </w:pPr>
      <w:r>
        <w:rPr>
          <w:rStyle w:val="Strong"/>
          <w:rFonts w:eastAsia="Times New Roman"/>
        </w:rPr>
        <w:t>Quality &amp; Depth Filtering:</w:t>
      </w:r>
      <w:r>
        <w:rPr>
          <w:rFonts w:eastAsia="Times New Roman"/>
        </w:rPr>
        <w:t xml:space="preserve"> Retained variants with PASS flags, read depth \</w:t>
      </w:r>
      <w:proofErr w:type="spellStart"/>
      <w:r>
        <w:rPr>
          <w:rFonts w:eastAsia="Times New Roman"/>
        </w:rPr>
        <w:t>ge</w:t>
      </w:r>
      <w:proofErr w:type="spellEnd"/>
      <w:r>
        <w:rPr>
          <w:rFonts w:eastAsia="Times New Roman"/>
        </w:rPr>
        <w:t xml:space="preserve"> 10\times, and balanced allele ratios.</w:t>
      </w:r>
    </w:p>
    <w:p w14:paraId="724CBC19" w14:textId="77777777" w:rsidR="002A65C8" w:rsidRDefault="002A65C8" w:rsidP="002A65C8">
      <w:pPr>
        <w:numPr>
          <w:ilvl w:val="0"/>
          <w:numId w:val="3"/>
        </w:numPr>
        <w:spacing w:before="100" w:beforeAutospacing="1" w:after="100" w:afterAutospacing="1" w:line="240" w:lineRule="auto"/>
        <w:rPr>
          <w:rFonts w:eastAsia="Times New Roman"/>
        </w:rPr>
      </w:pPr>
      <w:r>
        <w:rPr>
          <w:rStyle w:val="Strong"/>
          <w:rFonts w:eastAsia="Times New Roman"/>
        </w:rPr>
        <w:t>Population Frequency Filter:</w:t>
      </w:r>
      <w:r>
        <w:rPr>
          <w:rFonts w:eastAsia="Times New Roman"/>
        </w:rPr>
        <w:t xml:space="preserve"> Filtered against public population databases (</w:t>
      </w:r>
      <w:proofErr w:type="spellStart"/>
      <w:r>
        <w:rPr>
          <w:rFonts w:eastAsia="Times New Roman"/>
        </w:rPr>
        <w:t>gnomAD</w:t>
      </w:r>
      <w:proofErr w:type="spellEnd"/>
      <w:r>
        <w:rPr>
          <w:rFonts w:eastAsia="Times New Roman"/>
        </w:rPr>
        <w:t xml:space="preserve"> and 1000 Genomes Project). Common polymorphisms were removed, retaining rare variants with a minor allele frequency (MAF) &lt; 0.01 (&lt; 1\%).</w:t>
      </w:r>
    </w:p>
    <w:p w14:paraId="04D8F748" w14:textId="77777777" w:rsidR="002A65C8" w:rsidRDefault="002A65C8" w:rsidP="002A65C8">
      <w:pPr>
        <w:numPr>
          <w:ilvl w:val="0"/>
          <w:numId w:val="3"/>
        </w:numPr>
        <w:spacing w:before="100" w:beforeAutospacing="1" w:after="100" w:afterAutospacing="1" w:line="240" w:lineRule="auto"/>
        <w:rPr>
          <w:rFonts w:eastAsia="Times New Roman"/>
        </w:rPr>
      </w:pPr>
      <w:r>
        <w:rPr>
          <w:rStyle w:val="Strong"/>
          <w:rFonts w:eastAsia="Times New Roman"/>
        </w:rPr>
        <w:t>Genomic Consequence:</w:t>
      </w:r>
      <w:r>
        <w:rPr>
          <w:rFonts w:eastAsia="Times New Roman"/>
        </w:rPr>
        <w:t xml:space="preserve"> Focused on protein-altering coding variants (missense, nonsense, frameshift) and canonical splice-site junctions (\pm 1, 2 </w:t>
      </w:r>
      <w:proofErr w:type="spellStart"/>
      <w:r>
        <w:rPr>
          <w:rFonts w:eastAsia="Times New Roman"/>
        </w:rPr>
        <w:t>bp</w:t>
      </w:r>
      <w:proofErr w:type="spellEnd"/>
      <w:r>
        <w:rPr>
          <w:rFonts w:eastAsia="Times New Roman"/>
        </w:rPr>
        <w:t>).</w:t>
      </w:r>
    </w:p>
    <w:p w14:paraId="129343B9" w14:textId="77777777" w:rsidR="002A65C8" w:rsidRDefault="002A65C8" w:rsidP="002A65C8">
      <w:pPr>
        <w:numPr>
          <w:ilvl w:val="0"/>
          <w:numId w:val="3"/>
        </w:numPr>
        <w:spacing w:before="100" w:beforeAutospacing="1" w:after="100" w:afterAutospacing="1" w:line="240" w:lineRule="auto"/>
        <w:rPr>
          <w:rFonts w:eastAsia="Times New Roman"/>
        </w:rPr>
      </w:pPr>
      <w:r>
        <w:rPr>
          <w:rStyle w:val="Strong"/>
          <w:rFonts w:eastAsia="Times New Roman"/>
        </w:rPr>
        <w:t xml:space="preserve">ACMG/AMP Classification &amp; </w:t>
      </w:r>
      <w:proofErr w:type="spellStart"/>
      <w:r>
        <w:rPr>
          <w:rStyle w:val="Strong"/>
          <w:rFonts w:eastAsia="Times New Roman"/>
        </w:rPr>
        <w:t>ClinVar</w:t>
      </w:r>
      <w:proofErr w:type="spellEnd"/>
      <w:r>
        <w:rPr>
          <w:rStyle w:val="Strong"/>
          <w:rFonts w:eastAsia="Times New Roman"/>
        </w:rPr>
        <w:t xml:space="preserve"> Evaluation:</w:t>
      </w:r>
      <w:r>
        <w:rPr>
          <w:rFonts w:eastAsia="Times New Roman"/>
        </w:rPr>
        <w:t xml:space="preserve"> Candidate variants in both identified genes were evaluated using ACMG/AMP clinical guidelines and queried against </w:t>
      </w:r>
      <w:proofErr w:type="spellStart"/>
      <w:r>
        <w:rPr>
          <w:rFonts w:eastAsia="Times New Roman"/>
        </w:rPr>
        <w:t>ClinVar</w:t>
      </w:r>
      <w:proofErr w:type="spellEnd"/>
      <w:r>
        <w:rPr>
          <w:rFonts w:eastAsia="Times New Roman"/>
        </w:rPr>
        <w:t xml:space="preserve">. Variants identified in both </w:t>
      </w:r>
      <w:r>
        <w:rPr>
          <w:rStyle w:val="Emphasis"/>
          <w:rFonts w:eastAsia="Times New Roman"/>
          <w:b/>
          <w:bCs/>
        </w:rPr>
        <w:t>SYNE1</w:t>
      </w:r>
      <w:r>
        <w:rPr>
          <w:rFonts w:eastAsia="Times New Roman"/>
        </w:rPr>
        <w:t xml:space="preserve"> and </w:t>
      </w:r>
      <w:r>
        <w:rPr>
          <w:rStyle w:val="Emphasis"/>
          <w:rFonts w:eastAsia="Times New Roman"/>
          <w:b/>
          <w:bCs/>
        </w:rPr>
        <w:t>NBN</w:t>
      </w:r>
      <w:r>
        <w:rPr>
          <w:rFonts w:eastAsia="Times New Roman"/>
        </w:rPr>
        <w:t xml:space="preserve"> are currently classified as </w:t>
      </w:r>
      <w:r>
        <w:rPr>
          <w:rStyle w:val="Strong"/>
          <w:rFonts w:eastAsia="Times New Roman"/>
        </w:rPr>
        <w:t>Variants of Uncertain Significance (VUS)</w:t>
      </w:r>
      <w:r>
        <w:rPr>
          <w:rFonts w:eastAsia="Times New Roman"/>
        </w:rPr>
        <w:t xml:space="preserve"> in </w:t>
      </w:r>
      <w:proofErr w:type="spellStart"/>
      <w:r>
        <w:rPr>
          <w:rFonts w:eastAsia="Times New Roman"/>
        </w:rPr>
        <w:t>ClinVar</w:t>
      </w:r>
      <w:proofErr w:type="spellEnd"/>
      <w:r>
        <w:rPr>
          <w:rFonts w:eastAsia="Times New Roman"/>
        </w:rPr>
        <w:t xml:space="preserve"> and under ACMG guidelines. Detailed phenotypic matching, scientific literature reviews, and familial co-segregation studies are therefore required to clarify their pathogenicity.</w:t>
      </w:r>
    </w:p>
    <w:p w14:paraId="3699DD62" w14:textId="77777777" w:rsidR="002A65C8" w:rsidRDefault="002A65C8" w:rsidP="002A65C8">
      <w:pPr>
        <w:numPr>
          <w:ilvl w:val="0"/>
          <w:numId w:val="3"/>
        </w:numPr>
        <w:spacing w:before="100" w:beforeAutospacing="1" w:after="100" w:afterAutospacing="1" w:line="240" w:lineRule="auto"/>
        <w:rPr>
          <w:rFonts w:eastAsia="Times New Roman"/>
        </w:rPr>
      </w:pPr>
      <w:r>
        <w:rPr>
          <w:rStyle w:val="Strong"/>
          <w:rFonts w:eastAsia="Times New Roman"/>
        </w:rPr>
        <w:t>Phenotypic Concordance via OMIM:</w:t>
      </w:r>
      <w:r>
        <w:rPr>
          <w:rFonts w:eastAsia="Times New Roman"/>
        </w:rPr>
        <w:t xml:space="preserve"> Filtered candidate genes were cross-referenced against OMIM records correlating with cognitive impairment, developmental delay, and strabismus.</w:t>
      </w:r>
    </w:p>
    <w:p w14:paraId="47CED5E3" w14:textId="77777777" w:rsidR="002A65C8" w:rsidRDefault="002A65C8">
      <w:pPr>
        <w:pStyle w:val="Heading3"/>
        <w:rPr>
          <w:rFonts w:eastAsia="Times New Roman"/>
        </w:rPr>
      </w:pPr>
      <w:r>
        <w:rPr>
          <w:rFonts w:eastAsia="Times New Roman"/>
        </w:rPr>
        <w:t>4. CANDIDATE GENES EVALUATION &amp; SCIENTIFIC EVIDENCE</w:t>
      </w:r>
    </w:p>
    <w:p w14:paraId="4705DD85" w14:textId="77777777" w:rsidR="006C3BF6" w:rsidRDefault="006C3BF6">
      <w:pPr>
        <w:pStyle w:val="Heading4"/>
        <w:rPr>
          <w:rFonts w:eastAsia="Times New Roman"/>
        </w:rPr>
      </w:pPr>
    </w:p>
    <w:p w14:paraId="64F044C6" w14:textId="7DB9412A" w:rsidR="002A65C8" w:rsidRDefault="002A65C8">
      <w:pPr>
        <w:pStyle w:val="Heading4"/>
        <w:rPr>
          <w:rFonts w:eastAsia="Times New Roman"/>
        </w:rPr>
      </w:pPr>
      <w:r>
        <w:rPr>
          <w:rFonts w:eastAsia="Times New Roman"/>
        </w:rPr>
        <w:t xml:space="preserve">A. Candidate Gene 1: </w:t>
      </w:r>
      <w:r>
        <w:rPr>
          <w:rStyle w:val="Emphasis"/>
          <w:rFonts w:eastAsia="Times New Roman"/>
        </w:rPr>
        <w:t>SYNE1</w:t>
      </w:r>
      <w:r>
        <w:rPr>
          <w:rFonts w:eastAsia="Times New Roman"/>
        </w:rPr>
        <w:t xml:space="preserve"> (</w:t>
      </w:r>
      <w:proofErr w:type="spellStart"/>
      <w:r>
        <w:rPr>
          <w:rFonts w:eastAsia="Times New Roman"/>
        </w:rPr>
        <w:t>Spectrin</w:t>
      </w:r>
      <w:proofErr w:type="spellEnd"/>
      <w:r>
        <w:rPr>
          <w:rFonts w:eastAsia="Times New Roman"/>
        </w:rPr>
        <w:t xml:space="preserve"> Repeat Containing Nuclear Envelope Protein 1)</w:t>
      </w:r>
    </w:p>
    <w:p w14:paraId="708B3B90" w14:textId="77777777" w:rsidR="002A65C8" w:rsidRDefault="002A65C8" w:rsidP="00DE1A18">
      <w:pPr>
        <w:spacing w:before="100" w:beforeAutospacing="1" w:after="100" w:afterAutospacing="1" w:line="240" w:lineRule="auto"/>
        <w:ind w:left="360"/>
        <w:rPr>
          <w:rFonts w:eastAsia="Times New Roman"/>
        </w:rPr>
      </w:pPr>
      <w:r>
        <w:rPr>
          <w:rStyle w:val="Strong"/>
          <w:rFonts w:eastAsia="Times New Roman"/>
        </w:rPr>
        <w:t>OMIM Identifiers:</w:t>
      </w:r>
      <w:r>
        <w:rPr>
          <w:rFonts w:eastAsia="Times New Roman"/>
        </w:rPr>
        <w:t xml:space="preserve"> Gene: *608441 | Associated Phenotype: Spinocerebellar Ataxia, Autosomal Recessive 8 (SCAR8 / ARCA1) – #610743; Emery-</w:t>
      </w:r>
      <w:proofErr w:type="spellStart"/>
      <w:r>
        <w:rPr>
          <w:rFonts w:eastAsia="Times New Roman"/>
        </w:rPr>
        <w:t>Dreifuss</w:t>
      </w:r>
      <w:proofErr w:type="spellEnd"/>
      <w:r>
        <w:rPr>
          <w:rFonts w:eastAsia="Times New Roman"/>
        </w:rPr>
        <w:t xml:space="preserve"> Muscular Dystrophy; Autosomal Recessive Cognitive Delay</w:t>
      </w:r>
    </w:p>
    <w:p w14:paraId="538B8C66" w14:textId="77777777" w:rsidR="000F4F7E" w:rsidRDefault="002A65C8" w:rsidP="002A65C8">
      <w:pPr>
        <w:numPr>
          <w:ilvl w:val="0"/>
          <w:numId w:val="4"/>
        </w:numPr>
        <w:spacing w:before="100" w:beforeAutospacing="1" w:after="100" w:afterAutospacing="1" w:line="240" w:lineRule="auto"/>
        <w:rPr>
          <w:rFonts w:eastAsia="Times New Roman"/>
        </w:rPr>
      </w:pPr>
      <w:r w:rsidRPr="00FB1CC2">
        <w:rPr>
          <w:rStyle w:val="Strong"/>
          <w:rFonts w:eastAsia="Times New Roman"/>
        </w:rPr>
        <w:t>Clinical Classification:</w:t>
      </w:r>
      <w:r w:rsidRPr="00FB1CC2">
        <w:rPr>
          <w:rFonts w:eastAsia="Times New Roman"/>
        </w:rPr>
        <w:t xml:space="preserve"> </w:t>
      </w:r>
      <w:r w:rsidR="00FB1CC2" w:rsidRPr="00FB1CC2">
        <w:rPr>
          <w:rFonts w:eastAsia="Times New Roman"/>
        </w:rPr>
        <w:t xml:space="preserve">The identified variant, c.7324C&gt;T, is classified as a Variant of Uncertain Significance (VUS) based on ACMG/AMP guidelines and </w:t>
      </w:r>
      <w:proofErr w:type="spellStart"/>
      <w:r w:rsidR="00FB1CC2" w:rsidRPr="00FB1CC2">
        <w:rPr>
          <w:rFonts w:eastAsia="Times New Roman"/>
        </w:rPr>
        <w:t>ClinVar</w:t>
      </w:r>
      <w:proofErr w:type="spellEnd"/>
      <w:r w:rsidR="00FB1CC2" w:rsidRPr="00FB1CC2">
        <w:rPr>
          <w:rFonts w:eastAsia="Times New Roman"/>
        </w:rPr>
        <w:t xml:space="preserve"> entries.</w:t>
      </w:r>
    </w:p>
    <w:p w14:paraId="466046ED" w14:textId="66D9FB53" w:rsidR="002A65C8" w:rsidRPr="00FB1CC2" w:rsidRDefault="002A65C8" w:rsidP="002A65C8">
      <w:pPr>
        <w:numPr>
          <w:ilvl w:val="0"/>
          <w:numId w:val="4"/>
        </w:numPr>
        <w:spacing w:before="100" w:beforeAutospacing="1" w:after="100" w:afterAutospacing="1" w:line="240" w:lineRule="auto"/>
        <w:rPr>
          <w:rFonts w:eastAsia="Times New Roman"/>
        </w:rPr>
      </w:pPr>
      <w:r w:rsidRPr="00FB1CC2">
        <w:rPr>
          <w:rStyle w:val="Strong"/>
          <w:rFonts w:eastAsia="Times New Roman"/>
        </w:rPr>
        <w:t>Biological Function:</w:t>
      </w:r>
      <w:r w:rsidRPr="00FB1CC2">
        <w:rPr>
          <w:rFonts w:eastAsia="Times New Roman"/>
        </w:rPr>
        <w:t xml:space="preserve"> </w:t>
      </w:r>
      <w:r w:rsidRPr="00FB1CC2">
        <w:rPr>
          <w:rStyle w:val="Emphasis"/>
          <w:rFonts w:eastAsia="Times New Roman"/>
        </w:rPr>
        <w:t>SYNE1</w:t>
      </w:r>
      <w:r w:rsidRPr="00FB1CC2">
        <w:rPr>
          <w:rFonts w:eastAsia="Times New Roman"/>
        </w:rPr>
        <w:t xml:space="preserve"> encodes nesprin-1, a nuclear envelope protein that anchors the outer nuclear membrane to the actin cytoskeleton (LINC complex). It is critical for nuclear positioning, neurogenesis, and the structural integrity of neuronal and neuromuscular junctions.</w:t>
      </w:r>
    </w:p>
    <w:p w14:paraId="768DC950" w14:textId="77777777" w:rsidR="002A65C8" w:rsidRDefault="002A65C8" w:rsidP="002A65C8">
      <w:pPr>
        <w:numPr>
          <w:ilvl w:val="0"/>
          <w:numId w:val="4"/>
        </w:numPr>
        <w:spacing w:before="100" w:beforeAutospacing="1" w:after="100" w:afterAutospacing="1" w:line="240" w:lineRule="auto"/>
        <w:rPr>
          <w:rFonts w:eastAsia="Times New Roman"/>
        </w:rPr>
      </w:pPr>
      <w:r>
        <w:rPr>
          <w:rStyle w:val="Strong"/>
          <w:rFonts w:eastAsia="Times New Roman"/>
        </w:rPr>
        <w:t>Phenotypic Correlation &amp; Evidence:</w:t>
      </w:r>
    </w:p>
    <w:p w14:paraId="3870EC63" w14:textId="77777777" w:rsidR="002A65C8" w:rsidRDefault="002A65C8" w:rsidP="002A65C8">
      <w:pPr>
        <w:numPr>
          <w:ilvl w:val="1"/>
          <w:numId w:val="4"/>
        </w:numPr>
        <w:spacing w:before="100" w:beforeAutospacing="1" w:after="100" w:afterAutospacing="1" w:line="240" w:lineRule="auto"/>
        <w:rPr>
          <w:rFonts w:eastAsia="Times New Roman"/>
        </w:rPr>
      </w:pPr>
      <w:r>
        <w:rPr>
          <w:rFonts w:eastAsia="Times New Roman"/>
        </w:rPr>
        <w:t xml:space="preserve">Although classical </w:t>
      </w:r>
      <w:r>
        <w:rPr>
          <w:rStyle w:val="Emphasis"/>
          <w:rFonts w:eastAsia="Times New Roman"/>
        </w:rPr>
        <w:t>SYNE1</w:t>
      </w:r>
      <w:r>
        <w:rPr>
          <w:rFonts w:eastAsia="Times New Roman"/>
        </w:rPr>
        <w:t xml:space="preserve"> mutations lead to adolescent- or adult-onset ataxia, modern </w:t>
      </w:r>
      <w:proofErr w:type="spellStart"/>
      <w:r>
        <w:rPr>
          <w:rFonts w:eastAsia="Times New Roman"/>
        </w:rPr>
        <w:t>exome</w:t>
      </w:r>
      <w:proofErr w:type="spellEnd"/>
      <w:r>
        <w:rPr>
          <w:rFonts w:eastAsia="Times New Roman"/>
        </w:rPr>
        <w:t xml:space="preserve"> cohort studies demonstrate that the phenotypic spectrum includes </w:t>
      </w:r>
      <w:r>
        <w:rPr>
          <w:rStyle w:val="Strong"/>
          <w:rFonts w:eastAsia="Times New Roman"/>
        </w:rPr>
        <w:t>early-onset global developmental delay, intellectual disability, and prominent oculomotor abnormalities, specifically strabismus and oculomotor apraxia</w:t>
      </w:r>
      <w:r>
        <w:rPr>
          <w:rFonts w:eastAsia="Times New Roman"/>
        </w:rPr>
        <w:t>.</w:t>
      </w:r>
    </w:p>
    <w:p w14:paraId="5F296236" w14:textId="77777777" w:rsidR="002A65C8" w:rsidRDefault="002A65C8" w:rsidP="002A65C8">
      <w:pPr>
        <w:numPr>
          <w:ilvl w:val="1"/>
          <w:numId w:val="4"/>
        </w:numPr>
        <w:spacing w:before="100" w:beforeAutospacing="1" w:after="100" w:afterAutospacing="1" w:line="240" w:lineRule="auto"/>
        <w:rPr>
          <w:rFonts w:eastAsia="Times New Roman"/>
        </w:rPr>
      </w:pPr>
      <w:r>
        <w:rPr>
          <w:rFonts w:eastAsia="Times New Roman"/>
        </w:rPr>
        <w:t>Cerebellar and cranial nerve circuit disruption secondary to defective nesprin-1 function provides a biological basis for the cognitive delay and strabismus observed in the affected siblings.</w:t>
      </w:r>
    </w:p>
    <w:p w14:paraId="51A9A010" w14:textId="77777777" w:rsidR="002A65C8" w:rsidRDefault="002A65C8">
      <w:pPr>
        <w:pStyle w:val="Heading4"/>
        <w:rPr>
          <w:rFonts w:eastAsia="Times New Roman"/>
        </w:rPr>
      </w:pPr>
      <w:r>
        <w:rPr>
          <w:rFonts w:eastAsia="Times New Roman"/>
        </w:rPr>
        <w:t xml:space="preserve">B. Candidate Gene 2: </w:t>
      </w:r>
      <w:r>
        <w:rPr>
          <w:rStyle w:val="Emphasis"/>
          <w:rFonts w:eastAsia="Times New Roman"/>
        </w:rPr>
        <w:t>NBN</w:t>
      </w:r>
      <w:r>
        <w:rPr>
          <w:rFonts w:eastAsia="Times New Roman"/>
        </w:rPr>
        <w:t xml:space="preserve"> (</w:t>
      </w:r>
      <w:proofErr w:type="spellStart"/>
      <w:r>
        <w:rPr>
          <w:rFonts w:eastAsia="Times New Roman"/>
        </w:rPr>
        <w:t>Nibrin</w:t>
      </w:r>
      <w:proofErr w:type="spellEnd"/>
      <w:r>
        <w:rPr>
          <w:rFonts w:eastAsia="Times New Roman"/>
        </w:rPr>
        <w:t>)</w:t>
      </w:r>
    </w:p>
    <w:p w14:paraId="736E559C" w14:textId="77777777" w:rsidR="002A65C8" w:rsidRDefault="002A65C8" w:rsidP="002A65C8">
      <w:pPr>
        <w:numPr>
          <w:ilvl w:val="0"/>
          <w:numId w:val="5"/>
        </w:numPr>
        <w:spacing w:before="100" w:beforeAutospacing="1" w:after="100" w:afterAutospacing="1" w:line="240" w:lineRule="auto"/>
        <w:rPr>
          <w:rFonts w:eastAsia="Times New Roman"/>
        </w:rPr>
      </w:pPr>
      <w:r>
        <w:rPr>
          <w:rStyle w:val="Strong"/>
          <w:rFonts w:eastAsia="Times New Roman"/>
        </w:rPr>
        <w:t>OMIM Identifiers:</w:t>
      </w:r>
      <w:r>
        <w:rPr>
          <w:rFonts w:eastAsia="Times New Roman"/>
        </w:rPr>
        <w:t xml:space="preserve"> Gene: *602667 | Associated Phenotype: Nijmegen Breakage Syndrome (NBS) – #251260</w:t>
      </w:r>
    </w:p>
    <w:p w14:paraId="50563B30" w14:textId="5F677FCB" w:rsidR="00726268" w:rsidRDefault="002A65C8" w:rsidP="002A65C8">
      <w:pPr>
        <w:numPr>
          <w:ilvl w:val="0"/>
          <w:numId w:val="5"/>
        </w:numPr>
        <w:spacing w:before="100" w:beforeAutospacing="1" w:after="100" w:afterAutospacing="1" w:line="240" w:lineRule="auto"/>
        <w:rPr>
          <w:rFonts w:eastAsia="Times New Roman"/>
        </w:rPr>
      </w:pPr>
      <w:r w:rsidRPr="00CB24F7">
        <w:rPr>
          <w:rStyle w:val="Strong"/>
          <w:rFonts w:eastAsia="Times New Roman"/>
        </w:rPr>
        <w:t>Clinical Classification:</w:t>
      </w:r>
      <w:r w:rsidRPr="00CB24F7">
        <w:rPr>
          <w:rFonts w:eastAsia="Times New Roman"/>
        </w:rPr>
        <w:t xml:space="preserve"> </w:t>
      </w:r>
      <w:r w:rsidR="00CB24F7" w:rsidRPr="00CB24F7">
        <w:rPr>
          <w:rFonts w:eastAsia="Times New Roman"/>
        </w:rPr>
        <w:t>The identified variant, c.</w:t>
      </w:r>
      <w:r w:rsidR="00680E05">
        <w:rPr>
          <w:rFonts w:eastAsia="Times New Roman"/>
        </w:rPr>
        <w:t>633T</w:t>
      </w:r>
      <w:r w:rsidR="00CB24F7" w:rsidRPr="00CB24F7">
        <w:rPr>
          <w:rFonts w:eastAsia="Times New Roman"/>
        </w:rPr>
        <w:t>&gt;</w:t>
      </w:r>
      <w:r w:rsidR="007539FB">
        <w:rPr>
          <w:rFonts w:eastAsia="Times New Roman"/>
        </w:rPr>
        <w:t>A</w:t>
      </w:r>
      <w:r w:rsidR="00CB24F7" w:rsidRPr="00CB24F7">
        <w:rPr>
          <w:rFonts w:eastAsia="Times New Roman"/>
        </w:rPr>
        <w:t xml:space="preserve">, is classified as a Variant of Uncertain Significance (VUS) based on ACMG/AMP guidelines and </w:t>
      </w:r>
      <w:proofErr w:type="spellStart"/>
      <w:r w:rsidR="00CB24F7" w:rsidRPr="00CB24F7">
        <w:rPr>
          <w:rFonts w:eastAsia="Times New Roman"/>
        </w:rPr>
        <w:t>ClinVar</w:t>
      </w:r>
      <w:proofErr w:type="spellEnd"/>
      <w:r w:rsidR="00CB24F7" w:rsidRPr="00CB24F7">
        <w:rPr>
          <w:rFonts w:eastAsia="Times New Roman"/>
        </w:rPr>
        <w:t xml:space="preserve"> entries</w:t>
      </w:r>
      <w:r w:rsidR="00726268">
        <w:rPr>
          <w:rFonts w:eastAsia="Times New Roman"/>
        </w:rPr>
        <w:t>.</w:t>
      </w:r>
    </w:p>
    <w:p w14:paraId="5BD984A5" w14:textId="43D7FEC9" w:rsidR="002A65C8" w:rsidRPr="00CB24F7" w:rsidRDefault="002A65C8" w:rsidP="002A65C8">
      <w:pPr>
        <w:numPr>
          <w:ilvl w:val="0"/>
          <w:numId w:val="5"/>
        </w:numPr>
        <w:spacing w:before="100" w:beforeAutospacing="1" w:after="100" w:afterAutospacing="1" w:line="240" w:lineRule="auto"/>
        <w:rPr>
          <w:rFonts w:eastAsia="Times New Roman"/>
        </w:rPr>
      </w:pPr>
      <w:r w:rsidRPr="00CB24F7">
        <w:rPr>
          <w:rStyle w:val="Strong"/>
          <w:rFonts w:eastAsia="Times New Roman"/>
        </w:rPr>
        <w:t>Biological Function:</w:t>
      </w:r>
      <w:r w:rsidRPr="00CB24F7">
        <w:rPr>
          <w:rFonts w:eastAsia="Times New Roman"/>
        </w:rPr>
        <w:t xml:space="preserve"> The </w:t>
      </w:r>
      <w:r w:rsidRPr="00CB24F7">
        <w:rPr>
          <w:rStyle w:val="Emphasis"/>
          <w:rFonts w:eastAsia="Times New Roman"/>
        </w:rPr>
        <w:t>NBN</w:t>
      </w:r>
      <w:r w:rsidRPr="00CB24F7">
        <w:rPr>
          <w:rFonts w:eastAsia="Times New Roman"/>
        </w:rPr>
        <w:t xml:space="preserve"> gene encodes </w:t>
      </w:r>
      <w:proofErr w:type="spellStart"/>
      <w:r w:rsidRPr="00CB24F7">
        <w:rPr>
          <w:rFonts w:eastAsia="Times New Roman"/>
        </w:rPr>
        <w:t>nibrin</w:t>
      </w:r>
      <w:proofErr w:type="spellEnd"/>
      <w:r w:rsidRPr="00CB24F7">
        <w:rPr>
          <w:rFonts w:eastAsia="Times New Roman"/>
        </w:rPr>
        <w:t>, an essential component of the MRN complex (composed of MRE11, RAD50, and NBN). The MRN complex serves as a primary sensor of DNA double-strand breaks (DSBs), coordinating DNA repair pathways and cell-cycle checkpoint activation.</w:t>
      </w:r>
    </w:p>
    <w:p w14:paraId="42C296C4" w14:textId="77777777" w:rsidR="002A65C8" w:rsidRDefault="002A65C8" w:rsidP="002A65C8">
      <w:pPr>
        <w:numPr>
          <w:ilvl w:val="0"/>
          <w:numId w:val="5"/>
        </w:numPr>
        <w:spacing w:before="100" w:beforeAutospacing="1" w:after="100" w:afterAutospacing="1" w:line="240" w:lineRule="auto"/>
        <w:rPr>
          <w:rFonts w:eastAsia="Times New Roman"/>
        </w:rPr>
      </w:pPr>
      <w:r>
        <w:rPr>
          <w:rStyle w:val="Strong"/>
          <w:rFonts w:eastAsia="Times New Roman"/>
        </w:rPr>
        <w:t>Phenotypic Correlation &amp; Literature Support:</w:t>
      </w:r>
    </w:p>
    <w:p w14:paraId="3E1EBB77" w14:textId="77777777" w:rsidR="002A65C8" w:rsidRDefault="002A65C8" w:rsidP="002A65C8">
      <w:pPr>
        <w:numPr>
          <w:ilvl w:val="1"/>
          <w:numId w:val="5"/>
        </w:numPr>
        <w:spacing w:before="100" w:beforeAutospacing="1" w:after="100" w:afterAutospacing="1" w:line="240" w:lineRule="auto"/>
        <w:rPr>
          <w:rFonts w:eastAsia="Times New Roman"/>
        </w:rPr>
      </w:pPr>
      <w:r>
        <w:rPr>
          <w:rFonts w:eastAsia="Times New Roman"/>
        </w:rPr>
        <w:t xml:space="preserve">Autosomal recessive </w:t>
      </w:r>
      <w:r>
        <w:rPr>
          <w:rStyle w:val="Emphasis"/>
          <w:rFonts w:eastAsia="Times New Roman"/>
        </w:rPr>
        <w:t>NBN</w:t>
      </w:r>
      <w:r>
        <w:rPr>
          <w:rFonts w:eastAsia="Times New Roman"/>
        </w:rPr>
        <w:t xml:space="preserve"> defects lead to Nijmegen breakage syndrome, which is classically associated with microcephaly, immunodeficiency, </w:t>
      </w:r>
      <w:proofErr w:type="spellStart"/>
      <w:r>
        <w:rPr>
          <w:rFonts w:eastAsia="Times New Roman"/>
        </w:rPr>
        <w:t>radiosensitivity</w:t>
      </w:r>
      <w:proofErr w:type="spellEnd"/>
      <w:r>
        <w:rPr>
          <w:rFonts w:eastAsia="Times New Roman"/>
        </w:rPr>
        <w:t xml:space="preserve">, and a predisposition to lymphoid malignancies. From a neurodevelopmental perspective, affected individuals consistently show </w:t>
      </w:r>
      <w:proofErr w:type="spellStart"/>
      <w:r>
        <w:rPr>
          <w:rStyle w:val="Strong"/>
          <w:rFonts w:eastAsia="Times New Roman"/>
        </w:rPr>
        <w:t>neuropsychomotor</w:t>
      </w:r>
      <w:proofErr w:type="spellEnd"/>
      <w:r>
        <w:rPr>
          <w:rStyle w:val="Strong"/>
          <w:rFonts w:eastAsia="Times New Roman"/>
        </w:rPr>
        <w:t xml:space="preserve"> developmental delay and mild-to-moderate/trainable intellectual disability</w:t>
      </w:r>
      <w:r>
        <w:rPr>
          <w:rFonts w:eastAsia="Times New Roman"/>
        </w:rPr>
        <w:t>.</w:t>
      </w:r>
    </w:p>
    <w:p w14:paraId="3C0A8B0A" w14:textId="77777777" w:rsidR="002A65C8" w:rsidRDefault="002A65C8" w:rsidP="002A65C8">
      <w:pPr>
        <w:numPr>
          <w:ilvl w:val="1"/>
          <w:numId w:val="5"/>
        </w:numPr>
        <w:spacing w:before="100" w:beforeAutospacing="1" w:after="100" w:afterAutospacing="1" w:line="240" w:lineRule="auto"/>
        <w:rPr>
          <w:rFonts w:eastAsia="Times New Roman"/>
        </w:rPr>
      </w:pPr>
      <w:r>
        <w:rPr>
          <w:rFonts w:eastAsia="Times New Roman"/>
        </w:rPr>
        <w:t xml:space="preserve">Regarding the ocular phenotype, </w:t>
      </w:r>
      <w:r>
        <w:rPr>
          <w:rStyle w:val="Strong"/>
          <w:rFonts w:eastAsia="Times New Roman"/>
        </w:rPr>
        <w:t>strabismus</w:t>
      </w:r>
      <w:r>
        <w:rPr>
          <w:rFonts w:eastAsia="Times New Roman"/>
        </w:rPr>
        <w:t xml:space="preserve"> has been established in the literature as an associated feature. Specifically, </w:t>
      </w:r>
      <w:proofErr w:type="spellStart"/>
      <w:r>
        <w:rPr>
          <w:rStyle w:val="Strong"/>
          <w:rFonts w:eastAsia="Times New Roman"/>
        </w:rPr>
        <w:t>Maraschio</w:t>
      </w:r>
      <w:proofErr w:type="spellEnd"/>
      <w:r>
        <w:rPr>
          <w:rStyle w:val="Strong"/>
          <w:rFonts w:eastAsia="Times New Roman"/>
        </w:rPr>
        <w:t xml:space="preserve"> et al. (2001, </w:t>
      </w:r>
      <w:r>
        <w:rPr>
          <w:rStyle w:val="Emphasis"/>
          <w:rFonts w:eastAsia="Times New Roman"/>
          <w:b/>
          <w:bCs/>
        </w:rPr>
        <w:t>Journal of Medical Genetics</w:t>
      </w:r>
      <w:r>
        <w:rPr>
          <w:rStyle w:val="Strong"/>
          <w:rFonts w:eastAsia="Times New Roman"/>
        </w:rPr>
        <w:t>, 38: 113–117)</w:t>
      </w:r>
      <w:r>
        <w:rPr>
          <w:rFonts w:eastAsia="Times New Roman"/>
        </w:rPr>
        <w:t xml:space="preserve"> documented a patient with a homozygous </w:t>
      </w:r>
      <w:r>
        <w:rPr>
          <w:rStyle w:val="Emphasis"/>
          <w:rFonts w:eastAsia="Times New Roman"/>
        </w:rPr>
        <w:t>NBN</w:t>
      </w:r>
      <w:r>
        <w:rPr>
          <w:rFonts w:eastAsia="Times New Roman"/>
        </w:rPr>
        <w:t xml:space="preserve"> mutation (a 25-bp deletion in exon 8: </w:t>
      </w:r>
      <w:r>
        <w:rPr>
          <w:rStyle w:val="HTMLCode"/>
        </w:rPr>
        <w:t>900del25</w:t>
      </w:r>
      <w:r>
        <w:rPr>
          <w:rFonts w:eastAsia="Times New Roman"/>
        </w:rPr>
        <w:t>). Clinical examination revealed:</w:t>
      </w:r>
    </w:p>
    <w:p w14:paraId="7B84CB0E" w14:textId="77777777" w:rsidR="002A65C8" w:rsidRDefault="002A65C8">
      <w:pPr>
        <w:pStyle w:val="NormalWeb"/>
        <w:ind w:left="1440"/>
      </w:pPr>
      <w:r>
        <w:rPr>
          <w:rStyle w:val="Emphasis"/>
        </w:rPr>
        <w:t xml:space="preserve">"Physical examination showed a 'bird-like' face with </w:t>
      </w:r>
      <w:r>
        <w:rPr>
          <w:rStyle w:val="Strong"/>
          <w:i/>
          <w:iCs/>
        </w:rPr>
        <w:t>strabismus</w:t>
      </w:r>
      <w:r>
        <w:rPr>
          <w:rStyle w:val="Emphasis"/>
        </w:rPr>
        <w:t>, downward slanting palpebral fissures, large and low set dysmorphic ears, and a high palate..."</w:t>
      </w:r>
      <w:r>
        <w:t xml:space="preserve"> The patient also presented with significant </w:t>
      </w:r>
      <w:proofErr w:type="spellStart"/>
      <w:r>
        <w:t>neuropsychomotor</w:t>
      </w:r>
      <w:proofErr w:type="spellEnd"/>
      <w:r>
        <w:t xml:space="preserve"> developmental delay.</w:t>
      </w:r>
    </w:p>
    <w:p w14:paraId="306EE2C8" w14:textId="77777777" w:rsidR="002A65C8" w:rsidRDefault="002A65C8" w:rsidP="002A65C8">
      <w:pPr>
        <w:numPr>
          <w:ilvl w:val="1"/>
          <w:numId w:val="5"/>
        </w:numPr>
        <w:spacing w:before="100" w:beforeAutospacing="1" w:after="100" w:afterAutospacing="1" w:line="240" w:lineRule="auto"/>
        <w:rPr>
          <w:rFonts w:eastAsia="Times New Roman"/>
        </w:rPr>
      </w:pPr>
      <w:r>
        <w:rPr>
          <w:rFonts w:eastAsia="Times New Roman"/>
        </w:rPr>
        <w:t xml:space="preserve">This evidence confirms that strabismus combined with developmental delay and trainable cognitive impairment falls within the expanded clinical spectrum of </w:t>
      </w:r>
      <w:r>
        <w:rPr>
          <w:rStyle w:val="Emphasis"/>
          <w:rFonts w:eastAsia="Times New Roman"/>
        </w:rPr>
        <w:t>NBN</w:t>
      </w:r>
      <w:r>
        <w:rPr>
          <w:rFonts w:eastAsia="Times New Roman"/>
        </w:rPr>
        <w:t xml:space="preserve"> deficiency.</w:t>
      </w:r>
    </w:p>
    <w:p w14:paraId="5870D2A9" w14:textId="77777777" w:rsidR="002A65C8" w:rsidRDefault="002A65C8">
      <w:pPr>
        <w:pStyle w:val="Heading3"/>
        <w:rPr>
          <w:rFonts w:eastAsia="Times New Roman"/>
        </w:rPr>
      </w:pPr>
      <w:r>
        <w:rPr>
          <w:rFonts w:eastAsia="Times New Roman"/>
        </w:rPr>
        <w:t>Recommended Actions:</w:t>
      </w:r>
    </w:p>
    <w:p w14:paraId="63A95BCA" w14:textId="4FBB618D" w:rsidR="002A65C8" w:rsidRDefault="002A65C8" w:rsidP="00866B65">
      <w:pPr>
        <w:spacing w:before="100" w:beforeAutospacing="1" w:after="100" w:afterAutospacing="1" w:line="240" w:lineRule="auto"/>
        <w:ind w:left="720"/>
        <w:rPr>
          <w:rFonts w:eastAsia="Times New Roman"/>
        </w:rPr>
      </w:pPr>
      <w:r>
        <w:rPr>
          <w:rStyle w:val="Strong"/>
          <w:rFonts w:eastAsia="Times New Roman"/>
        </w:rPr>
        <w:t>Sanger Sequencing &amp; Familial Segregation Analysis:</w:t>
      </w:r>
      <w:r>
        <w:rPr>
          <w:rFonts w:eastAsia="Times New Roman"/>
        </w:rPr>
        <w:t xml:space="preserve"> Because both candidate variants are currently classified as </w:t>
      </w:r>
      <w:r>
        <w:rPr>
          <w:rStyle w:val="Strong"/>
          <w:rFonts w:eastAsia="Times New Roman"/>
        </w:rPr>
        <w:t>VUS</w:t>
      </w:r>
      <w:r>
        <w:rPr>
          <w:rFonts w:eastAsia="Times New Roman"/>
        </w:rPr>
        <w:t xml:space="preserve">, validate each variant via Sanger sequencing in the </w:t>
      </w:r>
      <w:proofErr w:type="spellStart"/>
      <w:r>
        <w:rPr>
          <w:rFonts w:eastAsia="Times New Roman"/>
        </w:rPr>
        <w:t>proband</w:t>
      </w:r>
      <w:proofErr w:type="spellEnd"/>
      <w:r>
        <w:rPr>
          <w:rFonts w:eastAsia="Times New Roman"/>
        </w:rPr>
        <w:t xml:space="preserve"> (III-1) and test the parents (II-1, II-2), affected siblings (III-4, III-</w:t>
      </w:r>
      <w:r w:rsidR="00910767">
        <w:rPr>
          <w:rFonts w:eastAsia="Times New Roman"/>
        </w:rPr>
        <w:t>3</w:t>
      </w:r>
      <w:r>
        <w:rPr>
          <w:rFonts w:eastAsia="Times New Roman"/>
        </w:rPr>
        <w:t>), and unaffected siblings (III-2, III-5, III-6) to verify strict co-segregation with the disease phenotype.</w:t>
      </w:r>
    </w:p>
    <w:p w14:paraId="162EA6F8" w14:textId="75D047F2" w:rsidR="002A65C8" w:rsidRDefault="002A65C8"/>
    <w:sectPr w:rsidR="002A65C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E9758" w14:textId="77777777" w:rsidR="00A53DAB" w:rsidRDefault="00A53DAB" w:rsidP="00A53DAB">
      <w:pPr>
        <w:spacing w:after="0" w:line="240" w:lineRule="auto"/>
      </w:pPr>
      <w:r>
        <w:separator/>
      </w:r>
    </w:p>
  </w:endnote>
  <w:endnote w:type="continuationSeparator" w:id="0">
    <w:p w14:paraId="79AEAC60" w14:textId="77777777" w:rsidR="00A53DAB" w:rsidRDefault="00A53DAB" w:rsidP="00A53D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E587C" w14:textId="77777777" w:rsidR="00A53DAB" w:rsidRDefault="00A53DAB" w:rsidP="00A53DAB">
      <w:pPr>
        <w:spacing w:after="0" w:line="240" w:lineRule="auto"/>
      </w:pPr>
      <w:r>
        <w:separator/>
      </w:r>
    </w:p>
  </w:footnote>
  <w:footnote w:type="continuationSeparator" w:id="0">
    <w:p w14:paraId="39E2C9F1" w14:textId="77777777" w:rsidR="00A53DAB" w:rsidRDefault="00A53DAB" w:rsidP="00A53D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D4E6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25492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4B3F8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3F7968"/>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8A24A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B5362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7372384">
    <w:abstractNumId w:val="5"/>
  </w:num>
  <w:num w:numId="2" w16cid:durableId="1979526814">
    <w:abstractNumId w:val="4"/>
  </w:num>
  <w:num w:numId="3" w16cid:durableId="842013525">
    <w:abstractNumId w:val="1"/>
  </w:num>
  <w:num w:numId="4" w16cid:durableId="711466149">
    <w:abstractNumId w:val="2"/>
  </w:num>
  <w:num w:numId="5" w16cid:durableId="468673824">
    <w:abstractNumId w:val="0"/>
  </w:num>
  <w:num w:numId="6" w16cid:durableId="14624553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5C8"/>
    <w:rsid w:val="0003412D"/>
    <w:rsid w:val="000D6314"/>
    <w:rsid w:val="000E39F7"/>
    <w:rsid w:val="000F4F7E"/>
    <w:rsid w:val="000F666E"/>
    <w:rsid w:val="00263199"/>
    <w:rsid w:val="002A65C8"/>
    <w:rsid w:val="003146FF"/>
    <w:rsid w:val="00343B5D"/>
    <w:rsid w:val="003C49B1"/>
    <w:rsid w:val="003D68A9"/>
    <w:rsid w:val="00403D94"/>
    <w:rsid w:val="004202D9"/>
    <w:rsid w:val="00470BF1"/>
    <w:rsid w:val="00472C0D"/>
    <w:rsid w:val="004F10CE"/>
    <w:rsid w:val="0057176B"/>
    <w:rsid w:val="00593DFB"/>
    <w:rsid w:val="005B6599"/>
    <w:rsid w:val="005D4A63"/>
    <w:rsid w:val="006743D1"/>
    <w:rsid w:val="00680E05"/>
    <w:rsid w:val="006C3BF6"/>
    <w:rsid w:val="00726268"/>
    <w:rsid w:val="00745430"/>
    <w:rsid w:val="007539FB"/>
    <w:rsid w:val="007831FC"/>
    <w:rsid w:val="007F54FE"/>
    <w:rsid w:val="00807D0A"/>
    <w:rsid w:val="00827466"/>
    <w:rsid w:val="00866B65"/>
    <w:rsid w:val="008A47E6"/>
    <w:rsid w:val="00910767"/>
    <w:rsid w:val="00946857"/>
    <w:rsid w:val="0097486B"/>
    <w:rsid w:val="009A12C3"/>
    <w:rsid w:val="00A00C8A"/>
    <w:rsid w:val="00A53DAB"/>
    <w:rsid w:val="00AA1624"/>
    <w:rsid w:val="00B8170C"/>
    <w:rsid w:val="00C34AE6"/>
    <w:rsid w:val="00C86AB4"/>
    <w:rsid w:val="00CB24F7"/>
    <w:rsid w:val="00CD7613"/>
    <w:rsid w:val="00D7205F"/>
    <w:rsid w:val="00DE1A18"/>
    <w:rsid w:val="00F336B6"/>
    <w:rsid w:val="00F60F85"/>
    <w:rsid w:val="00F61EEF"/>
    <w:rsid w:val="00FA06C3"/>
    <w:rsid w:val="00FB1C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290AE20"/>
  <w15:chartTrackingRefBased/>
  <w15:docId w15:val="{F5CF2AD6-AD6C-2A49-AC47-A5DD584C6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65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65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65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A65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65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65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5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5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5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5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65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65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65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65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65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5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5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5C8"/>
    <w:rPr>
      <w:rFonts w:eastAsiaTheme="majorEastAsia" w:cstheme="majorBidi"/>
      <w:color w:val="272727" w:themeColor="text1" w:themeTint="D8"/>
    </w:rPr>
  </w:style>
  <w:style w:type="paragraph" w:styleId="Title">
    <w:name w:val="Title"/>
    <w:basedOn w:val="Normal"/>
    <w:next w:val="Normal"/>
    <w:link w:val="TitleChar"/>
    <w:uiPriority w:val="10"/>
    <w:qFormat/>
    <w:rsid w:val="002A65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5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5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5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5C8"/>
    <w:pPr>
      <w:spacing w:before="160"/>
      <w:jc w:val="center"/>
    </w:pPr>
    <w:rPr>
      <w:i/>
      <w:iCs/>
      <w:color w:val="404040" w:themeColor="text1" w:themeTint="BF"/>
    </w:rPr>
  </w:style>
  <w:style w:type="character" w:customStyle="1" w:styleId="QuoteChar">
    <w:name w:val="Quote Char"/>
    <w:basedOn w:val="DefaultParagraphFont"/>
    <w:link w:val="Quote"/>
    <w:uiPriority w:val="29"/>
    <w:rsid w:val="002A65C8"/>
    <w:rPr>
      <w:i/>
      <w:iCs/>
      <w:color w:val="404040" w:themeColor="text1" w:themeTint="BF"/>
    </w:rPr>
  </w:style>
  <w:style w:type="paragraph" w:styleId="ListParagraph">
    <w:name w:val="List Paragraph"/>
    <w:basedOn w:val="Normal"/>
    <w:uiPriority w:val="34"/>
    <w:qFormat/>
    <w:rsid w:val="002A65C8"/>
    <w:pPr>
      <w:ind w:left="720"/>
      <w:contextualSpacing/>
    </w:pPr>
  </w:style>
  <w:style w:type="character" w:styleId="IntenseEmphasis">
    <w:name w:val="Intense Emphasis"/>
    <w:basedOn w:val="DefaultParagraphFont"/>
    <w:uiPriority w:val="21"/>
    <w:qFormat/>
    <w:rsid w:val="002A65C8"/>
    <w:rPr>
      <w:i/>
      <w:iCs/>
      <w:color w:val="0F4761" w:themeColor="accent1" w:themeShade="BF"/>
    </w:rPr>
  </w:style>
  <w:style w:type="paragraph" w:styleId="IntenseQuote">
    <w:name w:val="Intense Quote"/>
    <w:basedOn w:val="Normal"/>
    <w:next w:val="Normal"/>
    <w:link w:val="IntenseQuoteChar"/>
    <w:uiPriority w:val="30"/>
    <w:qFormat/>
    <w:rsid w:val="002A65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65C8"/>
    <w:rPr>
      <w:i/>
      <w:iCs/>
      <w:color w:val="0F4761" w:themeColor="accent1" w:themeShade="BF"/>
    </w:rPr>
  </w:style>
  <w:style w:type="character" w:styleId="IntenseReference">
    <w:name w:val="Intense Reference"/>
    <w:basedOn w:val="DefaultParagraphFont"/>
    <w:uiPriority w:val="32"/>
    <w:qFormat/>
    <w:rsid w:val="002A65C8"/>
    <w:rPr>
      <w:b/>
      <w:bCs/>
      <w:smallCaps/>
      <w:color w:val="0F4761" w:themeColor="accent1" w:themeShade="BF"/>
      <w:spacing w:val="5"/>
    </w:rPr>
  </w:style>
  <w:style w:type="character" w:styleId="Strong">
    <w:name w:val="Strong"/>
    <w:basedOn w:val="DefaultParagraphFont"/>
    <w:uiPriority w:val="22"/>
    <w:qFormat/>
    <w:rsid w:val="002A65C8"/>
    <w:rPr>
      <w:b/>
      <w:bCs/>
    </w:rPr>
  </w:style>
  <w:style w:type="paragraph" w:styleId="NormalWeb">
    <w:name w:val="Normal (Web)"/>
    <w:basedOn w:val="Normal"/>
    <w:uiPriority w:val="99"/>
    <w:semiHidden/>
    <w:unhideWhenUsed/>
    <w:rsid w:val="002A65C8"/>
    <w:pPr>
      <w:spacing w:before="100" w:beforeAutospacing="1" w:after="100" w:afterAutospacing="1" w:line="240" w:lineRule="auto"/>
    </w:pPr>
    <w:rPr>
      <w:rFonts w:ascii="Times New Roman" w:hAnsi="Times New Roman" w:cs="Times New Roman"/>
      <w:kern w:val="0"/>
      <w14:ligatures w14:val="none"/>
    </w:rPr>
  </w:style>
  <w:style w:type="character" w:styleId="Emphasis">
    <w:name w:val="Emphasis"/>
    <w:basedOn w:val="DefaultParagraphFont"/>
    <w:uiPriority w:val="20"/>
    <w:qFormat/>
    <w:rsid w:val="002A65C8"/>
    <w:rPr>
      <w:i/>
      <w:iCs/>
    </w:rPr>
  </w:style>
  <w:style w:type="character" w:styleId="HTMLCode">
    <w:name w:val="HTML Code"/>
    <w:basedOn w:val="DefaultParagraphFont"/>
    <w:uiPriority w:val="99"/>
    <w:semiHidden/>
    <w:unhideWhenUsed/>
    <w:rsid w:val="002A65C8"/>
    <w:rPr>
      <w:rFonts w:ascii="Courier New" w:eastAsiaTheme="minorEastAsia" w:hAnsi="Courier New" w:cs="Courier New"/>
      <w:sz w:val="20"/>
      <w:szCs w:val="20"/>
    </w:rPr>
  </w:style>
  <w:style w:type="paragraph" w:styleId="Header">
    <w:name w:val="header"/>
    <w:basedOn w:val="Normal"/>
    <w:link w:val="HeaderChar"/>
    <w:uiPriority w:val="99"/>
    <w:unhideWhenUsed/>
    <w:rsid w:val="00A53D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3DAB"/>
  </w:style>
  <w:style w:type="paragraph" w:styleId="Footer">
    <w:name w:val="footer"/>
    <w:basedOn w:val="Normal"/>
    <w:link w:val="FooterChar"/>
    <w:uiPriority w:val="99"/>
    <w:unhideWhenUsed/>
    <w:rsid w:val="00A53D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3D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1.jpe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1026</Words>
  <Characters>5851</Characters>
  <Application>Microsoft Office Word</Application>
  <DocSecurity>0</DocSecurity>
  <Lines>48</Lines>
  <Paragraphs>13</Paragraphs>
  <ScaleCrop>false</ScaleCrop>
  <Company/>
  <LinksUpToDate>false</LinksUpToDate>
  <CharactersWithSpaces>6864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 F</dc:creator>
  <cp:keywords/>
  <dc:description/>
  <cp:lastModifiedBy>Rey F</cp:lastModifiedBy>
  <cp:revision>2</cp:revision>
  <dcterms:created xsi:type="dcterms:W3CDTF">2026-10-01T07:19:00Z</dcterms:created>
  <dcterms:modified xsi:type="dcterms:W3CDTF">2026-10-01T07:19:00Z</dcterms:modified>
</cp:coreProperties>
</file>