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93FA4" w14:textId="77777777" w:rsidR="0065074F" w:rsidRPr="0065074F" w:rsidRDefault="0065074F" w:rsidP="0065074F">
      <w:pPr>
        <w:jc w:val="center"/>
        <w:rPr>
          <w:rFonts w:ascii="Calibri" w:eastAsia="Calibri" w:hAnsi="Calibri" w:cs="Calibri"/>
          <w:b/>
          <w:kern w:val="0"/>
          <w:sz w:val="24"/>
          <w:szCs w:val="24"/>
          <w14:ligatures w14:val="none"/>
        </w:rPr>
      </w:pPr>
      <w:r w:rsidRPr="0065074F">
        <w:rPr>
          <w:rFonts w:ascii="Calibri" w:eastAsia="Calibri" w:hAnsi="Calibri" w:cs="Calibri"/>
          <w:b/>
          <w:kern w:val="0"/>
          <w:sz w:val="24"/>
          <w:szCs w:val="24"/>
          <w14:ligatures w14:val="none"/>
        </w:rPr>
        <w:t>“Factores que determinan la movilidad social en México: El papel de la educación de los padres”</w:t>
      </w:r>
    </w:p>
    <w:p w14:paraId="054B6434" w14:textId="77777777" w:rsidR="0065074F" w:rsidRPr="0065074F" w:rsidRDefault="0065074F" w:rsidP="0065074F">
      <w:pPr>
        <w:keepNext/>
        <w:keepLines/>
        <w:spacing w:before="240" w:after="0"/>
        <w:outlineLvl w:val="0"/>
        <w:rPr>
          <w:rFonts w:ascii="Calibri" w:eastAsia="Times New Roman" w:hAnsi="Calibri" w:cs="Calibri"/>
          <w:b/>
          <w:color w:val="000000"/>
          <w:kern w:val="0"/>
          <w:sz w:val="24"/>
          <w:szCs w:val="32"/>
          <w14:ligatures w14:val="none"/>
        </w:rPr>
      </w:pPr>
      <w:bookmarkStart w:id="0" w:name="_Toc126794698"/>
      <w:r w:rsidRPr="0065074F">
        <w:rPr>
          <w:rFonts w:ascii="Calibri" w:eastAsia="Times New Roman" w:hAnsi="Calibri" w:cs="Calibri"/>
          <w:b/>
          <w:color w:val="000000"/>
          <w:kern w:val="0"/>
          <w:sz w:val="24"/>
          <w:szCs w:val="32"/>
          <w14:ligatures w14:val="none"/>
        </w:rPr>
        <w:t>Resumen</w:t>
      </w:r>
      <w:bookmarkEnd w:id="0"/>
      <w:r w:rsidRPr="0065074F">
        <w:rPr>
          <w:rFonts w:ascii="Calibri" w:eastAsia="Times New Roman" w:hAnsi="Calibri" w:cs="Calibri"/>
          <w:b/>
          <w:color w:val="000000"/>
          <w:kern w:val="0"/>
          <w:sz w:val="24"/>
          <w:szCs w:val="32"/>
          <w14:ligatures w14:val="none"/>
        </w:rPr>
        <w:t xml:space="preserve"> </w:t>
      </w:r>
    </w:p>
    <w:p w14:paraId="384FC867" w14:textId="77777777" w:rsidR="0065074F" w:rsidRPr="0065074F" w:rsidRDefault="0065074F" w:rsidP="0065074F">
      <w:pPr>
        <w:spacing w:line="480" w:lineRule="auto"/>
        <w:rPr>
          <w:rFonts w:ascii="Calibri" w:eastAsia="Calibri" w:hAnsi="Calibri" w:cs="Calibri"/>
          <w:kern w:val="0"/>
          <w14:ligatures w14:val="none"/>
        </w:rPr>
      </w:pPr>
      <w:r w:rsidRPr="0065074F">
        <w:rPr>
          <w:rFonts w:ascii="Calibri" w:eastAsia="Calibri" w:hAnsi="Calibri" w:cs="Calibri"/>
          <w:kern w:val="0"/>
          <w14:ligatures w14:val="none"/>
        </w:rPr>
        <w:t xml:space="preserve">En México la desigualdad en la distribución del ingreso es un problema que se observa en la </w:t>
      </w:r>
      <w:proofErr w:type="gramStart"/>
      <w:r w:rsidRPr="0065074F">
        <w:rPr>
          <w:rFonts w:ascii="Calibri" w:eastAsia="Calibri" w:hAnsi="Calibri" w:cs="Calibri"/>
          <w:kern w:val="0"/>
          <w14:ligatures w14:val="none"/>
        </w:rPr>
        <w:t>sociedad,  el</w:t>
      </w:r>
      <w:proofErr w:type="gramEnd"/>
      <w:r w:rsidRPr="0065074F">
        <w:rPr>
          <w:rFonts w:ascii="Calibri" w:eastAsia="Calibri" w:hAnsi="Calibri" w:cs="Calibri"/>
          <w:kern w:val="0"/>
          <w14:ligatures w14:val="none"/>
        </w:rPr>
        <w:t xml:space="preserve"> CONEVAL menciona que “Entre 2018 y 2020, el porcentaje de la población en situación de pobreza aumentó de 41.9% a 43.9%, mientras que el número de personas en esta situación pasó de 51.9 a 55.7 millones de personas.” (CONEVAL,2021), además las políticas públicas implementadas por los gobiernos en turno no eliminan esa brecha existente. Por otro lado, según datos del INEGI “En México, durante los últimos 50 años, el porcentaje de personas analfabetas de 15 y más años bajó de 25.8 % en 1970 a 4.7 % en 2020, lo que equivale a 4,456,431 personas que no saben leer ni escribir</w:t>
      </w:r>
      <w:proofErr w:type="gramStart"/>
      <w:r w:rsidRPr="0065074F">
        <w:rPr>
          <w:rFonts w:ascii="Calibri" w:eastAsia="Calibri" w:hAnsi="Calibri" w:cs="Calibri"/>
          <w:kern w:val="0"/>
          <w14:ligatures w14:val="none"/>
        </w:rPr>
        <w:t>.”(</w:t>
      </w:r>
      <w:proofErr w:type="gramEnd"/>
      <w:r w:rsidRPr="0065074F">
        <w:rPr>
          <w:rFonts w:ascii="Calibri" w:eastAsia="Calibri" w:hAnsi="Calibri" w:cs="Calibri"/>
          <w:kern w:val="0"/>
          <w14:ligatures w14:val="none"/>
        </w:rPr>
        <w:t>INEGI, 2020)</w:t>
      </w:r>
    </w:p>
    <w:p w14:paraId="67C7E305"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Es por ello que en la presente investigación se pretende demostrar que las condiciones de vida el nacer y la educación heredada de los padres, son algunos de los factores determinantes para que los individuos tengan movilidad social y de esta manera puedan salir de la condición de pobreza o pobreza extrema </w:t>
      </w:r>
      <w:proofErr w:type="gramStart"/>
      <w:r w:rsidRPr="0065074F">
        <w:rPr>
          <w:rFonts w:ascii="Calibri" w:eastAsia="Calibri" w:hAnsi="Calibri" w:cs="Calibri"/>
          <w:kern w:val="0"/>
          <w14:ligatures w14:val="none"/>
        </w:rPr>
        <w:t>y</w:t>
      </w:r>
      <w:proofErr w:type="gramEnd"/>
      <w:r w:rsidRPr="0065074F">
        <w:rPr>
          <w:rFonts w:ascii="Calibri" w:eastAsia="Calibri" w:hAnsi="Calibri" w:cs="Calibri"/>
          <w:kern w:val="0"/>
          <w14:ligatures w14:val="none"/>
        </w:rPr>
        <w:t xml:space="preserve"> por lo tanto, se logren disminuir las brechas de ingreso y riqueza. </w:t>
      </w:r>
    </w:p>
    <w:p w14:paraId="7A5D1B38" w14:textId="77777777" w:rsidR="0065074F" w:rsidRPr="0065074F" w:rsidRDefault="0065074F" w:rsidP="0065074F">
      <w:pPr>
        <w:keepNext/>
        <w:keepLines/>
        <w:spacing w:before="240" w:after="0"/>
        <w:outlineLvl w:val="0"/>
        <w:rPr>
          <w:rFonts w:ascii="Calibri" w:eastAsia="Times New Roman" w:hAnsi="Calibri" w:cs="Calibri"/>
          <w:b/>
          <w:color w:val="000000"/>
          <w:kern w:val="0"/>
          <w:sz w:val="24"/>
          <w:szCs w:val="32"/>
          <w14:ligatures w14:val="none"/>
        </w:rPr>
      </w:pPr>
      <w:bookmarkStart w:id="1" w:name="_Toc126794699"/>
      <w:r w:rsidRPr="0065074F">
        <w:rPr>
          <w:rFonts w:ascii="Calibri" w:eastAsia="Times New Roman" w:hAnsi="Calibri" w:cs="Calibri"/>
          <w:b/>
          <w:color w:val="000000"/>
          <w:kern w:val="0"/>
          <w:sz w:val="24"/>
          <w:szCs w:val="32"/>
          <w14:ligatures w14:val="none"/>
        </w:rPr>
        <w:t>Planteamiento del problema</w:t>
      </w:r>
      <w:bookmarkEnd w:id="1"/>
      <w:r w:rsidRPr="0065074F">
        <w:rPr>
          <w:rFonts w:ascii="Calibri" w:eastAsia="Times New Roman" w:hAnsi="Calibri" w:cs="Calibri"/>
          <w:b/>
          <w:color w:val="000000"/>
          <w:kern w:val="0"/>
          <w:sz w:val="24"/>
          <w:szCs w:val="32"/>
          <w14:ligatures w14:val="none"/>
        </w:rPr>
        <w:t xml:space="preserve"> </w:t>
      </w:r>
    </w:p>
    <w:p w14:paraId="60EA1C77" w14:textId="77777777" w:rsidR="0065074F" w:rsidRPr="0065074F" w:rsidRDefault="0065074F" w:rsidP="0065074F">
      <w:pPr>
        <w:rPr>
          <w:rFonts w:ascii="Calibri" w:eastAsia="Calibri" w:hAnsi="Calibri" w:cs="Calibri"/>
          <w:kern w:val="0"/>
          <w14:ligatures w14:val="none"/>
        </w:rPr>
      </w:pPr>
    </w:p>
    <w:p w14:paraId="1052FB71" w14:textId="77777777" w:rsidR="0065074F" w:rsidRPr="0065074F" w:rsidRDefault="0065074F" w:rsidP="0065074F">
      <w:pPr>
        <w:spacing w:line="480" w:lineRule="auto"/>
        <w:rPr>
          <w:rFonts w:ascii="Calibri" w:eastAsia="Calibri" w:hAnsi="Calibri" w:cs="Calibri"/>
          <w:kern w:val="0"/>
          <w14:ligatures w14:val="none"/>
        </w:rPr>
      </w:pPr>
      <w:r w:rsidRPr="0065074F">
        <w:rPr>
          <w:rFonts w:ascii="Calibri" w:eastAsia="Calibri" w:hAnsi="Calibri" w:cs="Calibri"/>
          <w:kern w:val="0"/>
          <w14:ligatures w14:val="none"/>
        </w:rPr>
        <w:t xml:space="preserve">Durante la década de los 90 del siglo pasado, en algunos países de América Latina, incluyendo a México, se realizaron una serie de reformas educativas, el propósito era evaluar el logro de los alumnos, es por ello </w:t>
      </w:r>
      <w:proofErr w:type="gramStart"/>
      <w:r w:rsidRPr="0065074F">
        <w:rPr>
          <w:rFonts w:ascii="Calibri" w:eastAsia="Calibri" w:hAnsi="Calibri" w:cs="Calibri"/>
          <w:kern w:val="0"/>
          <w14:ligatures w14:val="none"/>
        </w:rPr>
        <w:t>que</w:t>
      </w:r>
      <w:proofErr w:type="gramEnd"/>
      <w:r w:rsidRPr="0065074F">
        <w:rPr>
          <w:rFonts w:ascii="Calibri" w:eastAsia="Calibri" w:hAnsi="Calibri" w:cs="Calibri"/>
          <w:kern w:val="0"/>
          <w14:ligatures w14:val="none"/>
        </w:rPr>
        <w:t xml:space="preserve"> a partir del año 2000 Argentina, Chile, Uruguay, Colombia, Brasil, Costa Rica, México y Perú, participan en las pruebas del </w:t>
      </w:r>
      <w:r w:rsidRPr="0065074F">
        <w:rPr>
          <w:rFonts w:ascii="Calibri" w:eastAsia="Calibri" w:hAnsi="Calibri" w:cs="Calibri"/>
          <w:color w:val="222222"/>
          <w:kern w:val="0"/>
          <w:shd w:val="clear" w:color="auto" w:fill="FFFFFF"/>
          <w14:ligatures w14:val="none"/>
        </w:rPr>
        <w:t xml:space="preserve">Programa Internacional para la Evaluación de Estudiantes o Informe </w:t>
      </w:r>
      <w:r w:rsidRPr="0065074F">
        <w:rPr>
          <w:rFonts w:ascii="Calibri" w:eastAsia="Calibri" w:hAnsi="Calibri" w:cs="Calibri"/>
          <w:kern w:val="0"/>
          <w14:ligatures w14:val="none"/>
        </w:rPr>
        <w:t>PISA, las cuales se encargan de medir el rendimiento académico de los estudiantes.</w:t>
      </w:r>
    </w:p>
    <w:p w14:paraId="5A84DB57"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Una de estas pruebas menciona que, a partir de los resultados de PISA en 2015, menos del 1% no lograron alcanzar el umbral básico de competencia que marcan las pruebas, los estudiantes </w:t>
      </w:r>
      <w:r w:rsidRPr="0065074F">
        <w:rPr>
          <w:rFonts w:ascii="Calibri" w:eastAsia="Calibri" w:hAnsi="Calibri" w:cs="Calibri"/>
          <w:kern w:val="0"/>
          <w14:ligatures w14:val="none"/>
        </w:rPr>
        <w:lastRenderedPageBreak/>
        <w:t xml:space="preserve">lograron completar sus estudios sin haber adquirido las habilidades y/o competencias necesarias en las áreas básicas las cuales son; lectura, ciencia y </w:t>
      </w:r>
      <w:proofErr w:type="gramStart"/>
      <w:r w:rsidRPr="0065074F">
        <w:rPr>
          <w:rFonts w:ascii="Calibri" w:eastAsia="Calibri" w:hAnsi="Calibri" w:cs="Calibri"/>
          <w:kern w:val="0"/>
          <w14:ligatures w14:val="none"/>
        </w:rPr>
        <w:t>matemáticas  (</w:t>
      </w:r>
      <w:proofErr w:type="gramEnd"/>
      <w:r w:rsidRPr="0065074F">
        <w:rPr>
          <w:rFonts w:ascii="Calibri" w:eastAsia="Calibri" w:hAnsi="Calibri" w:cs="Calibri"/>
          <w:kern w:val="0"/>
          <w14:ligatures w14:val="none"/>
        </w:rPr>
        <w:t>Informe PISA, 2015)</w:t>
      </w:r>
    </w:p>
    <w:p w14:paraId="35DF88C6"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En México, según la Organización para la Cooperación y el Desarrollo Económico (OCDE, 2014) había 25.6% de adultos de más de 65 años que su ingreso promedio era menor del 50% del ingreso medio, un porcentaje mayor que en países como Chile o el promedio de la OCDE. Por el contrario, en jóvenes de 18 a 25 años el 12% de esta población su ingreso es menor del 50% medio. </w:t>
      </w:r>
    </w:p>
    <w:p w14:paraId="5B8EEA8C"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Por otra parte, el Instituto Nacional de Estadística y Geografía (INEGI) en su encuesta de ingresos de los hogares en 2016, menciona que el ingreso corriente mensual de los hogares es de 15,607 pesos, sin embargo, el Consejo Nacional de Evaluación de la Política de Desarrollo Social (CONEVAL) menciona que en México hay 1.9 millones 375 mil personas que viven en pobreza extrema de los 127.5 millones de habitantes (INEGI 2016).  </w:t>
      </w:r>
    </w:p>
    <w:p w14:paraId="14C8D5CD"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Núñez menciona que “la influencia del nivel de escolaridad del padre puede ser más determinante del ingreso (de hombres y mujeres) que la de la madre” (Núñez, 2006). Por lo tanto, se podría decir que la educación del padre tiene mayor importancia en el ingreso futuro de los hijos que el nivel de educación de la madre.</w:t>
      </w:r>
    </w:p>
    <w:p w14:paraId="77BEE43F"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Los hombres alcanzaron un nivel educativo mayor que las mujeres, aun realizando la comparación con el mismo nivel educativo del proveedor principal en cada uno de los niveles. Por lo tanto, el estudio que realizó Núñez y la encuesta realizada por el INEGI, aunque es diferente la metodología utilizada, llega al mismo resultado, que los hombres alcanzar mayor nivel educativo que las mujeres. </w:t>
      </w:r>
    </w:p>
    <w:p w14:paraId="71474FBA"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lastRenderedPageBreak/>
        <w:t xml:space="preserve">Por otro </w:t>
      </w:r>
      <w:proofErr w:type="gramStart"/>
      <w:r w:rsidRPr="0065074F">
        <w:rPr>
          <w:rFonts w:ascii="Calibri" w:eastAsia="Calibri" w:hAnsi="Calibri" w:cs="Calibri"/>
          <w:kern w:val="0"/>
          <w14:ligatures w14:val="none"/>
        </w:rPr>
        <w:t>lado</w:t>
      </w:r>
      <w:proofErr w:type="gramEnd"/>
      <w:r w:rsidRPr="0065074F">
        <w:rPr>
          <w:rFonts w:ascii="Calibri" w:eastAsia="Calibri" w:hAnsi="Calibri" w:cs="Calibri"/>
          <w:kern w:val="0"/>
          <w14:ligatures w14:val="none"/>
        </w:rPr>
        <w:t xml:space="preserve"> Bayón estudia la movilidad social del padre con respecto del entrevistado, cuando esté contaba con 18 años de edad, los resultados mencionan que en su mayoría la clase social se mantiene con respecto a la de los padres. (Cuadro 1) </w:t>
      </w:r>
    </w:p>
    <w:p w14:paraId="57CA82BD" w14:textId="77777777" w:rsidR="0065074F" w:rsidRPr="0065074F" w:rsidRDefault="0065074F" w:rsidP="0065074F">
      <w:pPr>
        <w:spacing w:line="480" w:lineRule="auto"/>
        <w:ind w:firstLine="708"/>
        <w:rPr>
          <w:rFonts w:ascii="Calibri" w:eastAsia="Calibri" w:hAnsi="Calibri" w:cs="Calibri"/>
          <w:kern w:val="0"/>
          <w14:ligatures w14:val="none"/>
        </w:rPr>
      </w:pPr>
    </w:p>
    <w:p w14:paraId="0F06635B" w14:textId="77777777" w:rsidR="0065074F" w:rsidRPr="0065074F" w:rsidRDefault="0065074F" w:rsidP="0065074F">
      <w:pPr>
        <w:spacing w:line="360" w:lineRule="auto"/>
        <w:jc w:val="both"/>
        <w:rPr>
          <w:rFonts w:ascii="Calibri" w:eastAsia="Calibri" w:hAnsi="Calibri" w:cs="Calibri"/>
          <w:kern w:val="0"/>
          <w:sz w:val="20"/>
          <w:szCs w:val="24"/>
          <w14:ligatures w14:val="none"/>
        </w:rPr>
      </w:pPr>
    </w:p>
    <w:tbl>
      <w:tblPr>
        <w:tblW w:w="7845" w:type="dxa"/>
        <w:jc w:val="center"/>
        <w:tblCellMar>
          <w:left w:w="70" w:type="dxa"/>
          <w:right w:w="70" w:type="dxa"/>
        </w:tblCellMar>
        <w:tblLook w:val="04A0" w:firstRow="1" w:lastRow="0" w:firstColumn="1" w:lastColumn="0" w:noHBand="0" w:noVBand="1"/>
      </w:tblPr>
      <w:tblGrid>
        <w:gridCol w:w="2392"/>
        <w:gridCol w:w="1486"/>
        <w:gridCol w:w="1441"/>
        <w:gridCol w:w="1067"/>
        <w:gridCol w:w="1459"/>
      </w:tblGrid>
      <w:tr w:rsidR="0065074F" w:rsidRPr="0065074F" w14:paraId="3D7A27F7" w14:textId="77777777" w:rsidTr="00FE5EF0">
        <w:trPr>
          <w:trHeight w:val="450"/>
          <w:jc w:val="center"/>
        </w:trPr>
        <w:tc>
          <w:tcPr>
            <w:tcW w:w="7845" w:type="dxa"/>
            <w:gridSpan w:val="5"/>
            <w:vMerge w:val="restart"/>
            <w:tcBorders>
              <w:top w:val="nil"/>
              <w:left w:val="nil"/>
              <w:bottom w:val="nil"/>
              <w:right w:val="nil"/>
            </w:tcBorders>
            <w:shd w:val="clear" w:color="auto" w:fill="auto"/>
            <w:vAlign w:val="center"/>
            <w:hideMark/>
          </w:tcPr>
          <w:p w14:paraId="031E539C" w14:textId="77777777" w:rsidR="0065074F" w:rsidRPr="0065074F" w:rsidRDefault="0065074F" w:rsidP="0065074F">
            <w:pPr>
              <w:spacing w:after="0" w:line="240" w:lineRule="auto"/>
              <w:jc w:val="center"/>
              <w:rPr>
                <w:rFonts w:ascii="Calibri" w:eastAsia="Times New Roman" w:hAnsi="Calibri" w:cs="Calibri"/>
                <w:b/>
                <w:color w:val="000000"/>
                <w:kern w:val="0"/>
                <w:sz w:val="24"/>
                <w:szCs w:val="24"/>
                <w:lang w:eastAsia="es-MX"/>
                <w14:ligatures w14:val="none"/>
              </w:rPr>
            </w:pPr>
            <w:r w:rsidRPr="0065074F">
              <w:rPr>
                <w:rFonts w:ascii="Calibri" w:eastAsia="Times New Roman" w:hAnsi="Calibri" w:cs="Calibri"/>
                <w:b/>
                <w:color w:val="000000"/>
                <w:kern w:val="0"/>
                <w:sz w:val="24"/>
                <w:szCs w:val="24"/>
                <w:lang w:eastAsia="es-MX"/>
                <w14:ligatures w14:val="none"/>
              </w:rPr>
              <w:t>Movilidad social a partir de la clase social del padre cuando                                              el entrevistado tenía 18 años</w:t>
            </w:r>
            <w:r w:rsidRPr="0065074F">
              <w:rPr>
                <w:rFonts w:ascii="Calibri" w:eastAsia="Times New Roman" w:hAnsi="Calibri" w:cs="Calibri"/>
                <w:b/>
                <w:color w:val="000000"/>
                <w:kern w:val="0"/>
                <w:sz w:val="20"/>
                <w:szCs w:val="20"/>
                <w:lang w:eastAsia="es-MX"/>
                <w14:ligatures w14:val="none"/>
              </w:rPr>
              <w:t xml:space="preserve">.                                            </w:t>
            </w:r>
          </w:p>
        </w:tc>
      </w:tr>
      <w:tr w:rsidR="0065074F" w:rsidRPr="0065074F" w14:paraId="71683EB3" w14:textId="77777777" w:rsidTr="00FE5EF0">
        <w:trPr>
          <w:trHeight w:val="450"/>
          <w:jc w:val="center"/>
        </w:trPr>
        <w:tc>
          <w:tcPr>
            <w:tcW w:w="7845" w:type="dxa"/>
            <w:gridSpan w:val="5"/>
            <w:vMerge/>
            <w:tcBorders>
              <w:top w:val="nil"/>
              <w:left w:val="nil"/>
              <w:bottom w:val="nil"/>
              <w:right w:val="nil"/>
            </w:tcBorders>
            <w:vAlign w:val="center"/>
            <w:hideMark/>
          </w:tcPr>
          <w:p w14:paraId="125C1397" w14:textId="77777777" w:rsidR="0065074F" w:rsidRPr="0065074F" w:rsidRDefault="0065074F" w:rsidP="0065074F">
            <w:pPr>
              <w:spacing w:after="0" w:line="240" w:lineRule="auto"/>
              <w:rPr>
                <w:rFonts w:ascii="Calibri" w:eastAsia="Times New Roman" w:hAnsi="Calibri" w:cs="Calibri"/>
                <w:color w:val="000000"/>
                <w:kern w:val="0"/>
                <w:sz w:val="24"/>
                <w:szCs w:val="24"/>
                <w:lang w:eastAsia="es-MX"/>
                <w14:ligatures w14:val="none"/>
              </w:rPr>
            </w:pPr>
          </w:p>
        </w:tc>
      </w:tr>
      <w:tr w:rsidR="0065074F" w:rsidRPr="0065074F" w14:paraId="27A861BD"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473A57BB" w14:textId="77777777" w:rsidR="0065074F" w:rsidRPr="0065074F" w:rsidRDefault="0065074F" w:rsidP="0065074F">
            <w:pPr>
              <w:spacing w:after="0" w:line="240" w:lineRule="auto"/>
              <w:jc w:val="center"/>
              <w:rPr>
                <w:rFonts w:ascii="Calibri" w:eastAsia="Times New Roman" w:hAnsi="Calibri" w:cs="Calibri"/>
                <w:color w:val="000000"/>
                <w:kern w:val="0"/>
                <w:sz w:val="24"/>
                <w:szCs w:val="24"/>
                <w:lang w:eastAsia="es-MX"/>
                <w14:ligatures w14:val="none"/>
              </w:rPr>
            </w:pPr>
          </w:p>
        </w:tc>
        <w:tc>
          <w:tcPr>
            <w:tcW w:w="1486" w:type="dxa"/>
            <w:tcBorders>
              <w:top w:val="nil"/>
              <w:left w:val="nil"/>
              <w:bottom w:val="nil"/>
              <w:right w:val="nil"/>
            </w:tcBorders>
            <w:shd w:val="clear" w:color="auto" w:fill="auto"/>
            <w:noWrap/>
            <w:vAlign w:val="bottom"/>
            <w:hideMark/>
          </w:tcPr>
          <w:p w14:paraId="244480C5"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41" w:type="dxa"/>
            <w:tcBorders>
              <w:top w:val="nil"/>
              <w:left w:val="nil"/>
              <w:bottom w:val="nil"/>
              <w:right w:val="nil"/>
            </w:tcBorders>
            <w:shd w:val="clear" w:color="auto" w:fill="auto"/>
            <w:noWrap/>
            <w:vAlign w:val="bottom"/>
            <w:hideMark/>
          </w:tcPr>
          <w:p w14:paraId="730CC541"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067" w:type="dxa"/>
            <w:tcBorders>
              <w:top w:val="nil"/>
              <w:left w:val="nil"/>
              <w:bottom w:val="nil"/>
              <w:right w:val="nil"/>
            </w:tcBorders>
            <w:shd w:val="clear" w:color="auto" w:fill="auto"/>
            <w:noWrap/>
            <w:vAlign w:val="bottom"/>
            <w:hideMark/>
          </w:tcPr>
          <w:p w14:paraId="4BF83796"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59" w:type="dxa"/>
            <w:tcBorders>
              <w:top w:val="nil"/>
              <w:left w:val="nil"/>
              <w:bottom w:val="nil"/>
              <w:right w:val="nil"/>
            </w:tcBorders>
            <w:shd w:val="clear" w:color="auto" w:fill="auto"/>
            <w:noWrap/>
            <w:vAlign w:val="bottom"/>
            <w:hideMark/>
          </w:tcPr>
          <w:p w14:paraId="0C7961C4"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r>
      <w:tr w:rsidR="0065074F" w:rsidRPr="0065074F" w14:paraId="12F734B0" w14:textId="77777777" w:rsidTr="00FE5EF0">
        <w:trPr>
          <w:trHeight w:val="360"/>
          <w:jc w:val="center"/>
        </w:trPr>
        <w:tc>
          <w:tcPr>
            <w:tcW w:w="2392" w:type="dxa"/>
            <w:tcBorders>
              <w:top w:val="single" w:sz="4" w:space="0" w:color="auto"/>
              <w:left w:val="nil"/>
              <w:bottom w:val="single" w:sz="4" w:space="0" w:color="auto"/>
              <w:right w:val="nil"/>
            </w:tcBorders>
            <w:shd w:val="clear" w:color="auto" w:fill="auto"/>
            <w:noWrap/>
            <w:vAlign w:val="bottom"/>
            <w:hideMark/>
          </w:tcPr>
          <w:p w14:paraId="01BA58B8" w14:textId="77777777" w:rsidR="0065074F" w:rsidRPr="0065074F" w:rsidRDefault="0065074F" w:rsidP="0065074F">
            <w:pPr>
              <w:spacing w:after="0" w:line="240" w:lineRule="auto"/>
              <w:rPr>
                <w:rFonts w:ascii="Calibri" w:eastAsia="Times New Roman" w:hAnsi="Calibri" w:cs="Calibri"/>
                <w:i/>
                <w:iCs/>
                <w:color w:val="000000"/>
                <w:kern w:val="0"/>
                <w:lang w:eastAsia="es-MX"/>
                <w14:ligatures w14:val="none"/>
              </w:rPr>
            </w:pPr>
            <w:r w:rsidRPr="0065074F">
              <w:rPr>
                <w:rFonts w:ascii="Calibri" w:eastAsia="Times New Roman" w:hAnsi="Calibri" w:cs="Calibri"/>
                <w:i/>
                <w:iCs/>
                <w:color w:val="000000"/>
                <w:kern w:val="0"/>
                <w:lang w:eastAsia="es-MX"/>
                <w14:ligatures w14:val="none"/>
              </w:rPr>
              <w:t>Clase social del padre</w:t>
            </w:r>
          </w:p>
        </w:tc>
        <w:tc>
          <w:tcPr>
            <w:tcW w:w="3994" w:type="dxa"/>
            <w:gridSpan w:val="3"/>
            <w:tcBorders>
              <w:top w:val="single" w:sz="4" w:space="0" w:color="auto"/>
              <w:left w:val="nil"/>
              <w:bottom w:val="single" w:sz="4" w:space="0" w:color="auto"/>
              <w:right w:val="nil"/>
            </w:tcBorders>
            <w:shd w:val="clear" w:color="auto" w:fill="auto"/>
            <w:vAlign w:val="center"/>
            <w:hideMark/>
          </w:tcPr>
          <w:p w14:paraId="64EA4224" w14:textId="77777777" w:rsidR="0065074F" w:rsidRPr="0065074F" w:rsidRDefault="0065074F" w:rsidP="0065074F">
            <w:pPr>
              <w:spacing w:after="0" w:line="240" w:lineRule="auto"/>
              <w:jc w:val="center"/>
              <w:rPr>
                <w:rFonts w:ascii="Calibri" w:eastAsia="Times New Roman" w:hAnsi="Calibri" w:cs="Calibri"/>
                <w:i/>
                <w:iCs/>
                <w:color w:val="000000"/>
                <w:kern w:val="0"/>
                <w:lang w:eastAsia="es-MX"/>
                <w14:ligatures w14:val="none"/>
              </w:rPr>
            </w:pPr>
            <w:r w:rsidRPr="0065074F">
              <w:rPr>
                <w:rFonts w:ascii="Calibri" w:eastAsia="Times New Roman" w:hAnsi="Calibri" w:cs="Calibri"/>
                <w:i/>
                <w:iCs/>
                <w:color w:val="000000"/>
                <w:kern w:val="0"/>
                <w:lang w:eastAsia="es-MX"/>
                <w14:ligatures w14:val="none"/>
              </w:rPr>
              <w:t xml:space="preserve">Movilidad social del entrevistado </w:t>
            </w:r>
          </w:p>
        </w:tc>
        <w:tc>
          <w:tcPr>
            <w:tcW w:w="1459" w:type="dxa"/>
            <w:tcBorders>
              <w:top w:val="single" w:sz="4" w:space="0" w:color="auto"/>
              <w:left w:val="nil"/>
              <w:bottom w:val="single" w:sz="4" w:space="0" w:color="auto"/>
              <w:right w:val="nil"/>
            </w:tcBorders>
            <w:shd w:val="clear" w:color="auto" w:fill="auto"/>
            <w:noWrap/>
            <w:vAlign w:val="center"/>
            <w:hideMark/>
          </w:tcPr>
          <w:p w14:paraId="09F83ADF" w14:textId="77777777" w:rsidR="0065074F" w:rsidRPr="0065074F" w:rsidRDefault="0065074F" w:rsidP="0065074F">
            <w:pPr>
              <w:spacing w:after="0" w:line="240" w:lineRule="auto"/>
              <w:jc w:val="center"/>
              <w:rPr>
                <w:rFonts w:ascii="Calibri" w:eastAsia="Times New Roman" w:hAnsi="Calibri" w:cs="Calibri"/>
                <w:i/>
                <w:iCs/>
                <w:color w:val="000000"/>
                <w:kern w:val="0"/>
                <w:lang w:eastAsia="es-MX"/>
                <w14:ligatures w14:val="none"/>
              </w:rPr>
            </w:pPr>
            <w:r w:rsidRPr="0065074F">
              <w:rPr>
                <w:rFonts w:ascii="Calibri" w:eastAsia="Times New Roman" w:hAnsi="Calibri" w:cs="Calibri"/>
                <w:i/>
                <w:iCs/>
                <w:color w:val="000000"/>
                <w:kern w:val="0"/>
                <w:lang w:eastAsia="es-MX"/>
                <w14:ligatures w14:val="none"/>
              </w:rPr>
              <w:t>Total</w:t>
            </w:r>
          </w:p>
        </w:tc>
      </w:tr>
      <w:tr w:rsidR="0065074F" w:rsidRPr="0065074F" w14:paraId="16D75D1B" w14:textId="77777777" w:rsidTr="00FE5EF0">
        <w:trPr>
          <w:trHeight w:val="405"/>
          <w:jc w:val="center"/>
        </w:trPr>
        <w:tc>
          <w:tcPr>
            <w:tcW w:w="2392" w:type="dxa"/>
            <w:tcBorders>
              <w:top w:val="nil"/>
              <w:left w:val="nil"/>
              <w:bottom w:val="nil"/>
              <w:right w:val="nil"/>
            </w:tcBorders>
            <w:shd w:val="clear" w:color="auto" w:fill="auto"/>
            <w:noWrap/>
            <w:vAlign w:val="bottom"/>
            <w:hideMark/>
          </w:tcPr>
          <w:p w14:paraId="30ACF5D7" w14:textId="77777777" w:rsidR="0065074F" w:rsidRPr="0065074F" w:rsidRDefault="0065074F" w:rsidP="0065074F">
            <w:pPr>
              <w:spacing w:after="0" w:line="240" w:lineRule="auto"/>
              <w:jc w:val="center"/>
              <w:rPr>
                <w:rFonts w:ascii="Calibri" w:eastAsia="Times New Roman" w:hAnsi="Calibri" w:cs="Calibri"/>
                <w:i/>
                <w:iCs/>
                <w:color w:val="000000"/>
                <w:kern w:val="0"/>
                <w:lang w:eastAsia="es-MX"/>
                <w14:ligatures w14:val="none"/>
              </w:rPr>
            </w:pPr>
          </w:p>
        </w:tc>
        <w:tc>
          <w:tcPr>
            <w:tcW w:w="1486" w:type="dxa"/>
            <w:tcBorders>
              <w:top w:val="nil"/>
              <w:left w:val="nil"/>
              <w:bottom w:val="nil"/>
              <w:right w:val="nil"/>
            </w:tcBorders>
            <w:shd w:val="clear" w:color="auto" w:fill="auto"/>
            <w:noWrap/>
            <w:vAlign w:val="center"/>
            <w:hideMark/>
          </w:tcPr>
          <w:p w14:paraId="766011E4"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Descendiente</w:t>
            </w:r>
          </w:p>
        </w:tc>
        <w:tc>
          <w:tcPr>
            <w:tcW w:w="1441" w:type="dxa"/>
            <w:tcBorders>
              <w:top w:val="nil"/>
              <w:left w:val="nil"/>
              <w:bottom w:val="nil"/>
              <w:right w:val="nil"/>
            </w:tcBorders>
            <w:shd w:val="clear" w:color="auto" w:fill="auto"/>
            <w:noWrap/>
            <w:vAlign w:val="center"/>
            <w:hideMark/>
          </w:tcPr>
          <w:p w14:paraId="5E9B6165"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Se mantiene</w:t>
            </w:r>
          </w:p>
        </w:tc>
        <w:tc>
          <w:tcPr>
            <w:tcW w:w="1067" w:type="dxa"/>
            <w:tcBorders>
              <w:top w:val="nil"/>
              <w:left w:val="nil"/>
              <w:bottom w:val="nil"/>
              <w:right w:val="nil"/>
            </w:tcBorders>
            <w:shd w:val="clear" w:color="auto" w:fill="auto"/>
            <w:noWrap/>
            <w:vAlign w:val="center"/>
            <w:hideMark/>
          </w:tcPr>
          <w:p w14:paraId="09F44C6A"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 xml:space="preserve">Asciende </w:t>
            </w:r>
          </w:p>
        </w:tc>
        <w:tc>
          <w:tcPr>
            <w:tcW w:w="1459" w:type="dxa"/>
            <w:tcBorders>
              <w:top w:val="nil"/>
              <w:left w:val="nil"/>
              <w:bottom w:val="nil"/>
              <w:right w:val="nil"/>
            </w:tcBorders>
            <w:shd w:val="clear" w:color="auto" w:fill="auto"/>
            <w:noWrap/>
            <w:vAlign w:val="center"/>
            <w:hideMark/>
          </w:tcPr>
          <w:p w14:paraId="7C24477C"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p>
        </w:tc>
      </w:tr>
      <w:tr w:rsidR="0065074F" w:rsidRPr="0065074F" w14:paraId="7D4E2AEA"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5F1B8E6D" w14:textId="77777777" w:rsidR="0065074F" w:rsidRPr="0065074F" w:rsidRDefault="0065074F" w:rsidP="0065074F">
            <w:pPr>
              <w:spacing w:after="0" w:line="240" w:lineRule="auto"/>
              <w:jc w:val="center"/>
              <w:rPr>
                <w:rFonts w:ascii="Calibri" w:eastAsia="Times New Roman" w:hAnsi="Calibri" w:cs="Calibri"/>
                <w:kern w:val="0"/>
                <w:sz w:val="20"/>
                <w:szCs w:val="20"/>
                <w:lang w:eastAsia="es-MX"/>
                <w14:ligatures w14:val="none"/>
              </w:rPr>
            </w:pPr>
          </w:p>
        </w:tc>
        <w:tc>
          <w:tcPr>
            <w:tcW w:w="1486" w:type="dxa"/>
            <w:tcBorders>
              <w:top w:val="nil"/>
              <w:left w:val="nil"/>
              <w:bottom w:val="nil"/>
              <w:right w:val="nil"/>
            </w:tcBorders>
            <w:shd w:val="clear" w:color="auto" w:fill="auto"/>
            <w:noWrap/>
            <w:vAlign w:val="bottom"/>
            <w:hideMark/>
          </w:tcPr>
          <w:p w14:paraId="3F33DF96"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41" w:type="dxa"/>
            <w:tcBorders>
              <w:top w:val="nil"/>
              <w:left w:val="nil"/>
              <w:bottom w:val="nil"/>
              <w:right w:val="nil"/>
            </w:tcBorders>
            <w:shd w:val="clear" w:color="auto" w:fill="auto"/>
            <w:noWrap/>
            <w:vAlign w:val="bottom"/>
            <w:hideMark/>
          </w:tcPr>
          <w:p w14:paraId="44155E3A"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067" w:type="dxa"/>
            <w:tcBorders>
              <w:top w:val="nil"/>
              <w:left w:val="nil"/>
              <w:bottom w:val="nil"/>
              <w:right w:val="nil"/>
            </w:tcBorders>
            <w:shd w:val="clear" w:color="auto" w:fill="auto"/>
            <w:noWrap/>
            <w:vAlign w:val="bottom"/>
            <w:hideMark/>
          </w:tcPr>
          <w:p w14:paraId="02CC9DA8"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59" w:type="dxa"/>
            <w:tcBorders>
              <w:top w:val="nil"/>
              <w:left w:val="nil"/>
              <w:bottom w:val="nil"/>
              <w:right w:val="nil"/>
            </w:tcBorders>
            <w:shd w:val="clear" w:color="auto" w:fill="auto"/>
            <w:noWrap/>
            <w:vAlign w:val="bottom"/>
            <w:hideMark/>
          </w:tcPr>
          <w:p w14:paraId="7EC8ED8D"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r>
      <w:tr w:rsidR="0065074F" w:rsidRPr="0065074F" w14:paraId="4A724378"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3AD14B1E" w14:textId="77777777" w:rsidR="0065074F" w:rsidRPr="0065074F" w:rsidRDefault="0065074F" w:rsidP="0065074F">
            <w:pPr>
              <w:spacing w:after="0" w:line="240" w:lineRule="auto"/>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 xml:space="preserve">Baja </w:t>
            </w:r>
          </w:p>
        </w:tc>
        <w:tc>
          <w:tcPr>
            <w:tcW w:w="1486" w:type="dxa"/>
            <w:tcBorders>
              <w:top w:val="nil"/>
              <w:left w:val="nil"/>
              <w:bottom w:val="nil"/>
              <w:right w:val="nil"/>
            </w:tcBorders>
            <w:shd w:val="clear" w:color="auto" w:fill="auto"/>
            <w:noWrap/>
            <w:vAlign w:val="center"/>
            <w:hideMark/>
          </w:tcPr>
          <w:p w14:paraId="0A3B9E56" w14:textId="77777777" w:rsidR="0065074F" w:rsidRPr="0065074F" w:rsidRDefault="0065074F" w:rsidP="0065074F">
            <w:pPr>
              <w:spacing w:after="0" w:line="240" w:lineRule="auto"/>
              <w:rPr>
                <w:rFonts w:ascii="Calibri" w:eastAsia="Times New Roman" w:hAnsi="Calibri" w:cs="Calibri"/>
                <w:color w:val="000000"/>
                <w:kern w:val="0"/>
                <w:lang w:eastAsia="es-MX"/>
                <w14:ligatures w14:val="none"/>
              </w:rPr>
            </w:pPr>
          </w:p>
        </w:tc>
        <w:tc>
          <w:tcPr>
            <w:tcW w:w="1441" w:type="dxa"/>
            <w:tcBorders>
              <w:top w:val="nil"/>
              <w:left w:val="nil"/>
              <w:bottom w:val="nil"/>
              <w:right w:val="nil"/>
            </w:tcBorders>
            <w:shd w:val="clear" w:color="auto" w:fill="auto"/>
            <w:noWrap/>
            <w:vAlign w:val="center"/>
            <w:hideMark/>
          </w:tcPr>
          <w:p w14:paraId="2C35F3F4"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87.9</w:t>
            </w:r>
          </w:p>
        </w:tc>
        <w:tc>
          <w:tcPr>
            <w:tcW w:w="1067" w:type="dxa"/>
            <w:tcBorders>
              <w:top w:val="nil"/>
              <w:left w:val="nil"/>
              <w:bottom w:val="nil"/>
              <w:right w:val="nil"/>
            </w:tcBorders>
            <w:shd w:val="clear" w:color="auto" w:fill="auto"/>
            <w:noWrap/>
            <w:vAlign w:val="center"/>
            <w:hideMark/>
          </w:tcPr>
          <w:p w14:paraId="2CDC9FA6"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12.7</w:t>
            </w:r>
          </w:p>
        </w:tc>
        <w:tc>
          <w:tcPr>
            <w:tcW w:w="1459" w:type="dxa"/>
            <w:tcBorders>
              <w:top w:val="nil"/>
              <w:left w:val="nil"/>
              <w:bottom w:val="nil"/>
              <w:right w:val="nil"/>
            </w:tcBorders>
            <w:shd w:val="clear" w:color="auto" w:fill="auto"/>
            <w:noWrap/>
            <w:vAlign w:val="center"/>
            <w:hideMark/>
          </w:tcPr>
          <w:p w14:paraId="26E56C23"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100.00 (79.2)</w:t>
            </w:r>
          </w:p>
        </w:tc>
      </w:tr>
      <w:tr w:rsidR="0065074F" w:rsidRPr="0065074F" w14:paraId="4CFB86E5"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1C933ABF" w14:textId="77777777" w:rsidR="0065074F" w:rsidRPr="0065074F" w:rsidRDefault="0065074F" w:rsidP="0065074F">
            <w:pPr>
              <w:spacing w:after="0" w:line="240" w:lineRule="auto"/>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Media Baja</w:t>
            </w:r>
          </w:p>
        </w:tc>
        <w:tc>
          <w:tcPr>
            <w:tcW w:w="1486" w:type="dxa"/>
            <w:tcBorders>
              <w:top w:val="nil"/>
              <w:left w:val="nil"/>
              <w:bottom w:val="nil"/>
              <w:right w:val="nil"/>
            </w:tcBorders>
            <w:shd w:val="clear" w:color="auto" w:fill="auto"/>
            <w:noWrap/>
            <w:vAlign w:val="center"/>
            <w:hideMark/>
          </w:tcPr>
          <w:p w14:paraId="5741774B"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19.6</w:t>
            </w:r>
          </w:p>
        </w:tc>
        <w:tc>
          <w:tcPr>
            <w:tcW w:w="1441" w:type="dxa"/>
            <w:tcBorders>
              <w:top w:val="nil"/>
              <w:left w:val="nil"/>
              <w:bottom w:val="nil"/>
              <w:right w:val="nil"/>
            </w:tcBorders>
            <w:shd w:val="clear" w:color="auto" w:fill="auto"/>
            <w:noWrap/>
            <w:vAlign w:val="center"/>
            <w:hideMark/>
          </w:tcPr>
          <w:p w14:paraId="058A6426"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71.6</w:t>
            </w:r>
          </w:p>
        </w:tc>
        <w:tc>
          <w:tcPr>
            <w:tcW w:w="1067" w:type="dxa"/>
            <w:tcBorders>
              <w:top w:val="nil"/>
              <w:left w:val="nil"/>
              <w:bottom w:val="nil"/>
              <w:right w:val="nil"/>
            </w:tcBorders>
            <w:shd w:val="clear" w:color="auto" w:fill="auto"/>
            <w:noWrap/>
            <w:vAlign w:val="center"/>
            <w:hideMark/>
          </w:tcPr>
          <w:p w14:paraId="2930A880"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8.8</w:t>
            </w:r>
          </w:p>
        </w:tc>
        <w:tc>
          <w:tcPr>
            <w:tcW w:w="1459" w:type="dxa"/>
            <w:tcBorders>
              <w:top w:val="nil"/>
              <w:left w:val="nil"/>
              <w:bottom w:val="nil"/>
              <w:right w:val="nil"/>
            </w:tcBorders>
            <w:shd w:val="clear" w:color="auto" w:fill="auto"/>
            <w:noWrap/>
            <w:vAlign w:val="center"/>
            <w:hideMark/>
          </w:tcPr>
          <w:p w14:paraId="4ABCEDCC"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 xml:space="preserve">100.00 (11.7) </w:t>
            </w:r>
          </w:p>
        </w:tc>
      </w:tr>
      <w:tr w:rsidR="0065074F" w:rsidRPr="0065074F" w14:paraId="42C2F7FE"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6872EC96" w14:textId="77777777" w:rsidR="0065074F" w:rsidRPr="0065074F" w:rsidRDefault="0065074F" w:rsidP="0065074F">
            <w:pPr>
              <w:spacing w:after="0" w:line="240" w:lineRule="auto"/>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 xml:space="preserve">Media </w:t>
            </w:r>
          </w:p>
        </w:tc>
        <w:tc>
          <w:tcPr>
            <w:tcW w:w="1486" w:type="dxa"/>
            <w:tcBorders>
              <w:top w:val="nil"/>
              <w:left w:val="nil"/>
              <w:bottom w:val="nil"/>
              <w:right w:val="nil"/>
            </w:tcBorders>
            <w:shd w:val="clear" w:color="auto" w:fill="auto"/>
            <w:noWrap/>
            <w:vAlign w:val="center"/>
            <w:hideMark/>
          </w:tcPr>
          <w:p w14:paraId="1BEB17D4"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34.3</w:t>
            </w:r>
          </w:p>
        </w:tc>
        <w:tc>
          <w:tcPr>
            <w:tcW w:w="1441" w:type="dxa"/>
            <w:tcBorders>
              <w:top w:val="nil"/>
              <w:left w:val="nil"/>
              <w:bottom w:val="nil"/>
              <w:right w:val="nil"/>
            </w:tcBorders>
            <w:shd w:val="clear" w:color="auto" w:fill="auto"/>
            <w:noWrap/>
            <w:vAlign w:val="center"/>
            <w:hideMark/>
          </w:tcPr>
          <w:p w14:paraId="24FDD19F"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65.2</w:t>
            </w:r>
          </w:p>
        </w:tc>
        <w:tc>
          <w:tcPr>
            <w:tcW w:w="1067" w:type="dxa"/>
            <w:tcBorders>
              <w:top w:val="nil"/>
              <w:left w:val="nil"/>
              <w:bottom w:val="nil"/>
              <w:right w:val="nil"/>
            </w:tcBorders>
            <w:shd w:val="clear" w:color="auto" w:fill="auto"/>
            <w:noWrap/>
            <w:vAlign w:val="center"/>
            <w:hideMark/>
          </w:tcPr>
          <w:p w14:paraId="385F7DAE"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0.4</w:t>
            </w:r>
          </w:p>
        </w:tc>
        <w:tc>
          <w:tcPr>
            <w:tcW w:w="1459" w:type="dxa"/>
            <w:tcBorders>
              <w:top w:val="nil"/>
              <w:left w:val="nil"/>
              <w:bottom w:val="nil"/>
              <w:right w:val="nil"/>
            </w:tcBorders>
            <w:shd w:val="clear" w:color="auto" w:fill="auto"/>
            <w:noWrap/>
            <w:vAlign w:val="center"/>
            <w:hideMark/>
          </w:tcPr>
          <w:p w14:paraId="4265498A"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100.00 (8.3)</w:t>
            </w:r>
          </w:p>
        </w:tc>
      </w:tr>
      <w:tr w:rsidR="0065074F" w:rsidRPr="0065074F" w14:paraId="36147151"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4CB0A257" w14:textId="77777777" w:rsidR="0065074F" w:rsidRPr="0065074F" w:rsidRDefault="0065074F" w:rsidP="0065074F">
            <w:pPr>
              <w:spacing w:after="0" w:line="240" w:lineRule="auto"/>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 xml:space="preserve">Total </w:t>
            </w:r>
          </w:p>
        </w:tc>
        <w:tc>
          <w:tcPr>
            <w:tcW w:w="1486" w:type="dxa"/>
            <w:tcBorders>
              <w:top w:val="nil"/>
              <w:left w:val="nil"/>
              <w:bottom w:val="nil"/>
              <w:right w:val="nil"/>
            </w:tcBorders>
            <w:shd w:val="clear" w:color="auto" w:fill="auto"/>
            <w:noWrap/>
            <w:vAlign w:val="center"/>
            <w:hideMark/>
          </w:tcPr>
          <w:p w14:paraId="2F50BFFE"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5.9</w:t>
            </w:r>
          </w:p>
        </w:tc>
        <w:tc>
          <w:tcPr>
            <w:tcW w:w="1441" w:type="dxa"/>
            <w:tcBorders>
              <w:top w:val="nil"/>
              <w:left w:val="nil"/>
              <w:bottom w:val="nil"/>
              <w:right w:val="nil"/>
            </w:tcBorders>
            <w:shd w:val="clear" w:color="auto" w:fill="auto"/>
            <w:noWrap/>
            <w:vAlign w:val="center"/>
            <w:hideMark/>
          </w:tcPr>
          <w:p w14:paraId="47E24BB0"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83.2</w:t>
            </w:r>
          </w:p>
        </w:tc>
        <w:tc>
          <w:tcPr>
            <w:tcW w:w="1067" w:type="dxa"/>
            <w:tcBorders>
              <w:top w:val="nil"/>
              <w:left w:val="nil"/>
              <w:bottom w:val="nil"/>
              <w:right w:val="nil"/>
            </w:tcBorders>
            <w:shd w:val="clear" w:color="auto" w:fill="auto"/>
            <w:noWrap/>
            <w:vAlign w:val="center"/>
            <w:hideMark/>
          </w:tcPr>
          <w:p w14:paraId="4F7E85AA"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10.6</w:t>
            </w:r>
          </w:p>
        </w:tc>
        <w:tc>
          <w:tcPr>
            <w:tcW w:w="1459" w:type="dxa"/>
            <w:tcBorders>
              <w:top w:val="nil"/>
              <w:left w:val="nil"/>
              <w:bottom w:val="nil"/>
              <w:right w:val="nil"/>
            </w:tcBorders>
            <w:shd w:val="clear" w:color="auto" w:fill="auto"/>
            <w:noWrap/>
            <w:vAlign w:val="center"/>
            <w:hideMark/>
          </w:tcPr>
          <w:p w14:paraId="43DAA5B9"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r w:rsidRPr="0065074F">
              <w:rPr>
                <w:rFonts w:ascii="Calibri" w:eastAsia="Times New Roman" w:hAnsi="Calibri" w:cs="Calibri"/>
                <w:color w:val="000000"/>
                <w:kern w:val="0"/>
                <w:lang w:eastAsia="es-MX"/>
                <w14:ligatures w14:val="none"/>
              </w:rPr>
              <w:t>100</w:t>
            </w:r>
          </w:p>
        </w:tc>
      </w:tr>
      <w:tr w:rsidR="0065074F" w:rsidRPr="0065074F" w14:paraId="18CF42EB" w14:textId="77777777" w:rsidTr="00FE5EF0">
        <w:trPr>
          <w:trHeight w:val="300"/>
          <w:jc w:val="center"/>
        </w:trPr>
        <w:tc>
          <w:tcPr>
            <w:tcW w:w="2392" w:type="dxa"/>
            <w:tcBorders>
              <w:top w:val="nil"/>
              <w:left w:val="nil"/>
              <w:bottom w:val="nil"/>
              <w:right w:val="nil"/>
            </w:tcBorders>
            <w:shd w:val="clear" w:color="auto" w:fill="auto"/>
            <w:noWrap/>
            <w:vAlign w:val="bottom"/>
            <w:hideMark/>
          </w:tcPr>
          <w:p w14:paraId="494BF25D" w14:textId="77777777" w:rsidR="0065074F" w:rsidRPr="0065074F" w:rsidRDefault="0065074F" w:rsidP="0065074F">
            <w:pPr>
              <w:spacing w:after="0" w:line="240" w:lineRule="auto"/>
              <w:jc w:val="center"/>
              <w:rPr>
                <w:rFonts w:ascii="Calibri" w:eastAsia="Times New Roman" w:hAnsi="Calibri" w:cs="Calibri"/>
                <w:color w:val="000000"/>
                <w:kern w:val="0"/>
                <w:lang w:eastAsia="es-MX"/>
                <w14:ligatures w14:val="none"/>
              </w:rPr>
            </w:pPr>
          </w:p>
        </w:tc>
        <w:tc>
          <w:tcPr>
            <w:tcW w:w="1486" w:type="dxa"/>
            <w:tcBorders>
              <w:top w:val="nil"/>
              <w:left w:val="nil"/>
              <w:bottom w:val="nil"/>
              <w:right w:val="nil"/>
            </w:tcBorders>
            <w:shd w:val="clear" w:color="auto" w:fill="auto"/>
            <w:noWrap/>
            <w:vAlign w:val="bottom"/>
            <w:hideMark/>
          </w:tcPr>
          <w:p w14:paraId="019DADA2"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41" w:type="dxa"/>
            <w:tcBorders>
              <w:top w:val="nil"/>
              <w:left w:val="nil"/>
              <w:bottom w:val="nil"/>
              <w:right w:val="nil"/>
            </w:tcBorders>
            <w:shd w:val="clear" w:color="auto" w:fill="auto"/>
            <w:noWrap/>
            <w:vAlign w:val="bottom"/>
            <w:hideMark/>
          </w:tcPr>
          <w:p w14:paraId="191ADD25"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067" w:type="dxa"/>
            <w:tcBorders>
              <w:top w:val="nil"/>
              <w:left w:val="nil"/>
              <w:bottom w:val="nil"/>
              <w:right w:val="nil"/>
            </w:tcBorders>
            <w:shd w:val="clear" w:color="auto" w:fill="auto"/>
            <w:noWrap/>
            <w:vAlign w:val="bottom"/>
            <w:hideMark/>
          </w:tcPr>
          <w:p w14:paraId="36A29E3F"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c>
          <w:tcPr>
            <w:tcW w:w="1459" w:type="dxa"/>
            <w:tcBorders>
              <w:top w:val="nil"/>
              <w:left w:val="nil"/>
              <w:bottom w:val="nil"/>
              <w:right w:val="nil"/>
            </w:tcBorders>
            <w:shd w:val="clear" w:color="auto" w:fill="auto"/>
            <w:noWrap/>
            <w:vAlign w:val="bottom"/>
            <w:hideMark/>
          </w:tcPr>
          <w:p w14:paraId="179DB902" w14:textId="77777777" w:rsidR="0065074F" w:rsidRPr="0065074F" w:rsidRDefault="0065074F" w:rsidP="0065074F">
            <w:pPr>
              <w:spacing w:after="0" w:line="240" w:lineRule="auto"/>
              <w:rPr>
                <w:rFonts w:ascii="Calibri" w:eastAsia="Times New Roman" w:hAnsi="Calibri" w:cs="Calibri"/>
                <w:kern w:val="0"/>
                <w:sz w:val="20"/>
                <w:szCs w:val="20"/>
                <w:lang w:eastAsia="es-MX"/>
                <w14:ligatures w14:val="none"/>
              </w:rPr>
            </w:pPr>
          </w:p>
        </w:tc>
      </w:tr>
      <w:tr w:rsidR="0065074F" w:rsidRPr="0065074F" w14:paraId="54EE68B1" w14:textId="77777777" w:rsidTr="00FE5EF0">
        <w:trPr>
          <w:trHeight w:val="450"/>
          <w:jc w:val="center"/>
        </w:trPr>
        <w:tc>
          <w:tcPr>
            <w:tcW w:w="7845" w:type="dxa"/>
            <w:gridSpan w:val="5"/>
            <w:vMerge w:val="restart"/>
            <w:tcBorders>
              <w:top w:val="single" w:sz="4" w:space="0" w:color="auto"/>
              <w:left w:val="nil"/>
              <w:bottom w:val="nil"/>
              <w:right w:val="nil"/>
            </w:tcBorders>
            <w:shd w:val="clear" w:color="auto" w:fill="auto"/>
            <w:vAlign w:val="center"/>
            <w:hideMark/>
          </w:tcPr>
          <w:p w14:paraId="6246E5E5" w14:textId="77777777" w:rsidR="0065074F" w:rsidRPr="0065074F" w:rsidRDefault="0065074F" w:rsidP="0065074F">
            <w:pPr>
              <w:spacing w:after="0" w:line="240" w:lineRule="auto"/>
              <w:jc w:val="center"/>
              <w:rPr>
                <w:rFonts w:ascii="Calibri" w:eastAsia="Times New Roman" w:hAnsi="Calibri" w:cs="Calibri"/>
                <w:color w:val="000000"/>
                <w:kern w:val="0"/>
                <w:sz w:val="20"/>
                <w:szCs w:val="20"/>
                <w:lang w:eastAsia="es-MX"/>
                <w14:ligatures w14:val="none"/>
              </w:rPr>
            </w:pPr>
            <w:r w:rsidRPr="0065074F">
              <w:rPr>
                <w:rFonts w:ascii="Calibri" w:eastAsia="Times New Roman" w:hAnsi="Calibri" w:cs="Calibri"/>
                <w:color w:val="000000"/>
                <w:kern w:val="0"/>
                <w:sz w:val="20"/>
                <w:szCs w:val="20"/>
                <w:lang w:eastAsia="es-MX"/>
                <w14:ligatures w14:val="none"/>
              </w:rPr>
              <w:t>Fuente: elaboración por Bayón (2009), tomando en cuenta los resultados de la encuesta "Lo que dicen los pobres", 2003</w:t>
            </w:r>
          </w:p>
        </w:tc>
      </w:tr>
      <w:tr w:rsidR="0065074F" w:rsidRPr="0065074F" w14:paraId="1D609EAE" w14:textId="77777777" w:rsidTr="00FE5EF0">
        <w:trPr>
          <w:trHeight w:val="450"/>
          <w:jc w:val="center"/>
        </w:trPr>
        <w:tc>
          <w:tcPr>
            <w:tcW w:w="7845" w:type="dxa"/>
            <w:gridSpan w:val="5"/>
            <w:vMerge/>
            <w:tcBorders>
              <w:top w:val="single" w:sz="4" w:space="0" w:color="auto"/>
              <w:left w:val="nil"/>
              <w:bottom w:val="nil"/>
              <w:right w:val="nil"/>
            </w:tcBorders>
            <w:vAlign w:val="center"/>
            <w:hideMark/>
          </w:tcPr>
          <w:p w14:paraId="59333AB9" w14:textId="77777777" w:rsidR="0065074F" w:rsidRPr="0065074F" w:rsidRDefault="0065074F" w:rsidP="0065074F">
            <w:pPr>
              <w:spacing w:after="0" w:line="240" w:lineRule="auto"/>
              <w:rPr>
                <w:rFonts w:ascii="Calibri" w:eastAsia="Times New Roman" w:hAnsi="Calibri" w:cs="Calibri"/>
                <w:color w:val="000000"/>
                <w:kern w:val="0"/>
                <w:sz w:val="20"/>
                <w:szCs w:val="20"/>
                <w:lang w:eastAsia="es-MX"/>
                <w14:ligatures w14:val="none"/>
              </w:rPr>
            </w:pPr>
          </w:p>
        </w:tc>
      </w:tr>
    </w:tbl>
    <w:p w14:paraId="1EB43A07" w14:textId="77777777" w:rsidR="0065074F" w:rsidRPr="0065074F" w:rsidRDefault="0065074F" w:rsidP="0065074F">
      <w:pPr>
        <w:spacing w:line="360" w:lineRule="auto"/>
        <w:jc w:val="both"/>
        <w:rPr>
          <w:rFonts w:ascii="Calibri" w:eastAsia="Calibri" w:hAnsi="Calibri" w:cs="Calibri"/>
          <w:kern w:val="0"/>
          <w:sz w:val="16"/>
          <w:szCs w:val="24"/>
          <w14:ligatures w14:val="none"/>
        </w:rPr>
      </w:pPr>
      <w:r w:rsidRPr="0065074F">
        <w:rPr>
          <w:rFonts w:ascii="Calibri" w:eastAsia="Calibri" w:hAnsi="Calibri" w:cs="Calibri"/>
          <w:kern w:val="0"/>
          <w:sz w:val="16"/>
          <w:szCs w:val="24"/>
          <w14:ligatures w14:val="none"/>
        </w:rPr>
        <w:t xml:space="preserve">                 Cuadro 1 </w:t>
      </w:r>
    </w:p>
    <w:p w14:paraId="0322D698"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En contraste el INEGI menciona la movilidad ocupacional del entrevistado con respecto a su primer empleo y a su empleo actual, en su mayoría estos se mantuvieron siendo su primer empleo y empleo final de la misma categoría, los resultados se muestran en el cuadro 2.  </w:t>
      </w:r>
    </w:p>
    <w:p w14:paraId="6A8F3399" w14:textId="77777777" w:rsidR="0065074F" w:rsidRPr="0065074F" w:rsidRDefault="0065074F" w:rsidP="0065074F">
      <w:pPr>
        <w:spacing w:line="360" w:lineRule="auto"/>
        <w:rPr>
          <w:rFonts w:ascii="Calibri" w:eastAsia="Calibri" w:hAnsi="Calibri" w:cs="Calibri"/>
          <w:kern w:val="0"/>
          <w:sz w:val="24"/>
          <w:szCs w:val="24"/>
          <w14:ligatures w14:val="none"/>
        </w:rPr>
      </w:pPr>
      <w:r w:rsidRPr="0065074F">
        <w:rPr>
          <w:rFonts w:ascii="Calibri" w:eastAsia="Calibri" w:hAnsi="Calibri" w:cs="Calibri"/>
          <w:noProof/>
          <w:kern w:val="0"/>
          <w:lang w:eastAsia="es-MX"/>
          <w14:ligatures w14:val="none"/>
        </w:rPr>
        <w:lastRenderedPageBreak/>
        <w:drawing>
          <wp:inline distT="0" distB="0" distL="0" distR="0" wp14:anchorId="1D244EAE" wp14:editId="14EB1ABE">
            <wp:extent cx="5971540" cy="2521267"/>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71540" cy="2521267"/>
                    </a:xfrm>
                    <a:prstGeom prst="rect">
                      <a:avLst/>
                    </a:prstGeom>
                    <a:noFill/>
                    <a:ln>
                      <a:noFill/>
                    </a:ln>
                  </pic:spPr>
                </pic:pic>
              </a:graphicData>
            </a:graphic>
          </wp:inline>
        </w:drawing>
      </w:r>
      <w:r w:rsidRPr="0065074F">
        <w:rPr>
          <w:rFonts w:ascii="Calibri" w:eastAsia="Calibri" w:hAnsi="Calibri" w:cs="Calibri"/>
          <w:kern w:val="0"/>
          <w:sz w:val="14"/>
          <w:szCs w:val="24"/>
          <w14:ligatures w14:val="none"/>
        </w:rPr>
        <w:t xml:space="preserve">Cuadro 2 </w:t>
      </w:r>
    </w:p>
    <w:p w14:paraId="12BB5F23"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Además menciona que “[…] el 81.4% de los hijos cuyos padres con posgrado alcanza nivel superior, mientras que solo el 38.5% de los hijos de los padres que lograron bachillerato alcanzaron este mismo nivel” (</w:t>
      </w:r>
      <w:proofErr w:type="spellStart"/>
      <w:proofErr w:type="gramStart"/>
      <w:r w:rsidRPr="0065074F">
        <w:rPr>
          <w:rFonts w:ascii="Calibri" w:eastAsia="Calibri" w:hAnsi="Calibri" w:cs="Calibri"/>
          <w:kern w:val="0"/>
          <w14:ligatures w14:val="none"/>
        </w:rPr>
        <w:t>Hoyos,Martínez</w:t>
      </w:r>
      <w:proofErr w:type="spellEnd"/>
      <w:proofErr w:type="gramEnd"/>
      <w:r w:rsidRPr="0065074F">
        <w:rPr>
          <w:rFonts w:ascii="Calibri" w:eastAsia="Calibri" w:hAnsi="Calibri" w:cs="Calibri"/>
          <w:kern w:val="0"/>
          <w14:ligatures w14:val="none"/>
        </w:rPr>
        <w:t xml:space="preserve"> y </w:t>
      </w:r>
      <w:proofErr w:type="spellStart"/>
      <w:r w:rsidRPr="0065074F">
        <w:rPr>
          <w:rFonts w:ascii="Calibri" w:eastAsia="Calibri" w:hAnsi="Calibri" w:cs="Calibri"/>
          <w:kern w:val="0"/>
          <w14:ligatures w14:val="none"/>
        </w:rPr>
        <w:t>Székely</w:t>
      </w:r>
      <w:proofErr w:type="spellEnd"/>
      <w:r w:rsidRPr="0065074F">
        <w:rPr>
          <w:rFonts w:ascii="Calibri" w:eastAsia="Calibri" w:hAnsi="Calibri" w:cs="Calibri"/>
          <w:kern w:val="0"/>
          <w14:ligatures w14:val="none"/>
        </w:rPr>
        <w:t xml:space="preserve"> 2010, en Campos 2016). Realizó la comparativa entre el nivel de estudios de los padres y su influencia llegando a la conclusión de </w:t>
      </w:r>
      <w:proofErr w:type="gramStart"/>
      <w:r w:rsidRPr="0065074F">
        <w:rPr>
          <w:rFonts w:ascii="Calibri" w:eastAsia="Calibri" w:hAnsi="Calibri" w:cs="Calibri"/>
          <w:kern w:val="0"/>
          <w14:ligatures w14:val="none"/>
        </w:rPr>
        <w:t>que  “</w:t>
      </w:r>
      <w:proofErr w:type="gramEnd"/>
      <w:r w:rsidRPr="0065074F">
        <w:rPr>
          <w:rFonts w:ascii="Calibri" w:eastAsia="Calibri" w:hAnsi="Calibri" w:cs="Calibri"/>
          <w:kern w:val="0"/>
          <w14:ligatures w14:val="none"/>
        </w:rPr>
        <w:t>[...] los padres más educados trasmiten en mayor medida su escolaridad.”</w:t>
      </w:r>
    </w:p>
    <w:p w14:paraId="393D7112"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¿Son la educación que recibe el individuo y las condiciones heredadas de los padres, factores determinantes para que haya movilidad social en los individuos? </w:t>
      </w:r>
    </w:p>
    <w:p w14:paraId="05279197" w14:textId="77777777" w:rsidR="0065074F" w:rsidRPr="0065074F" w:rsidRDefault="0065074F" w:rsidP="0065074F">
      <w:pPr>
        <w:spacing w:line="480" w:lineRule="auto"/>
        <w:ind w:firstLine="708"/>
        <w:rPr>
          <w:rFonts w:ascii="Calibri" w:eastAsia="Calibri" w:hAnsi="Calibri" w:cs="Calibri"/>
          <w:b/>
          <w:kern w:val="0"/>
          <w14:ligatures w14:val="none"/>
        </w:rPr>
      </w:pPr>
      <w:r w:rsidRPr="0065074F">
        <w:rPr>
          <w:rFonts w:ascii="Calibri" w:eastAsia="Calibri" w:hAnsi="Calibri" w:cs="Times New Roman"/>
          <w:b/>
          <w:noProof/>
          <w:kern w:val="0"/>
          <w:sz w:val="24"/>
          <w:szCs w:val="24"/>
          <w:lang w:eastAsia="es-MX"/>
          <w14:ligatures w14:val="none"/>
        </w:rPr>
        <w:lastRenderedPageBreak/>
        <w:drawing>
          <wp:anchor distT="0" distB="0" distL="114300" distR="114300" simplePos="0" relativeHeight="251659264" behindDoc="0" locked="0" layoutInCell="1" allowOverlap="1" wp14:anchorId="1A6DA0F9" wp14:editId="7AC541E7">
            <wp:simplePos x="0" y="0"/>
            <wp:positionH relativeFrom="column">
              <wp:posOffset>-13648</wp:posOffset>
            </wp:positionH>
            <wp:positionV relativeFrom="paragraph">
              <wp:posOffset>444756</wp:posOffset>
            </wp:positionV>
            <wp:extent cx="5612130" cy="2954020"/>
            <wp:effectExtent l="0" t="0" r="7620" b="0"/>
            <wp:wrapSquare wrapText="bothSides"/>
            <wp:docPr id="1"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Gráfico, Gráfico de barras&#10;&#10;Descripción generada automáticamente"/>
                    <pic:cNvPicPr/>
                  </pic:nvPicPr>
                  <pic:blipFill>
                    <a:blip r:embed="rId5"/>
                    <a:stretch>
                      <a:fillRect/>
                    </a:stretch>
                  </pic:blipFill>
                  <pic:spPr>
                    <a:xfrm>
                      <a:off x="0" y="0"/>
                      <a:ext cx="5612130" cy="2954020"/>
                    </a:xfrm>
                    <a:prstGeom prst="rect">
                      <a:avLst/>
                    </a:prstGeom>
                  </pic:spPr>
                </pic:pic>
              </a:graphicData>
            </a:graphic>
          </wp:anchor>
        </w:drawing>
      </w:r>
      <w:r w:rsidRPr="0065074F">
        <w:rPr>
          <w:rFonts w:ascii="Calibri" w:eastAsia="Calibri" w:hAnsi="Calibri" w:cs="Calibri"/>
          <w:b/>
          <w:kern w:val="0"/>
          <w14:ligatures w14:val="none"/>
        </w:rPr>
        <w:t>Movilidad Social en México 2019.</w:t>
      </w:r>
      <w:r w:rsidRPr="0065074F">
        <w:rPr>
          <w:rFonts w:ascii="Calibri" w:eastAsia="Calibri" w:hAnsi="Calibri" w:cs="Calibri"/>
          <w:b/>
          <w:kern w:val="0"/>
          <w14:ligatures w14:val="none"/>
        </w:rPr>
        <w:softHyphen/>
      </w:r>
    </w:p>
    <w:p w14:paraId="5A08FD5C" w14:textId="77777777" w:rsidR="0065074F" w:rsidRPr="0065074F" w:rsidRDefault="0065074F" w:rsidP="0065074F">
      <w:pPr>
        <w:rPr>
          <w:rFonts w:ascii="Calibri" w:eastAsia="Calibri" w:hAnsi="Calibri" w:cs="Times New Roman"/>
          <w:b/>
          <w:kern w:val="0"/>
          <w:sz w:val="24"/>
          <w:szCs w:val="24"/>
          <w14:ligatures w14:val="none"/>
        </w:rPr>
      </w:pPr>
      <w:r w:rsidRPr="0065074F">
        <w:rPr>
          <w:rFonts w:ascii="Calibri" w:eastAsia="Calibri" w:hAnsi="Calibri" w:cs="Times New Roman"/>
          <w:kern w:val="0"/>
          <w14:ligatures w14:val="none"/>
        </w:rPr>
        <w:softHyphen/>
      </w:r>
    </w:p>
    <w:p w14:paraId="25EC9268" w14:textId="77777777" w:rsidR="0065074F" w:rsidRPr="0065074F" w:rsidRDefault="0065074F" w:rsidP="0065074F">
      <w:pPr>
        <w:rPr>
          <w:rFonts w:ascii="Calibri" w:eastAsia="Calibri" w:hAnsi="Calibri" w:cs="Times New Roman"/>
          <w:kern w:val="0"/>
          <w:sz w:val="18"/>
          <w:szCs w:val="18"/>
          <w14:ligatures w14:val="none"/>
        </w:rPr>
      </w:pPr>
    </w:p>
    <w:p w14:paraId="7FB96D67" w14:textId="77777777" w:rsidR="0065074F" w:rsidRPr="0065074F" w:rsidRDefault="0065074F" w:rsidP="0065074F">
      <w:pPr>
        <w:rPr>
          <w:rFonts w:ascii="Calibri" w:eastAsia="Calibri" w:hAnsi="Calibri" w:cs="Times New Roman"/>
          <w:kern w:val="0"/>
          <w:sz w:val="18"/>
          <w:szCs w:val="18"/>
          <w14:ligatures w14:val="none"/>
        </w:rPr>
      </w:pPr>
    </w:p>
    <w:p w14:paraId="07A70F84" w14:textId="77777777" w:rsidR="0065074F" w:rsidRPr="0065074F" w:rsidRDefault="0065074F" w:rsidP="0065074F">
      <w:pPr>
        <w:rPr>
          <w:rFonts w:ascii="Calibri" w:eastAsia="Calibri" w:hAnsi="Calibri" w:cs="Times New Roman"/>
          <w:kern w:val="0"/>
          <w:sz w:val="18"/>
          <w:szCs w:val="18"/>
          <w14:ligatures w14:val="none"/>
        </w:rPr>
      </w:pPr>
    </w:p>
    <w:p w14:paraId="2F0B019D" w14:textId="77777777" w:rsidR="0065074F" w:rsidRPr="0065074F" w:rsidRDefault="0065074F" w:rsidP="0065074F">
      <w:pPr>
        <w:rPr>
          <w:rFonts w:ascii="Calibri" w:eastAsia="Calibri" w:hAnsi="Calibri" w:cs="Times New Roman"/>
          <w:kern w:val="0"/>
          <w:sz w:val="18"/>
          <w:szCs w:val="18"/>
          <w14:ligatures w14:val="none"/>
        </w:rPr>
      </w:pPr>
    </w:p>
    <w:p w14:paraId="5449A286" w14:textId="77777777" w:rsidR="0065074F" w:rsidRPr="0065074F" w:rsidRDefault="0065074F" w:rsidP="0065074F">
      <w:pPr>
        <w:rPr>
          <w:rFonts w:ascii="Calibri" w:eastAsia="Calibri" w:hAnsi="Calibri" w:cs="Times New Roman"/>
          <w:kern w:val="0"/>
          <w:sz w:val="18"/>
          <w:szCs w:val="18"/>
          <w14:ligatures w14:val="none"/>
        </w:rPr>
      </w:pPr>
    </w:p>
    <w:p w14:paraId="27ECDB41" w14:textId="77777777" w:rsidR="0065074F" w:rsidRPr="0065074F" w:rsidRDefault="0065074F" w:rsidP="0065074F">
      <w:pPr>
        <w:rPr>
          <w:rFonts w:ascii="Calibri" w:eastAsia="Calibri" w:hAnsi="Calibri" w:cs="Times New Roman"/>
          <w:kern w:val="0"/>
          <w:sz w:val="18"/>
          <w:szCs w:val="18"/>
          <w14:ligatures w14:val="none"/>
        </w:rPr>
      </w:pPr>
    </w:p>
    <w:p w14:paraId="44A407A8" w14:textId="77777777" w:rsidR="0065074F" w:rsidRPr="0065074F" w:rsidRDefault="0065074F" w:rsidP="0065074F">
      <w:pPr>
        <w:rPr>
          <w:rFonts w:ascii="Calibri" w:eastAsia="Calibri" w:hAnsi="Calibri" w:cs="Times New Roman"/>
          <w:kern w:val="0"/>
          <w:sz w:val="18"/>
          <w:szCs w:val="18"/>
          <w14:ligatures w14:val="none"/>
        </w:rPr>
      </w:pPr>
    </w:p>
    <w:p w14:paraId="63C696F7" w14:textId="77777777" w:rsidR="0065074F" w:rsidRPr="0065074F" w:rsidRDefault="0065074F" w:rsidP="0065074F">
      <w:pPr>
        <w:rPr>
          <w:rFonts w:ascii="Calibri" w:eastAsia="Calibri" w:hAnsi="Calibri" w:cs="Times New Roman"/>
          <w:kern w:val="0"/>
          <w:sz w:val="18"/>
          <w:szCs w:val="18"/>
          <w14:ligatures w14:val="none"/>
        </w:rPr>
      </w:pPr>
    </w:p>
    <w:p w14:paraId="549A60E3" w14:textId="77777777" w:rsidR="0065074F" w:rsidRPr="0065074F" w:rsidRDefault="0065074F" w:rsidP="0065074F">
      <w:pPr>
        <w:rPr>
          <w:rFonts w:ascii="Calibri" w:eastAsia="Calibri" w:hAnsi="Calibri" w:cs="Times New Roman"/>
          <w:kern w:val="0"/>
          <w:sz w:val="18"/>
          <w:szCs w:val="18"/>
          <w14:ligatures w14:val="none"/>
        </w:rPr>
      </w:pPr>
    </w:p>
    <w:p w14:paraId="4183D887" w14:textId="77777777" w:rsidR="0065074F" w:rsidRPr="0065074F" w:rsidRDefault="0065074F" w:rsidP="0065074F">
      <w:pPr>
        <w:rPr>
          <w:rFonts w:ascii="Calibri" w:eastAsia="Calibri" w:hAnsi="Calibri" w:cs="Times New Roman"/>
          <w:kern w:val="0"/>
          <w:sz w:val="18"/>
          <w:szCs w:val="18"/>
          <w14:ligatures w14:val="none"/>
        </w:rPr>
      </w:pPr>
    </w:p>
    <w:p w14:paraId="7A169ABE" w14:textId="77777777" w:rsidR="0065074F" w:rsidRPr="0065074F" w:rsidRDefault="0065074F" w:rsidP="0065074F">
      <w:pPr>
        <w:rPr>
          <w:rFonts w:ascii="Calibri" w:eastAsia="Calibri" w:hAnsi="Calibri" w:cs="Times New Roman"/>
          <w:kern w:val="0"/>
          <w:sz w:val="18"/>
          <w:szCs w:val="18"/>
          <w14:ligatures w14:val="none"/>
        </w:rPr>
      </w:pPr>
    </w:p>
    <w:p w14:paraId="503B53D9" w14:textId="77777777" w:rsidR="0065074F" w:rsidRPr="0065074F" w:rsidRDefault="0065074F" w:rsidP="0065074F">
      <w:pPr>
        <w:rPr>
          <w:rFonts w:ascii="Calibri" w:eastAsia="Calibri" w:hAnsi="Calibri" w:cs="Times New Roman"/>
          <w:kern w:val="0"/>
          <w:sz w:val="18"/>
          <w:szCs w:val="18"/>
          <w14:ligatures w14:val="none"/>
        </w:rPr>
      </w:pPr>
    </w:p>
    <w:p w14:paraId="0F0C8A2C" w14:textId="77777777" w:rsidR="0065074F" w:rsidRPr="0065074F" w:rsidRDefault="0065074F" w:rsidP="0065074F">
      <w:pPr>
        <w:rPr>
          <w:rFonts w:ascii="Calibri" w:eastAsia="Calibri" w:hAnsi="Calibri" w:cs="Times New Roman"/>
          <w:b/>
          <w:kern w:val="0"/>
          <w:sz w:val="24"/>
          <w:szCs w:val="24"/>
          <w14:ligatures w14:val="none"/>
        </w:rPr>
      </w:pPr>
      <w:r w:rsidRPr="0065074F">
        <w:rPr>
          <w:rFonts w:ascii="Calibri" w:eastAsia="Calibri" w:hAnsi="Calibri" w:cs="Times New Roman"/>
          <w:kern w:val="0"/>
          <w:sz w:val="18"/>
          <w:szCs w:val="18"/>
          <w14:ligatures w14:val="none"/>
        </w:rPr>
        <w:t xml:space="preserve">Fuente: Recuperado del informe de Movilidad Social en México para 2019 </w:t>
      </w:r>
      <w:hyperlink r:id="rId6" w:history="1">
        <w:r w:rsidRPr="0065074F">
          <w:rPr>
            <w:rFonts w:ascii="Calibri" w:eastAsia="Calibri" w:hAnsi="Calibri" w:cs="Times New Roman"/>
            <w:color w:val="0563C1"/>
            <w:kern w:val="0"/>
            <w:sz w:val="18"/>
            <w:szCs w:val="18"/>
            <w:u w:val="single"/>
            <w14:ligatures w14:val="none"/>
          </w:rPr>
          <w:t>https://drive.google.com/file/d/1iBmOrUJpDv1xBhTAM5botUJ3qgTizMRz/view</w:t>
        </w:r>
      </w:hyperlink>
    </w:p>
    <w:p w14:paraId="6F1D6165" w14:textId="77777777" w:rsidR="0065074F" w:rsidRPr="0065074F" w:rsidRDefault="0065074F" w:rsidP="0065074F">
      <w:pPr>
        <w:tabs>
          <w:tab w:val="left" w:pos="2472"/>
        </w:tabs>
        <w:rPr>
          <w:rFonts w:ascii="Calibri" w:eastAsia="Calibri" w:hAnsi="Calibri" w:cs="Times New Roman"/>
          <w:kern w:val="0"/>
          <w:sz w:val="18"/>
          <w:szCs w:val="18"/>
          <w14:ligatures w14:val="none"/>
        </w:rPr>
      </w:pPr>
    </w:p>
    <w:p w14:paraId="552E4E5C" w14:textId="77777777" w:rsidR="0065074F" w:rsidRPr="0065074F" w:rsidRDefault="0065074F" w:rsidP="0065074F">
      <w:pPr>
        <w:tabs>
          <w:tab w:val="left" w:pos="2472"/>
        </w:tabs>
        <w:spacing w:line="480" w:lineRule="auto"/>
        <w:rPr>
          <w:rFonts w:ascii="Calibri" w:eastAsia="Calibri" w:hAnsi="Calibri" w:cs="Times New Roman"/>
          <w:kern w:val="0"/>
          <w14:ligatures w14:val="none"/>
        </w:rPr>
      </w:pPr>
      <w:r w:rsidRPr="0065074F">
        <w:rPr>
          <w:rFonts w:ascii="Calibri" w:eastAsia="Calibri" w:hAnsi="Calibri" w:cs="Times New Roman"/>
          <w:kern w:val="0"/>
          <w14:ligatures w14:val="none"/>
        </w:rPr>
        <w:t xml:space="preserve">            El grafico anterior muestra la máxima escolaridad alcanzada por personas que tuvieron padres sin estudios, en contraste de las personas que contaron con padres con estudios profesionales.  Se puede observarse que cuando los padres contaban sin estudios el 8% de los </w:t>
      </w:r>
      <w:r w:rsidRPr="0065074F">
        <w:rPr>
          <w:rFonts w:ascii="Calibri" w:eastAsia="Calibri" w:hAnsi="Calibri" w:cs="Times New Roman"/>
          <w:kern w:val="0"/>
          <w14:ligatures w14:val="none"/>
        </w:rPr>
        <w:lastRenderedPageBreak/>
        <w:t xml:space="preserve">entrevistados se quedó en la misma situación, cuando los padres no contaban con educación primaria, el 18 % se mantuvo. Es importante mencionar que cuando los padres no contaban con estudios, por lo menos el 30% de los entrevistados logró concluir la educación secundaria, </w:t>
      </w:r>
      <w:proofErr w:type="spellStart"/>
      <w:r w:rsidRPr="0065074F">
        <w:rPr>
          <w:rFonts w:ascii="Calibri" w:eastAsia="Calibri" w:hAnsi="Calibri" w:cs="Times New Roman"/>
          <w:kern w:val="0"/>
          <w14:ligatures w14:val="none"/>
        </w:rPr>
        <w:t>ell</w:t>
      </w:r>
      <w:proofErr w:type="spellEnd"/>
      <w:r w:rsidRPr="0065074F">
        <w:rPr>
          <w:rFonts w:ascii="Calibri" w:eastAsia="Calibri" w:hAnsi="Calibri" w:cs="Times New Roman"/>
          <w:kern w:val="0"/>
          <w14:ligatures w14:val="none"/>
        </w:rPr>
        <w:t xml:space="preserve"> 26 % de los entrevistados que contaban con padres en nivel de estudios profesional terminaron la primaria, el 64 % de los que se encontraban en la misma categoría tuvieron el mismo nivel que sus padres, es decir un nivel profesional, por lo tanto, podríamos asumir que más del 50% de los que contaban con padres con estudios profesional se quedaron en el mismo nivel educativo. </w:t>
      </w:r>
    </w:p>
    <w:p w14:paraId="6C810433" w14:textId="77777777" w:rsidR="0065074F" w:rsidRPr="0065074F" w:rsidRDefault="0065074F" w:rsidP="0065074F">
      <w:pPr>
        <w:tabs>
          <w:tab w:val="left" w:pos="2472"/>
        </w:tabs>
        <w:spacing w:line="480" w:lineRule="auto"/>
        <w:rPr>
          <w:rFonts w:ascii="Calibri" w:eastAsia="Calibri" w:hAnsi="Calibri" w:cs="Times New Roman"/>
          <w:b/>
          <w:kern w:val="0"/>
          <w14:ligatures w14:val="none"/>
        </w:rPr>
      </w:pPr>
      <w:r w:rsidRPr="0065074F">
        <w:rPr>
          <w:rFonts w:ascii="Calibri" w:eastAsia="Calibri" w:hAnsi="Calibri" w:cs="Times New Roman"/>
          <w:b/>
          <w:kern w:val="0"/>
          <w14:ligatures w14:val="none"/>
        </w:rPr>
        <w:t>Porcentaje de población analfabeta en México por sexo</w:t>
      </w:r>
    </w:p>
    <w:p w14:paraId="2C8AFE22" w14:textId="77777777" w:rsidR="0065074F" w:rsidRPr="0065074F" w:rsidRDefault="0065074F" w:rsidP="0065074F">
      <w:pPr>
        <w:spacing w:line="480" w:lineRule="auto"/>
        <w:ind w:firstLine="708"/>
        <w:jc w:val="center"/>
        <w:rPr>
          <w:rFonts w:ascii="Calibri" w:eastAsia="Calibri" w:hAnsi="Calibri" w:cs="Calibri"/>
          <w:kern w:val="0"/>
          <w14:ligatures w14:val="none"/>
        </w:rPr>
      </w:pPr>
      <w:r w:rsidRPr="0065074F">
        <w:rPr>
          <w:rFonts w:ascii="Calibri" w:eastAsia="Calibri" w:hAnsi="Calibri" w:cs="Times New Roman"/>
          <w:noProof/>
          <w:kern w:val="0"/>
          <w:lang w:eastAsia="es-MX"/>
          <w14:ligatures w14:val="none"/>
        </w:rPr>
        <w:drawing>
          <wp:inline distT="0" distB="0" distL="0" distR="0" wp14:anchorId="7C7E25C3" wp14:editId="0E7BAAF2">
            <wp:extent cx="3065509" cy="2360494"/>
            <wp:effectExtent l="0" t="0" r="1905" b="1905"/>
            <wp:docPr id="7" name="Imagen 7"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Gráfico, Gráfico de barras&#10;&#10;Descripción generada automáticamente"/>
                    <pic:cNvPicPr/>
                  </pic:nvPicPr>
                  <pic:blipFill>
                    <a:blip r:embed="rId7"/>
                    <a:stretch>
                      <a:fillRect/>
                    </a:stretch>
                  </pic:blipFill>
                  <pic:spPr>
                    <a:xfrm>
                      <a:off x="0" y="0"/>
                      <a:ext cx="3071857" cy="2365382"/>
                    </a:xfrm>
                    <a:prstGeom prst="rect">
                      <a:avLst/>
                    </a:prstGeom>
                  </pic:spPr>
                </pic:pic>
              </a:graphicData>
            </a:graphic>
          </wp:inline>
        </w:drawing>
      </w:r>
    </w:p>
    <w:p w14:paraId="6B441D84"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De acuerdo con el Censo de Población y Vivienda 2020, cuatro de cada 100 hombres y seis de cada 100 mujeres de 15 años y más no saben leer ni escribir.  </w:t>
      </w:r>
    </w:p>
    <w:p w14:paraId="2F2D2F84" w14:textId="77777777" w:rsidR="0065074F" w:rsidRPr="0065074F" w:rsidRDefault="0065074F" w:rsidP="0065074F">
      <w:pPr>
        <w:keepNext/>
        <w:keepLines/>
        <w:spacing w:before="240" w:after="0"/>
        <w:outlineLvl w:val="0"/>
        <w:rPr>
          <w:rFonts w:ascii="Calibri" w:eastAsia="Times New Roman" w:hAnsi="Calibri" w:cs="Calibri"/>
          <w:b/>
          <w:color w:val="000000"/>
          <w:kern w:val="0"/>
          <w:sz w:val="24"/>
          <w:szCs w:val="32"/>
          <w14:ligatures w14:val="none"/>
        </w:rPr>
      </w:pPr>
      <w:bookmarkStart w:id="2" w:name="_Toc126794700"/>
      <w:r w:rsidRPr="0065074F">
        <w:rPr>
          <w:rFonts w:ascii="Calibri" w:eastAsia="Times New Roman" w:hAnsi="Calibri" w:cs="Calibri"/>
          <w:b/>
          <w:color w:val="000000"/>
          <w:kern w:val="0"/>
          <w:sz w:val="24"/>
          <w:szCs w:val="32"/>
          <w14:ligatures w14:val="none"/>
        </w:rPr>
        <w:t>Justificación</w:t>
      </w:r>
      <w:bookmarkEnd w:id="2"/>
      <w:r w:rsidRPr="0065074F">
        <w:rPr>
          <w:rFonts w:ascii="Calibri" w:eastAsia="Times New Roman" w:hAnsi="Calibri" w:cs="Calibri"/>
          <w:b/>
          <w:color w:val="000000"/>
          <w:kern w:val="0"/>
          <w:sz w:val="24"/>
          <w:szCs w:val="32"/>
          <w14:ligatures w14:val="none"/>
        </w:rPr>
        <w:t xml:space="preserve"> </w:t>
      </w:r>
    </w:p>
    <w:p w14:paraId="7384976B" w14:textId="77777777" w:rsidR="0065074F" w:rsidRPr="0065074F" w:rsidRDefault="0065074F" w:rsidP="0065074F">
      <w:pPr>
        <w:spacing w:line="480" w:lineRule="auto"/>
        <w:rPr>
          <w:rFonts w:ascii="Calibri" w:eastAsia="Calibri" w:hAnsi="Calibri" w:cs="Calibri"/>
          <w:kern w:val="0"/>
          <w14:ligatures w14:val="none"/>
        </w:rPr>
      </w:pPr>
      <w:r w:rsidRPr="0065074F">
        <w:rPr>
          <w:rFonts w:ascii="Calibri" w:eastAsia="Calibri" w:hAnsi="Calibri" w:cs="Calibri"/>
          <w:kern w:val="0"/>
          <w14:ligatures w14:val="none"/>
        </w:rPr>
        <w:t xml:space="preserve">INEGI menciona que “la investigación de la movilidad social en México se ha acrecentado en los últimos años, derivados de la necesidad de conocer la estructura de oportunidades con las que las personas cuentan para sumarse a los beneficios del desarrollo económico en nuestra sociedad” (2016, </w:t>
      </w:r>
      <w:proofErr w:type="spellStart"/>
      <w:r w:rsidRPr="0065074F">
        <w:rPr>
          <w:rFonts w:ascii="Calibri" w:eastAsia="Calibri" w:hAnsi="Calibri" w:cs="Calibri"/>
          <w:kern w:val="0"/>
          <w14:ligatures w14:val="none"/>
        </w:rPr>
        <w:t>s.n</w:t>
      </w:r>
      <w:proofErr w:type="spellEnd"/>
      <w:r w:rsidRPr="0065074F">
        <w:rPr>
          <w:rFonts w:ascii="Calibri" w:eastAsia="Calibri" w:hAnsi="Calibri" w:cs="Calibri"/>
          <w:kern w:val="0"/>
          <w14:ligatures w14:val="none"/>
        </w:rPr>
        <w:t xml:space="preserve">). Por lo tanto, se puede decir que el tener un mejor nivel educativo no siempre es un garante de que la movilidad social se va a presentar y en ocasiones puede llegar a ser peor. </w:t>
      </w:r>
    </w:p>
    <w:p w14:paraId="40B1D41D"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lastRenderedPageBreak/>
        <w:t xml:space="preserve">La presente investigación pretende explicar y modelar si la educación de los padres es un factor importante para que los individuos presenten un ingreso mejor y por ende se presente la movilidad social. Aunque INEGI ya realizó un estudio de movilidad social, ellos no consideran el ingreso de los padres como variable y el introducir esta variable para saber el efecto de </w:t>
      </w:r>
      <w:proofErr w:type="gramStart"/>
      <w:r w:rsidRPr="0065074F">
        <w:rPr>
          <w:rFonts w:ascii="Calibri" w:eastAsia="Calibri" w:hAnsi="Calibri" w:cs="Calibri"/>
          <w:kern w:val="0"/>
          <w14:ligatures w14:val="none"/>
        </w:rPr>
        <w:t>la misma</w:t>
      </w:r>
      <w:proofErr w:type="gramEnd"/>
      <w:r w:rsidRPr="0065074F">
        <w:rPr>
          <w:rFonts w:ascii="Calibri" w:eastAsia="Calibri" w:hAnsi="Calibri" w:cs="Calibri"/>
          <w:kern w:val="0"/>
          <w14:ligatures w14:val="none"/>
        </w:rPr>
        <w:t xml:space="preserve"> sobre los resultados que ya se han obtenido de investigaciones anteriores. </w:t>
      </w:r>
    </w:p>
    <w:p w14:paraId="01233A46" w14:textId="77777777" w:rsidR="0065074F" w:rsidRPr="0065074F" w:rsidRDefault="0065074F" w:rsidP="0065074F">
      <w:pPr>
        <w:spacing w:line="480" w:lineRule="auto"/>
        <w:ind w:firstLine="708"/>
        <w:rPr>
          <w:rFonts w:ascii="Calibri" w:eastAsia="Calibri" w:hAnsi="Calibri" w:cs="Calibri"/>
          <w:kern w:val="0"/>
          <w14:ligatures w14:val="none"/>
        </w:rPr>
      </w:pPr>
      <w:r w:rsidRPr="0065074F">
        <w:rPr>
          <w:rFonts w:ascii="Calibri" w:eastAsia="Calibri" w:hAnsi="Calibri" w:cs="Calibri"/>
          <w:kern w:val="0"/>
          <w14:ligatures w14:val="none"/>
        </w:rPr>
        <w:t xml:space="preserve">Una limitación que se puede presentar es el manejo de información y la complejidad para interpretar de manera correcta los resultados y no se realicen interpretaciones que no sean fidedignas con lo que se está obteniendo. </w:t>
      </w:r>
    </w:p>
    <w:p w14:paraId="3F7F4BD2" w14:textId="77777777" w:rsidR="0065074F" w:rsidRPr="0065074F" w:rsidRDefault="0065074F" w:rsidP="0065074F">
      <w:pPr>
        <w:keepNext/>
        <w:keepLines/>
        <w:spacing w:before="240" w:after="0"/>
        <w:outlineLvl w:val="0"/>
        <w:rPr>
          <w:rFonts w:ascii="Calibri" w:eastAsia="Times New Roman" w:hAnsi="Calibri" w:cs="Calibri"/>
          <w:b/>
          <w:color w:val="000000"/>
          <w:kern w:val="0"/>
          <w:sz w:val="24"/>
          <w:szCs w:val="32"/>
          <w14:ligatures w14:val="none"/>
        </w:rPr>
      </w:pPr>
      <w:bookmarkStart w:id="3" w:name="_Toc126794701"/>
      <w:r w:rsidRPr="0065074F">
        <w:rPr>
          <w:rFonts w:ascii="Calibri" w:eastAsia="Times New Roman" w:hAnsi="Calibri" w:cs="Calibri"/>
          <w:b/>
          <w:color w:val="000000"/>
          <w:kern w:val="0"/>
          <w:sz w:val="24"/>
          <w:szCs w:val="32"/>
          <w14:ligatures w14:val="none"/>
        </w:rPr>
        <w:t>Objetivos</w:t>
      </w:r>
      <w:bookmarkEnd w:id="3"/>
      <w:r w:rsidRPr="0065074F">
        <w:rPr>
          <w:rFonts w:ascii="Calibri" w:eastAsia="Times New Roman" w:hAnsi="Calibri" w:cs="Calibri"/>
          <w:b/>
          <w:color w:val="000000"/>
          <w:kern w:val="0"/>
          <w:sz w:val="24"/>
          <w:szCs w:val="32"/>
          <w14:ligatures w14:val="none"/>
        </w:rPr>
        <w:t xml:space="preserve">  </w:t>
      </w:r>
    </w:p>
    <w:p w14:paraId="118CA091" w14:textId="77777777" w:rsidR="0065074F" w:rsidRPr="0065074F" w:rsidRDefault="0065074F" w:rsidP="0065074F">
      <w:pPr>
        <w:spacing w:line="480" w:lineRule="auto"/>
        <w:rPr>
          <w:rFonts w:ascii="Calibri" w:eastAsia="Calibri" w:hAnsi="Calibri" w:cs="Calibri"/>
          <w:kern w:val="0"/>
          <w14:ligatures w14:val="none"/>
        </w:rPr>
      </w:pPr>
      <w:r w:rsidRPr="0065074F">
        <w:rPr>
          <w:rFonts w:ascii="Calibri" w:eastAsia="Calibri" w:hAnsi="Calibri" w:cs="Calibri"/>
          <w:kern w:val="0"/>
          <w14:ligatures w14:val="none"/>
        </w:rPr>
        <w:t xml:space="preserve">Determinar si las condiciones de vida al nacer, así como la educación de los padres son factores determinantes para la movilidad social de los individuos para México de XXXX – XXXX. </w:t>
      </w:r>
    </w:p>
    <w:p w14:paraId="5AF8A17B" w14:textId="77777777" w:rsidR="0065074F" w:rsidRPr="0065074F" w:rsidRDefault="0065074F" w:rsidP="0065074F">
      <w:pPr>
        <w:keepNext/>
        <w:keepLines/>
        <w:spacing w:before="240" w:after="0"/>
        <w:outlineLvl w:val="0"/>
        <w:rPr>
          <w:rFonts w:ascii="Calibri" w:eastAsia="Times New Roman" w:hAnsi="Calibri" w:cs="Calibri"/>
          <w:b/>
          <w:color w:val="000000"/>
          <w:kern w:val="0"/>
          <w:sz w:val="24"/>
          <w:szCs w:val="32"/>
          <w14:ligatures w14:val="none"/>
        </w:rPr>
      </w:pPr>
      <w:bookmarkStart w:id="4" w:name="_Toc126794702"/>
      <w:r w:rsidRPr="0065074F">
        <w:rPr>
          <w:rFonts w:ascii="Calibri" w:eastAsia="Times New Roman" w:hAnsi="Calibri" w:cs="Calibri"/>
          <w:b/>
          <w:color w:val="000000"/>
          <w:kern w:val="0"/>
          <w:sz w:val="24"/>
          <w:szCs w:val="32"/>
          <w14:ligatures w14:val="none"/>
        </w:rPr>
        <w:t>Supuestos</w:t>
      </w:r>
      <w:bookmarkEnd w:id="4"/>
      <w:r w:rsidRPr="0065074F">
        <w:rPr>
          <w:rFonts w:ascii="Calibri" w:eastAsia="Times New Roman" w:hAnsi="Calibri" w:cs="Calibri"/>
          <w:b/>
          <w:color w:val="000000"/>
          <w:kern w:val="0"/>
          <w:sz w:val="24"/>
          <w:szCs w:val="32"/>
          <w14:ligatures w14:val="none"/>
        </w:rPr>
        <w:t xml:space="preserve"> </w:t>
      </w:r>
    </w:p>
    <w:p w14:paraId="0F57DE7A" w14:textId="77777777" w:rsidR="0065074F" w:rsidRPr="0065074F" w:rsidRDefault="0065074F" w:rsidP="0065074F">
      <w:pPr>
        <w:spacing w:line="480" w:lineRule="auto"/>
        <w:ind w:firstLine="708"/>
        <w:jc w:val="both"/>
        <w:rPr>
          <w:rFonts w:ascii="Calibri" w:eastAsia="Calibri" w:hAnsi="Calibri" w:cs="Calibri"/>
          <w:kern w:val="0"/>
          <w14:ligatures w14:val="none"/>
        </w:rPr>
      </w:pPr>
      <w:r w:rsidRPr="0065074F">
        <w:rPr>
          <w:rFonts w:ascii="Calibri" w:eastAsia="Calibri" w:hAnsi="Calibri" w:cs="Calibri"/>
          <w:kern w:val="0"/>
          <w14:ligatures w14:val="none"/>
        </w:rPr>
        <w:t xml:space="preserve">Ha. La educación de los padres es un factor determinante para que se genere la movilidad social. </w:t>
      </w:r>
    </w:p>
    <w:p w14:paraId="38FEAC49" w14:textId="77777777" w:rsidR="0065074F" w:rsidRPr="0065074F" w:rsidRDefault="0065074F" w:rsidP="0065074F">
      <w:pPr>
        <w:spacing w:line="480" w:lineRule="auto"/>
        <w:ind w:firstLine="708"/>
        <w:jc w:val="both"/>
        <w:rPr>
          <w:rFonts w:ascii="Calibri" w:eastAsia="Calibri" w:hAnsi="Calibri" w:cs="Calibri"/>
          <w:kern w:val="0"/>
          <w14:ligatures w14:val="none"/>
        </w:rPr>
      </w:pPr>
      <w:r w:rsidRPr="0065074F">
        <w:rPr>
          <w:rFonts w:ascii="Calibri" w:eastAsia="Calibri" w:hAnsi="Calibri" w:cs="Calibri"/>
          <w:kern w:val="0"/>
          <w14:ligatures w14:val="none"/>
        </w:rPr>
        <w:t xml:space="preserve">Ho. La educación de los padres no es un factor determinante para que se genere la movilidad social.  </w:t>
      </w:r>
    </w:p>
    <w:p w14:paraId="1F74679D" w14:textId="77777777" w:rsidR="00B626F5" w:rsidRDefault="00B626F5"/>
    <w:sectPr w:rsidR="00B626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4F"/>
    <w:rsid w:val="004D13CC"/>
    <w:rsid w:val="0065074F"/>
    <w:rsid w:val="00B626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0B2F7"/>
  <w15:chartTrackingRefBased/>
  <w15:docId w15:val="{16A35571-39CE-42E6-9484-330060F6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7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6507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65074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5074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5074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5074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5074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5074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5074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74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65074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65074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5074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5074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5074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5074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5074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5074F"/>
    <w:rPr>
      <w:rFonts w:eastAsiaTheme="majorEastAsia" w:cstheme="majorBidi"/>
      <w:color w:val="272727" w:themeColor="text1" w:themeTint="D8"/>
    </w:rPr>
  </w:style>
  <w:style w:type="paragraph" w:styleId="Ttulo">
    <w:name w:val="Title"/>
    <w:basedOn w:val="Normal"/>
    <w:next w:val="Normal"/>
    <w:link w:val="TtuloCar"/>
    <w:uiPriority w:val="10"/>
    <w:qFormat/>
    <w:rsid w:val="006507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5074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5074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5074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5074F"/>
    <w:pPr>
      <w:spacing w:before="160"/>
      <w:jc w:val="center"/>
    </w:pPr>
    <w:rPr>
      <w:i/>
      <w:iCs/>
      <w:color w:val="404040" w:themeColor="text1" w:themeTint="BF"/>
    </w:rPr>
  </w:style>
  <w:style w:type="character" w:customStyle="1" w:styleId="CitaCar">
    <w:name w:val="Cita Car"/>
    <w:basedOn w:val="Fuentedeprrafopredeter"/>
    <w:link w:val="Cita"/>
    <w:uiPriority w:val="29"/>
    <w:rsid w:val="0065074F"/>
    <w:rPr>
      <w:i/>
      <w:iCs/>
      <w:color w:val="404040" w:themeColor="text1" w:themeTint="BF"/>
    </w:rPr>
  </w:style>
  <w:style w:type="paragraph" w:styleId="Prrafodelista">
    <w:name w:val="List Paragraph"/>
    <w:basedOn w:val="Normal"/>
    <w:uiPriority w:val="34"/>
    <w:qFormat/>
    <w:rsid w:val="0065074F"/>
    <w:pPr>
      <w:ind w:left="720"/>
      <w:contextualSpacing/>
    </w:pPr>
  </w:style>
  <w:style w:type="character" w:styleId="nfasisintenso">
    <w:name w:val="Intense Emphasis"/>
    <w:basedOn w:val="Fuentedeprrafopredeter"/>
    <w:uiPriority w:val="21"/>
    <w:qFormat/>
    <w:rsid w:val="0065074F"/>
    <w:rPr>
      <w:i/>
      <w:iCs/>
      <w:color w:val="0F4761" w:themeColor="accent1" w:themeShade="BF"/>
    </w:rPr>
  </w:style>
  <w:style w:type="paragraph" w:styleId="Citadestacada">
    <w:name w:val="Intense Quote"/>
    <w:basedOn w:val="Normal"/>
    <w:next w:val="Normal"/>
    <w:link w:val="CitadestacadaCar"/>
    <w:uiPriority w:val="30"/>
    <w:qFormat/>
    <w:rsid w:val="006507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5074F"/>
    <w:rPr>
      <w:i/>
      <w:iCs/>
      <w:color w:val="0F4761" w:themeColor="accent1" w:themeShade="BF"/>
    </w:rPr>
  </w:style>
  <w:style w:type="character" w:styleId="Referenciaintensa">
    <w:name w:val="Intense Reference"/>
    <w:basedOn w:val="Fuentedeprrafopredeter"/>
    <w:uiPriority w:val="32"/>
    <w:qFormat/>
    <w:rsid w:val="006507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iBmOrUJpDv1xBhTAM5botUJ3qgTizMRz/view" TargetMode="External"/><Relationship Id="rId5" Type="http://schemas.openxmlformats.org/officeDocument/2006/relationships/image" Target="media/image2.png"/><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1278</Words>
  <Characters>7032</Characters>
  <Application>Microsoft Office Word</Application>
  <DocSecurity>0</DocSecurity>
  <Lines>58</Lines>
  <Paragraphs>16</Paragraphs>
  <ScaleCrop>false</ScaleCrop>
  <Company/>
  <LinksUpToDate>false</LinksUpToDate>
  <CharactersWithSpaces>8294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Viviana Jaramillo</dc:creator>
  <cp:keywords/>
  <dc:description/>
  <cp:lastModifiedBy>Viviana Jaramillo</cp:lastModifiedBy>
  <cp:revision>1</cp:revision>
  <dcterms:created xsi:type="dcterms:W3CDTF">2024-03-03T15:08:00Z</dcterms:created>
  <dcterms:modified xsi:type="dcterms:W3CDTF">2024-03-03T15:10:00Z</dcterms:modified>
</cp:coreProperties>
</file>