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63A7" w14:textId="1628A317" w:rsidR="008B4794" w:rsidRPr="00C12149" w:rsidRDefault="00C12149">
      <w:pPr>
        <w:rPr>
          <w:rFonts w:ascii="Calibri" w:hAnsi="Calibri" w:cs="Calibri"/>
          <w:b/>
          <w:bCs/>
        </w:rPr>
      </w:pPr>
      <w:r w:rsidRPr="00C12149">
        <w:rPr>
          <w:rFonts w:ascii="Calibri" w:hAnsi="Calibri" w:cs="Calibri"/>
          <w:b/>
          <w:bCs/>
        </w:rPr>
        <w:t xml:space="preserve">Análisis crítico de la bibliografía </w:t>
      </w:r>
    </w:p>
    <w:p w14:paraId="5803B1D8" w14:textId="73E011D2" w:rsidR="00C12149" w:rsidRDefault="00E97ABE">
      <w:pPr>
        <w:rPr>
          <w:rFonts w:ascii="Calibri" w:hAnsi="Calibri" w:cs="Calibri"/>
          <w:sz w:val="22"/>
          <w:szCs w:val="22"/>
        </w:rPr>
      </w:pPr>
      <w:r w:rsidRPr="00672361">
        <w:rPr>
          <w:rFonts w:ascii="Calibri" w:hAnsi="Calibri" w:cs="Calibri"/>
          <w:sz w:val="22"/>
          <w:szCs w:val="22"/>
        </w:rPr>
        <w:t xml:space="preserve">Revisando la bibliografía con la que actualmente se cuenta </w:t>
      </w:r>
      <w:r w:rsidR="00672361">
        <w:rPr>
          <w:rFonts w:ascii="Calibri" w:hAnsi="Calibri" w:cs="Calibri"/>
          <w:sz w:val="22"/>
          <w:szCs w:val="22"/>
        </w:rPr>
        <w:t xml:space="preserve">en la investigación, resulta importante destacar que solo se tienen 13 referencias bibliográficas, por lo cual </w:t>
      </w:r>
      <w:r w:rsidR="007316CE">
        <w:rPr>
          <w:rFonts w:ascii="Calibri" w:hAnsi="Calibri" w:cs="Calibri"/>
          <w:sz w:val="22"/>
          <w:szCs w:val="22"/>
        </w:rPr>
        <w:t>es de urgencia aumentar la cantidad de estas, además de que la mas reciente es de 2022 y se cuenta con algunas algo antiguas como de 2009, las cuales valdría la pena revisar si son relevantes o sería mejor quitarlas para que sean actualizadas</w:t>
      </w:r>
      <w:r w:rsidR="004173B7">
        <w:rPr>
          <w:rFonts w:ascii="Calibri" w:hAnsi="Calibri" w:cs="Calibri"/>
          <w:sz w:val="22"/>
          <w:szCs w:val="22"/>
        </w:rPr>
        <w:t xml:space="preserve">: </w:t>
      </w:r>
    </w:p>
    <w:p w14:paraId="035713E5" w14:textId="4038A65E" w:rsidR="004173B7" w:rsidRPr="00672361" w:rsidRDefault="004173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Cabe mencionar que </w:t>
      </w:r>
      <w:r w:rsidR="003F50FD">
        <w:rPr>
          <w:rFonts w:ascii="Calibri" w:hAnsi="Calibri" w:cs="Calibri"/>
          <w:sz w:val="22"/>
          <w:szCs w:val="22"/>
        </w:rPr>
        <w:t xml:space="preserve">algunas de las referencias antiguas son utilizadas como referencia para el estudio, </w:t>
      </w:r>
      <w:r w:rsidR="00C03824">
        <w:rPr>
          <w:rFonts w:ascii="Calibri" w:hAnsi="Calibri" w:cs="Calibri"/>
          <w:sz w:val="22"/>
          <w:szCs w:val="22"/>
        </w:rPr>
        <w:t xml:space="preserve">ya que han realizado investigaciones parecidas a las que se pretender llevar a cabo. </w:t>
      </w:r>
    </w:p>
    <w:p w14:paraId="00955F58" w14:textId="77777777" w:rsidR="005F1DC8" w:rsidRDefault="005F1DC8"/>
    <w:bookmarkStart w:id="0" w:name="_Toc126794708" w:displacedByCustomXml="next"/>
    <w:sdt>
      <w:sdtPr>
        <w:rPr>
          <w:rFonts w:asciiTheme="minorHAnsi" w:eastAsiaTheme="minorHAnsi" w:hAnsiTheme="minorHAnsi" w:cs="Calibri"/>
          <w:b/>
          <w:color w:val="auto"/>
          <w:sz w:val="22"/>
          <w:szCs w:val="22"/>
          <w:lang w:val="es-ES"/>
        </w:rPr>
        <w:id w:val="121050201"/>
        <w:docPartObj>
          <w:docPartGallery w:val="Bibliographies"/>
          <w:docPartUnique/>
        </w:docPartObj>
      </w:sdtPr>
      <w:sdtEndPr>
        <w:rPr>
          <w:b w:val="0"/>
          <w:sz w:val="24"/>
          <w:szCs w:val="24"/>
          <w:lang w:val="es-MX"/>
        </w:rPr>
      </w:sdtEndPr>
      <w:sdtContent>
        <w:p w14:paraId="56139E48" w14:textId="77777777" w:rsidR="005F1DC8" w:rsidRPr="004129A8" w:rsidRDefault="005F1DC8" w:rsidP="005F1DC8">
          <w:pPr>
            <w:pStyle w:val="Ttulo1"/>
            <w:rPr>
              <w:rFonts w:cs="Calibri"/>
            </w:rPr>
          </w:pPr>
          <w:r w:rsidRPr="004129A8">
            <w:rPr>
              <w:rFonts w:cs="Calibri"/>
              <w:lang w:val="es-ES"/>
            </w:rPr>
            <w:t>Bibliografía</w:t>
          </w:r>
          <w:bookmarkEnd w:id="0"/>
        </w:p>
        <w:sdt>
          <w:sdtPr>
            <w:rPr>
              <w:rFonts w:ascii="Calibri" w:hAnsi="Calibri" w:cs="Calibri"/>
            </w:rPr>
            <w:id w:val="111145805"/>
            <w:bibliography/>
          </w:sdtPr>
          <w:sdtEndPr>
            <w:rPr>
              <w:kern w:val="2"/>
              <w:sz w:val="24"/>
              <w:szCs w:val="24"/>
              <w14:ligatures w14:val="standardContextual"/>
            </w:rPr>
          </w:sdtEndPr>
          <w:sdtContent>
            <w:p w14:paraId="49AC0F9D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</w:rPr>
              </w:pPr>
            </w:p>
            <w:p w14:paraId="68DFE39B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Bayón, M. C. (2009). Oportunidades desiguales, desventajas heredadas. Las dimensiones subjetivas de la privación en México.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Espiral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.</w:t>
              </w:r>
            </w:p>
            <w:p w14:paraId="702BAEE3" w14:textId="77777777" w:rsidR="005F1DC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Campos Vázquez, R. (2016).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Inteligencia y personalidad: efectos en movilidad social y resultados de vida.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 (Primera ed.). Distrito Federal, México: Colegio de México y Centro de Estudios Espinoza Yglesias.</w:t>
              </w:r>
            </w:p>
            <w:p w14:paraId="56E124C9" w14:textId="77777777" w:rsidR="005F1DC8" w:rsidRPr="008B6AA6" w:rsidRDefault="005F1DC8" w:rsidP="005F1DC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CONEVAL. (2021). </w:t>
              </w:r>
              <w:r>
                <w:rPr>
                  <w:i/>
                  <w:iCs/>
                  <w:noProof/>
                </w:rPr>
                <w:t>CONEVAL PRESENTA LAS ESTIMACIONES DE POBREZA MULTIDIMENSIONAL 2018 y 2020.</w:t>
              </w:r>
              <w:r>
                <w:rPr>
                  <w:noProof/>
                </w:rPr>
                <w:t xml:space="preserve"> México : CONEVAL.</w:t>
              </w:r>
            </w:p>
            <w:p w14:paraId="164D29A2" w14:textId="77777777" w:rsidR="005F1DC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Consejo Nacional de Población . (2010-2011).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Concepto y dimensiones de la marginación.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 CONAPO.</w:t>
              </w:r>
            </w:p>
            <w:p w14:paraId="2942F3EF" w14:textId="77777777" w:rsidR="005F1DC8" w:rsidRPr="008B6AA6" w:rsidRDefault="005F1DC8" w:rsidP="005F1DC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Cuentame de México . (30 de Junio de 2022). </w:t>
              </w:r>
              <w:r>
                <w:rPr>
                  <w:i/>
                  <w:iCs/>
                  <w:noProof/>
                </w:rPr>
                <w:t xml:space="preserve">Cuentame de México </w:t>
              </w:r>
              <w:r>
                <w:rPr>
                  <w:noProof/>
                </w:rPr>
                <w:t>. Obtenido de https://cuentame.inegi.org.mx/poblacion/analfabeta.aspx?tema=P#:~:text=En%20M%C3%A9xico%2C%20durante%20los%20%C3%BAltimos,no%20saben%20leer%20ni%20escribir.</w:t>
              </w:r>
            </w:p>
            <w:p w14:paraId="0894E7A0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Instituto Nacional de Estadísitca y Geografía. (s.f.).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INEGI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.</w:t>
              </w:r>
              <w:r>
                <w:rPr>
                  <w:rFonts w:ascii="Calibri" w:hAnsi="Calibri" w:cs="Calibri"/>
                  <w:noProof/>
                  <w:lang w:val="es-ES"/>
                </w:rPr>
                <w:t xml:space="preserve"> Recuperado el 15 de abril de 2022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, de http://www3.inegi.org.mx/sistemas/sisept/glosario/default.aspx?t=medu17&amp;e=00</w:t>
              </w:r>
            </w:p>
            <w:p w14:paraId="5386A9C2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Intituto Nacional de Estadistica y Geografía . (s.f.).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INEGI</w:t>
              </w:r>
              <w:r>
                <w:rPr>
                  <w:rFonts w:ascii="Calibri" w:hAnsi="Calibri" w:cs="Calibri"/>
                  <w:noProof/>
                  <w:lang w:val="es-ES"/>
                </w:rPr>
                <w:t>. Recuperado el 15 de abril de 2022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, de http://www.beta.inegi.org.mx/proyectos/enchogares/especiales/mcs/2015/ </w:t>
              </w:r>
            </w:p>
            <w:p w14:paraId="702B6000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Nuñéz, J., Ramirez, C., &amp; Taboada, B. (2006). Esfuerzos y herencias sociales en la desigualdad de ingresos en Colombia.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CEPAL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, 5-51.</w:t>
              </w:r>
            </w:p>
            <w:p w14:paraId="4B0EC8C0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Organización para la Cooperación y el Desarrollo Económicos. (2018).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OCDE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. Recuperado e</w:t>
              </w:r>
              <w:r>
                <w:rPr>
                  <w:rFonts w:ascii="Calibri" w:hAnsi="Calibri" w:cs="Calibri"/>
                  <w:noProof/>
                  <w:lang w:val="es-ES"/>
                </w:rPr>
                <w:t>l 16 de mayo de 2012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, de https://www.oecd.org/centrodemexico/estadisticas/</w:t>
              </w:r>
            </w:p>
            <w:p w14:paraId="11384532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Programa Internacional para la Evaluación de Estudiantes . (2011).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¿Cómo algunos estudiantes superan su entorno socioeconómico de origen?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 OCDE.</w:t>
              </w:r>
            </w:p>
            <w:p w14:paraId="36C341AB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lastRenderedPageBreak/>
                <w:t xml:space="preserve">Salas, M. M., &amp; de Oliveira, O. (2014). Los caminos de la vida: acumulación, reproducción o superación de las desventajas sociales en México.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Revista mexicana de ciencias políticas y sociales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.</w:t>
              </w:r>
            </w:p>
            <w:p w14:paraId="7BBB00EE" w14:textId="77777777" w:rsidR="005F1DC8" w:rsidRPr="004129A8" w:rsidRDefault="005F1DC8" w:rsidP="005F1DC8">
              <w:pPr>
                <w:pStyle w:val="Bibliografa"/>
                <w:ind w:left="720" w:hanging="720"/>
                <w:rPr>
                  <w:rFonts w:ascii="Calibri" w:hAnsi="Calibri" w:cs="Calibri"/>
                  <w:noProof/>
                  <w:lang w:val="es-ES"/>
                </w:rPr>
              </w:pPr>
              <w:r w:rsidRPr="004129A8">
                <w:rPr>
                  <w:rFonts w:ascii="Calibri" w:hAnsi="Calibri" w:cs="Calibri"/>
                  <w:noProof/>
                  <w:lang w:val="es-ES"/>
                </w:rPr>
                <w:t xml:space="preserve">Secretaría de Medio Ambiente y Recursos Naturales. (s.f.). </w:t>
              </w:r>
              <w:r w:rsidRPr="004129A8">
                <w:rPr>
                  <w:rFonts w:ascii="Calibri" w:hAnsi="Calibri" w:cs="Calibri"/>
                  <w:i/>
                  <w:iCs/>
                  <w:noProof/>
                  <w:lang w:val="es-ES"/>
                </w:rPr>
                <w:t>SEMARNAT</w:t>
              </w:r>
              <w:r>
                <w:rPr>
                  <w:rFonts w:ascii="Calibri" w:hAnsi="Calibri" w:cs="Calibri"/>
                  <w:noProof/>
                  <w:lang w:val="es-ES"/>
                </w:rPr>
                <w:t>. Recuperado el 13 de mayo de 2022</w:t>
              </w:r>
              <w:r w:rsidRPr="004129A8">
                <w:rPr>
                  <w:rFonts w:ascii="Calibri" w:hAnsi="Calibri" w:cs="Calibri"/>
                  <w:noProof/>
                  <w:lang w:val="es-ES"/>
                </w:rPr>
                <w:t>, de http://dgeiawf.semarnat.gob.mx:8080/ibi_apps/WFServlet?IBIF_ex=D1_R_POBREZA00_02&amp;IBIC_user=dgeia_mce&amp;IBIC_pass=dgeia_mce</w:t>
              </w:r>
            </w:p>
            <w:p w14:paraId="501F930F" w14:textId="77777777" w:rsidR="005F1DC8" w:rsidRPr="004129A8" w:rsidRDefault="005F1DC8" w:rsidP="005F1DC8">
              <w:pPr>
                <w:rPr>
                  <w:rFonts w:ascii="Calibri" w:hAnsi="Calibri" w:cs="Calibri"/>
                </w:rPr>
              </w:pPr>
              <w:proofErr w:type="spellStart"/>
              <w:r w:rsidRPr="004129A8">
                <w:rPr>
                  <w:rFonts w:ascii="Calibri" w:hAnsi="Calibri" w:cs="Calibri"/>
                  <w:color w:val="222222"/>
                  <w:sz w:val="20"/>
                  <w:szCs w:val="20"/>
                  <w:shd w:val="clear" w:color="auto" w:fill="FFFFFF"/>
                </w:rPr>
                <w:t>Tiramonti</w:t>
              </w:r>
              <w:proofErr w:type="spellEnd"/>
              <w:r w:rsidRPr="004129A8">
                <w:rPr>
                  <w:rFonts w:ascii="Calibri" w:hAnsi="Calibri" w:cs="Calibri"/>
                  <w:color w:val="222222"/>
                  <w:sz w:val="20"/>
                  <w:szCs w:val="20"/>
                  <w:shd w:val="clear" w:color="auto" w:fill="FFFFFF"/>
                </w:rPr>
                <w:t>, G. (2014). Las pruebas PISA en América Latina: resultados en contexto. </w:t>
              </w:r>
              <w:r w:rsidRPr="004129A8">
                <w:rPr>
                  <w:rFonts w:ascii="Calibri" w:hAnsi="Calibri" w:cs="Calibri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Avances en    Supervisión Educativa</w:t>
              </w:r>
              <w:r w:rsidRPr="004129A8">
                <w:rPr>
                  <w:rFonts w:ascii="Calibri" w:hAnsi="Calibri" w:cs="Calibri"/>
                  <w:color w:val="222222"/>
                  <w:sz w:val="20"/>
                  <w:szCs w:val="20"/>
                  <w:shd w:val="clear" w:color="auto" w:fill="FFFFFF"/>
                </w:rPr>
                <w:t xml:space="preserve">, (20). </w:t>
              </w:r>
            </w:p>
            <w:p w14:paraId="6659962A" w14:textId="77777777" w:rsidR="005F1DC8" w:rsidRDefault="005F1DC8" w:rsidP="005F1DC8">
              <w:pPr>
                <w:spacing w:line="259" w:lineRule="auto"/>
              </w:pPr>
            </w:p>
          </w:sdtContent>
        </w:sdt>
      </w:sdtContent>
    </w:sdt>
    <w:p w14:paraId="01AAE8D1" w14:textId="07AEBE28" w:rsidR="00F37573" w:rsidRPr="00F37573" w:rsidRDefault="00F37573" w:rsidP="00F37573">
      <w:pPr>
        <w:rPr>
          <w:rFonts w:ascii="Calibri" w:hAnsi="Calibri" w:cs="Calibri"/>
          <w:b/>
          <w:bCs/>
        </w:rPr>
      </w:pPr>
      <w:r w:rsidRPr="00F37573">
        <w:rPr>
          <w:rFonts w:ascii="Calibri" w:hAnsi="Calibri" w:cs="Calibri"/>
          <w:b/>
          <w:bCs/>
        </w:rPr>
        <w:t xml:space="preserve">Propuesta de aporte u originalidad del proyecto </w:t>
      </w:r>
    </w:p>
    <w:p w14:paraId="6585B8E9" w14:textId="4FAB7841" w:rsidR="005F1DC8" w:rsidRDefault="00B74B29">
      <w:pPr>
        <w:rPr>
          <w:rFonts w:ascii="Calibri" w:hAnsi="Calibri" w:cs="Calibri"/>
          <w:sz w:val="22"/>
          <w:szCs w:val="22"/>
          <w:lang w:val="es-ES"/>
        </w:rPr>
      </w:pPr>
      <w:r w:rsidRPr="00B74B29">
        <w:rPr>
          <w:rFonts w:ascii="Calibri" w:hAnsi="Calibri" w:cs="Calibri"/>
          <w:sz w:val="22"/>
          <w:szCs w:val="22"/>
          <w:lang w:val="es-ES"/>
        </w:rPr>
        <w:t xml:space="preserve">Lo que se pretende realizar es una mezcla de características cuantitativas y cualitativas las cuales afectan a la movilidad social intergeneracional, hay muchas formas en que se ha medido, particularmente por medio del ingreso de los individuos o ingreso promedio, sin embargo, aquí será por medio de niveles educativos. Además de el tratado de los datos, ya que lo vamos a realizar son Python y técnicas de ML, cosa que no se ha realizado hasta el momento, ya que los estudios se quedan a nivel de Stata o SPSS, así como pequeñas regresiones y análisis descriptivo de los datos. </w:t>
      </w:r>
    </w:p>
    <w:p w14:paraId="2998439B" w14:textId="77777777" w:rsidR="0028430C" w:rsidRDefault="0028430C">
      <w:pPr>
        <w:rPr>
          <w:rFonts w:ascii="Calibri" w:hAnsi="Calibri" w:cs="Calibri"/>
          <w:sz w:val="22"/>
          <w:szCs w:val="22"/>
          <w:lang w:val="es-ES"/>
        </w:rPr>
      </w:pPr>
    </w:p>
    <w:p w14:paraId="5758DF7A" w14:textId="15F33986" w:rsidR="0028430C" w:rsidRPr="0028430C" w:rsidRDefault="0028430C">
      <w:pPr>
        <w:rPr>
          <w:rFonts w:ascii="Calibri" w:hAnsi="Calibri" w:cs="Calibri"/>
          <w:b/>
          <w:bCs/>
        </w:rPr>
      </w:pPr>
      <w:r w:rsidRPr="0028430C">
        <w:rPr>
          <w:rFonts w:ascii="Calibri" w:hAnsi="Calibri" w:cs="Calibri"/>
          <w:b/>
          <w:bCs/>
        </w:rPr>
        <w:t xml:space="preserve">Avance parcial de la experimentación </w:t>
      </w:r>
    </w:p>
    <w:p w14:paraId="1BD7F99A" w14:textId="5A2FCB81" w:rsidR="00B74B29" w:rsidRPr="00B74B29" w:rsidRDefault="00A87782">
      <w:pPr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Por el momento no se cuenta con este rubro, se pondrá en </w:t>
      </w:r>
      <w:r w:rsidR="00685E61">
        <w:rPr>
          <w:rFonts w:ascii="Calibri" w:hAnsi="Calibri" w:cs="Calibri"/>
          <w:sz w:val="22"/>
          <w:szCs w:val="22"/>
          <w:lang w:val="es-ES"/>
        </w:rPr>
        <w:t xml:space="preserve">los futuros seminarios. </w:t>
      </w:r>
    </w:p>
    <w:p w14:paraId="24C8BB8F" w14:textId="77777777" w:rsidR="00B74B29" w:rsidRPr="00C46A98" w:rsidRDefault="00B74B29">
      <w:pPr>
        <w:rPr>
          <w:lang w:val="es-ES"/>
        </w:rPr>
      </w:pPr>
    </w:p>
    <w:p w14:paraId="161825FA" w14:textId="77777777" w:rsidR="00C12149" w:rsidRDefault="00C12149"/>
    <w:sectPr w:rsidR="00C12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B"/>
    <w:rsid w:val="000C689B"/>
    <w:rsid w:val="0028430C"/>
    <w:rsid w:val="003F50FD"/>
    <w:rsid w:val="004173B7"/>
    <w:rsid w:val="005F1DC8"/>
    <w:rsid w:val="00672361"/>
    <w:rsid w:val="00685E61"/>
    <w:rsid w:val="007316CE"/>
    <w:rsid w:val="008B4794"/>
    <w:rsid w:val="00A87782"/>
    <w:rsid w:val="00B74B29"/>
    <w:rsid w:val="00C03824"/>
    <w:rsid w:val="00C12149"/>
    <w:rsid w:val="00C46A98"/>
    <w:rsid w:val="00C82F2B"/>
    <w:rsid w:val="00DA6B82"/>
    <w:rsid w:val="00E97ABE"/>
    <w:rsid w:val="00F3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040C"/>
  <w15:chartTrackingRefBased/>
  <w15:docId w15:val="{87229A1C-5F66-4F90-B44F-9093CB27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89B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5F1DC8"/>
    <w:pPr>
      <w:spacing w:line="259" w:lineRule="auto"/>
    </w:pPr>
    <w:rPr>
      <w:kern w:val="0"/>
      <w:sz w:val="22"/>
      <w:szCs w:val="22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C46A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6A98"/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8DBC-D573-4C6B-803A-3F2054B1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Jaramillo</dc:creator>
  <cp:keywords/>
  <dc:description/>
  <cp:lastModifiedBy>Reyna Jaramillo</cp:lastModifiedBy>
  <cp:revision>16</cp:revision>
  <dcterms:created xsi:type="dcterms:W3CDTF">2024-04-28T21:17:00Z</dcterms:created>
  <dcterms:modified xsi:type="dcterms:W3CDTF">2024-04-28T22:13:00Z</dcterms:modified>
</cp:coreProperties>
</file>