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Doc" Type="http://schemas.openxmlformats.org/officeDocument/2006/relationships/officeDocument" Target="word/document.xml"/></Relationships>
</file>

<file path=word/document.xml><?xml version="1.0" encoding="utf-8"?>
<w:document xmlns:w="http://schemas.openxmlformats.org/wordprocessingml/2006/main">
  <w:body>
    <w:p>
      <w:pPr>
        <w:pStyle w:val="Kicker"/>
      </w:pPr>
      <w:r>
        <w:rPr>
          <w:sz w:val="20"/>
        </w:rPr>
        <w:t xml:space="preserve">I&amp;C LAUNDRY</w:t>
      </w:r>
    </w:p>
    <w:p>
      <w:pPr>
        <w:pStyle w:val="Title"/>
      </w:pPr>
      <w:r>
        <w:rPr>
          <w:sz w:val="20"/>
        </w:rPr>
        <w:t xml:space="preserve">INVENTORY AND ADD-ON FUNCTIONAL TESTS</w:t>
      </w:r>
    </w:p>
    <w:p>
      <w:pPr>
        <w:pStyle w:val="Subtitle"/>
      </w:pPr>
      <w:r>
        <w:rPr>
          <w:sz w:val="20"/>
        </w:rPr>
        <w:t xml:space="preserve">Archive behavior, service configuration, order creation, and historical order details</w:t>
      </w:r>
    </w:p>
    <w:p>
      <w:pPr>
        <w:pStyle w:val="Normal"/>
      </w:pPr>
      <w:r>
        <w:rPr>
          <w:sz w:val="20"/>
        </w:rPr>
        <w:t xml:space="preserve">Execute in a test environment. Record actual results and status during execution.</w:t>
      </w:r>
    </w:p>
    <w:p>
      <w:pPr>
        <w:pStyle w:val="Heading1"/>
      </w:pPr>
      <w:r>
        <w:rPr>
          <w:sz w:val="20"/>
        </w:rPr>
        <w:t xml:space="preserve">Example Scenario: Administrator archives inventory linked to services.</w:t>
      </w:r>
    </w:p>
    <w:tbl>
      <w:tblPr>
        <w:tblW w:w="9360" w:type="dxa"/>
        <w:tblLayout w:type="fixed"/>
        <w:tblBorders>
          <w:top w:val="single" w:sz="6" w:color="B8C9D8"/>
          <w:left w:val="single" w:sz="6" w:color="B8C9D8"/>
          <w:bottom w:val="single" w:sz="6" w:color="B8C9D8"/>
          <w:right w:val="single" w:sz="6" w:color="B8C9D8"/>
          <w:insideH w:val="single" w:sz="6" w:color="B8C9D8"/>
          <w:insideV w:val="single" w:sz="6" w:color="B8C9D8"/>
        </w:tblBorders>
        <w:tblCellMar>
          <w:top w:w="100" w:type="dxa"/>
          <w:left w:w="120" w:type="dxa"/>
          <w:bottom w:w="100" w:type="dxa"/>
          <w:right w:w="120" w:type="dxa"/>
        </w:tblCellMar>
      </w:tblPr>
      <w:tblGrid>
        <w:gridCol w:w="2400"/>
        <w:gridCol w:w="6960"/>
      </w:tblGrid>
      <w:tr>
        <w:trPr>
          <w:cantSplit/>
        </w:trPr>
        <w:tc>
          <w:tcPr>
            <w:tcW w:w="2400" w:type="dxa"/>
            <w:shd w:val="clear" w:fill="FFFFFF"/>
            <w:vAlign w:val="top"/>
          </w:tcPr>
          <w:p>
            <w:r>
              <w:rPr>
                <w:b/>
                <w:sz w:val="20"/>
              </w:rPr>
              <w:t xml:space="preserve">Test Case ID</w:t>
            </w:r>
          </w:p>
        </w:tc>
        <w:tc>
          <w:tcPr>
            <w:tcW w:w="6960" w:type="dxa"/>
            <w:shd w:val="clear" w:fill="FFFFFF"/>
            <w:vAlign w:val="top"/>
          </w:tcPr>
          <w:p>
            <w:r>
              <w:rPr>
                <w:sz w:val="20"/>
              </w:rPr>
              <w:t xml:space="preserve">INV-ADD-01</w:t>
            </w:r>
          </w:p>
        </w:tc>
      </w:tr>
      <w:tr>
        <w:trPr>
          <w:cantSplit/>
        </w:trPr>
        <w:tc>
          <w:tcPr>
            <w:tcW w:w="2400" w:type="dxa"/>
            <w:shd w:val="clear" w:fill="F0F5F9"/>
            <w:vAlign w:val="top"/>
          </w:tcPr>
          <w:p>
            <w:r>
              <w:rPr>
                <w:b/>
                <w:sz w:val="20"/>
              </w:rPr>
              <w:t xml:space="preserve">Test Description</w:t>
            </w:r>
          </w:p>
        </w:tc>
        <w:tc>
          <w:tcPr>
            <w:tcW w:w="6960" w:type="dxa"/>
            <w:shd w:val="clear" w:fill="F0F5F9"/>
            <w:vAlign w:val="top"/>
          </w:tcPr>
          <w:p>
            <w:r>
              <w:rPr>
                <w:sz w:val="20"/>
              </w:rPr>
              <w:t xml:space="preserve">Verify that archiving configured inventory warns the administrator and automatically disables its active service links.</w:t>
            </w:r>
          </w:p>
        </w:tc>
      </w:tr>
      <w:tr>
        <w:trPr>
          <w:cantSplit/>
        </w:trPr>
        <w:tc>
          <w:tcPr>
            <w:tcW w:w="2400" w:type="dxa"/>
            <w:shd w:val="clear" w:fill="FFFFFF"/>
            <w:vAlign w:val="top"/>
          </w:tcPr>
          <w:p>
            <w:r>
              <w:rPr>
                <w:b/>
                <w:sz w:val="20"/>
              </w:rPr>
              <w:t xml:space="preserve">Preconditions</w:t>
            </w:r>
          </w:p>
        </w:tc>
        <w:tc>
          <w:tcPr>
            <w:tcW w:w="6960" w:type="dxa"/>
            <w:shd w:val="clear" w:fill="FFFFFF"/>
            <w:vAlign w:val="top"/>
          </w:tcPr>
          <w:p>
            <w:r>
              <w:rPr>
                <w:sz w:val="20"/>
              </w:rPr>
              <w:t xml:space="preserve">Signed in as administrator. A non-critical inventory item is active and linked to at least one active automatic-deduction or optional-add-on service configuration. Use a test branch.</w:t>
            </w:r>
          </w:p>
        </w:tc>
      </w:tr>
      <w:tr>
        <w:trPr>
          <w:cantSplit/>
        </w:trPr>
        <w:tc>
          <w:tcPr>
            <w:tcW w:w="2400" w:type="dxa"/>
            <w:shd w:val="clear" w:fill="F0F5F9"/>
            <w:vAlign w:val="top"/>
          </w:tcPr>
          <w:p>
            <w:r>
              <w:rPr>
                <w:b/>
                <w:sz w:val="20"/>
              </w:rPr>
              <w:t xml:space="preserve">Steps to Execute</w:t>
            </w:r>
          </w:p>
        </w:tc>
        <w:tc>
          <w:tcPr>
            <w:tcW w:w="6960" w:type="dxa"/>
            <w:shd w:val="clear" w:fill="F0F5F9"/>
            <w:vAlign w:val="top"/>
          </w:tcPr>
          <w:p>
            <w:r>
              <w:rPr>
                <w:sz w:val="20"/>
              </w:rPr>
              <w:t xml:space="preserve">1. Open Inventory and locate the configured item.</w:t>
            </w:r>
            <w:r>
              <w:br/>
            </w:r>
            <w:r>
              <w:rPr>
                <w:sz w:val="20"/>
              </w:rPr>
              <w:t xml:space="preserve">2. Select Archive.</w:t>
            </w:r>
            <w:r>
              <w:br/>
            </w:r>
            <w:r>
              <w:rPr>
                <w:sz w:val="20"/>
              </w:rPr>
              <w:t xml:space="preserve">3. Review the confirmation prompt and confirm the archive.</w:t>
            </w:r>
            <w:r>
              <w:br/>
            </w:r>
            <w:r>
              <w:rPr>
                <w:sz w:val="20"/>
              </w:rPr>
              <w:t xml:space="preserve">4. Check the item in Recycle Bin and inspect its service configurations.</w:t>
            </w:r>
          </w:p>
        </w:tc>
      </w:tr>
      <w:tr>
        <w:trPr>
          <w:cantSplit/>
        </w:trPr>
        <w:tc>
          <w:tcPr>
            <w:tcW w:w="2400" w:type="dxa"/>
            <w:shd w:val="clear" w:fill="FFFFFF"/>
            <w:vAlign w:val="top"/>
          </w:tcPr>
          <w:p>
            <w:r>
              <w:rPr>
                <w:b/>
                <w:sz w:val="20"/>
              </w:rPr>
              <w:t xml:space="preserve">Expected Results</w:t>
            </w:r>
          </w:p>
        </w:tc>
        <w:tc>
          <w:tcPr>
            <w:tcW w:w="6960" w:type="dxa"/>
            <w:shd w:val="clear" w:fill="FFFFFF"/>
            <w:vAlign w:val="top"/>
          </w:tcPr>
          <w:p>
            <w:r>
              <w:rPr>
                <w:sz w:val="20"/>
              </w:rPr>
              <w:t xml:space="preserve">The prompt states that active service links will be disabled and the item will stop being offered or deducted for new orders. After confirmation, the item is archived, the prior service links are inactive, and the item remains restorable. No historical order details are changed.</w:t>
            </w:r>
          </w:p>
        </w:tc>
      </w:tr>
      <w:tr>
        <w:trPr>
          <w:cantSplit/>
        </w:trPr>
        <w:tc>
          <w:tcPr>
            <w:tcW w:w="2400" w:type="dxa"/>
            <w:shd w:val="clear" w:fill="F0F5F9"/>
            <w:vAlign w:val="top"/>
          </w:tcPr>
          <w:p>
            <w:r>
              <w:rPr>
                <w:b/>
                <w:sz w:val="20"/>
              </w:rPr>
              <w:t xml:space="preserve">Actual Results</w:t>
            </w:r>
          </w:p>
        </w:tc>
        <w:tc>
          <w:tcPr>
            <w:tcW w:w="6960" w:type="dxa"/>
            <w:shd w:val="clear" w:fill="F0F5F9"/>
            <w:vAlign w:val="top"/>
          </w:tcPr>
          <w:p>
            <w:r>
              <w:rPr>
                <w:sz w:val="20"/>
              </w:rPr>
              <w:t xml:space="preserve">To be filled during execution.</w:t>
            </w:r>
          </w:p>
        </w:tc>
      </w:tr>
      <w:tr>
        <w:trPr>
          <w:cantSplit/>
        </w:trPr>
        <w:tc>
          <w:tcPr>
            <w:tcW w:w="2400" w:type="dxa"/>
            <w:shd w:val="clear" w:fill="FFFFFF"/>
            <w:vAlign w:val="top"/>
          </w:tcPr>
          <w:p>
            <w:r>
              <w:rPr>
                <w:b/>
                <w:sz w:val="20"/>
              </w:rPr>
              <w:t xml:space="preserve">Status</w:t>
            </w:r>
          </w:p>
        </w:tc>
        <w:tc>
          <w:tcPr>
            <w:tcW w:w="6960" w:type="dxa"/>
            <w:shd w:val="clear" w:fill="FFFFFF"/>
            <w:vAlign w:val="top"/>
          </w:tcPr>
          <w:p>
            <w:r>
              <w:rPr>
                <w:sz w:val="20"/>
              </w:rPr>
              <w:t xml:space="preserve">Not executed</w:t>
            </w:r>
          </w:p>
        </w:tc>
      </w:tr>
      <w:tr>
        <w:trPr>
          <w:cantSplit/>
        </w:trPr>
        <w:tc>
          <w:tcPr>
            <w:tcW w:w="2400" w:type="dxa"/>
            <w:shd w:val="clear" w:fill="F0F5F9"/>
            <w:vAlign w:val="top"/>
          </w:tcPr>
          <w:p>
            <w:r>
              <w:rPr>
                <w:b/>
                <w:sz w:val="20"/>
              </w:rPr>
              <w:t xml:space="preserve">Remarks / Evidence</w:t>
            </w:r>
          </w:p>
        </w:tc>
        <w:tc>
          <w:tcPr>
            <w:tcW w:w="6960" w:type="dxa"/>
            <w:shd w:val="clear" w:fill="F0F5F9"/>
            <w:vAlign w:val="top"/>
          </w:tcPr>
          <w:p>
            <w:r>
              <w:rPr>
                <w:sz w:val="20"/>
              </w:rPr>
              <w:t xml:space="preserve">To be filled during execution.</w:t>
            </w:r>
          </w:p>
        </w:tc>
      </w:tr>
    </w:tbl>
    <w:p>
      <w:pPr>
        <w:pStyle w:val="Normal"/>
      </w:pPr>
      <w:r>
        <w:rPr>
          <w:sz w:val="20"/>
        </w:rPr>
        <w:t xml:space="preserve"/>
      </w:r>
    </w:p>
    <w:p>
      <w:pPr>
        <w:pStyle w:val="Heading1"/>
        <w:pageBreakBefore/>
      </w:pPr>
      <w:r>
        <w:rPr>
          <w:sz w:val="20"/>
        </w:rPr>
        <w:t xml:space="preserve">Example Scenario: Staff attempts to archive an inventory item.</w:t>
      </w:r>
    </w:p>
    <w:tbl>
      <w:tblPr>
        <w:tblW w:w="9360" w:type="dxa"/>
        <w:tblLayout w:type="fixed"/>
        <w:tblBorders>
          <w:top w:val="single" w:sz="6" w:color="B8C9D8"/>
          <w:left w:val="single" w:sz="6" w:color="B8C9D8"/>
          <w:bottom w:val="single" w:sz="6" w:color="B8C9D8"/>
          <w:right w:val="single" w:sz="6" w:color="B8C9D8"/>
          <w:insideH w:val="single" w:sz="6" w:color="B8C9D8"/>
          <w:insideV w:val="single" w:sz="6" w:color="B8C9D8"/>
        </w:tblBorders>
        <w:tblCellMar>
          <w:top w:w="100" w:type="dxa"/>
          <w:left w:w="120" w:type="dxa"/>
          <w:bottom w:w="100" w:type="dxa"/>
          <w:right w:w="120" w:type="dxa"/>
        </w:tblCellMar>
      </w:tblPr>
      <w:tblGrid>
        <w:gridCol w:w="2400"/>
        <w:gridCol w:w="6960"/>
      </w:tblGrid>
      <w:tr>
        <w:trPr>
          <w:cantSplit/>
        </w:trPr>
        <w:tc>
          <w:tcPr>
            <w:tcW w:w="2400" w:type="dxa"/>
            <w:shd w:val="clear" w:fill="FFFFFF"/>
            <w:vAlign w:val="top"/>
          </w:tcPr>
          <w:p>
            <w:r>
              <w:rPr>
                <w:b/>
                <w:sz w:val="20"/>
              </w:rPr>
              <w:t xml:space="preserve">Test Case ID</w:t>
            </w:r>
          </w:p>
        </w:tc>
        <w:tc>
          <w:tcPr>
            <w:tcW w:w="6960" w:type="dxa"/>
            <w:shd w:val="clear" w:fill="FFFFFF"/>
            <w:vAlign w:val="top"/>
          </w:tcPr>
          <w:p>
            <w:r>
              <w:rPr>
                <w:sz w:val="20"/>
              </w:rPr>
              <w:t xml:space="preserve">INV-ADD-02</w:t>
            </w:r>
          </w:p>
        </w:tc>
      </w:tr>
      <w:tr>
        <w:trPr>
          <w:cantSplit/>
        </w:trPr>
        <w:tc>
          <w:tcPr>
            <w:tcW w:w="2400" w:type="dxa"/>
            <w:shd w:val="clear" w:fill="F0F5F9"/>
            <w:vAlign w:val="top"/>
          </w:tcPr>
          <w:p>
            <w:r>
              <w:rPr>
                <w:b/>
                <w:sz w:val="20"/>
              </w:rPr>
              <w:t xml:space="preserve">Test Description</w:t>
            </w:r>
          </w:p>
        </w:tc>
        <w:tc>
          <w:tcPr>
            <w:tcW w:w="6960" w:type="dxa"/>
            <w:shd w:val="clear" w:fill="F0F5F9"/>
            <w:vAlign w:val="top"/>
          </w:tcPr>
          <w:p>
            <w:r>
              <w:rPr>
                <w:sz w:val="20"/>
              </w:rPr>
              <w:t xml:space="preserve">Verify that staff cannot archive inventory through the page or resource API.</w:t>
            </w:r>
          </w:p>
        </w:tc>
      </w:tr>
      <w:tr>
        <w:trPr>
          <w:cantSplit/>
        </w:trPr>
        <w:tc>
          <w:tcPr>
            <w:tcW w:w="2400" w:type="dxa"/>
            <w:shd w:val="clear" w:fill="FFFFFF"/>
            <w:vAlign w:val="top"/>
          </w:tcPr>
          <w:p>
            <w:r>
              <w:rPr>
                <w:b/>
                <w:sz w:val="20"/>
              </w:rPr>
              <w:t xml:space="preserve">Preconditions</w:t>
            </w:r>
          </w:p>
        </w:tc>
        <w:tc>
          <w:tcPr>
            <w:tcW w:w="6960" w:type="dxa"/>
            <w:shd w:val="clear" w:fill="FFFFFF"/>
            <w:vAlign w:val="top"/>
          </w:tcPr>
          <w:p>
            <w:r>
              <w:rPr>
                <w:sz w:val="20"/>
              </w:rPr>
              <w:t xml:space="preserve">Signed in as staff with access to the Inventory page. An active test inventory item exists in the staff member’s branch.</w:t>
            </w:r>
          </w:p>
        </w:tc>
      </w:tr>
      <w:tr>
        <w:trPr>
          <w:cantSplit/>
        </w:trPr>
        <w:tc>
          <w:tcPr>
            <w:tcW w:w="2400" w:type="dxa"/>
            <w:shd w:val="clear" w:fill="F0F5F9"/>
            <w:vAlign w:val="top"/>
          </w:tcPr>
          <w:p>
            <w:r>
              <w:rPr>
                <w:b/>
                <w:sz w:val="20"/>
              </w:rPr>
              <w:t xml:space="preserve">Steps to Execute</w:t>
            </w:r>
          </w:p>
        </w:tc>
        <w:tc>
          <w:tcPr>
            <w:tcW w:w="6960" w:type="dxa"/>
            <w:shd w:val="clear" w:fill="F0F5F9"/>
            <w:vAlign w:val="top"/>
          </w:tcPr>
          <w:p>
            <w:r>
              <w:rPr>
                <w:sz w:val="20"/>
              </w:rPr>
              <w:t xml:space="preserve">1. Open Inventory as staff.</w:t>
            </w:r>
            <w:r>
              <w:br/>
            </w:r>
            <w:r>
              <w:rPr>
                <w:sz w:val="20"/>
              </w:rPr>
              <w:t xml:space="preserve">2. Check the available actions for the test item.</w:t>
            </w:r>
            <w:r>
              <w:br/>
            </w:r>
            <w:r>
              <w:rPr>
                <w:sz w:val="20"/>
              </w:rPr>
              <w:t xml:space="preserve">3. If an archive request can be initiated, attempt it.</w:t>
            </w:r>
            <w:r>
              <w:br/>
            </w:r>
            <w:r>
              <w:rPr>
                <w:sz w:val="20"/>
              </w:rPr>
              <w:t xml:space="preserve">4. Verify the item remains active and visible.</w:t>
            </w:r>
          </w:p>
        </w:tc>
      </w:tr>
      <w:tr>
        <w:trPr>
          <w:cantSplit/>
        </w:trPr>
        <w:tc>
          <w:tcPr>
            <w:tcW w:w="2400" w:type="dxa"/>
            <w:shd w:val="clear" w:fill="FFFFFF"/>
            <w:vAlign w:val="top"/>
          </w:tcPr>
          <w:p>
            <w:r>
              <w:rPr>
                <w:b/>
                <w:sz w:val="20"/>
              </w:rPr>
              <w:t xml:space="preserve">Expected Results</w:t>
            </w:r>
          </w:p>
        </w:tc>
        <w:tc>
          <w:tcPr>
            <w:tcW w:w="6960" w:type="dxa"/>
            <w:shd w:val="clear" w:fill="FFFFFF"/>
            <w:vAlign w:val="top"/>
          </w:tcPr>
          <w:p>
            <w:r>
              <w:rPr>
                <w:sz w:val="20"/>
              </w:rPr>
              <w:t xml:space="preserve">Staff has no usable archive action. A direct unauthorized archive request is rejected by the server, and the item remains active.</w:t>
            </w:r>
          </w:p>
        </w:tc>
      </w:tr>
      <w:tr>
        <w:trPr>
          <w:cantSplit/>
        </w:trPr>
        <w:tc>
          <w:tcPr>
            <w:tcW w:w="2400" w:type="dxa"/>
            <w:shd w:val="clear" w:fill="F0F5F9"/>
            <w:vAlign w:val="top"/>
          </w:tcPr>
          <w:p>
            <w:r>
              <w:rPr>
                <w:b/>
                <w:sz w:val="20"/>
              </w:rPr>
              <w:t xml:space="preserve">Actual Results</w:t>
            </w:r>
          </w:p>
        </w:tc>
        <w:tc>
          <w:tcPr>
            <w:tcW w:w="6960" w:type="dxa"/>
            <w:shd w:val="clear" w:fill="F0F5F9"/>
            <w:vAlign w:val="top"/>
          </w:tcPr>
          <w:p>
            <w:r>
              <w:rPr>
                <w:sz w:val="20"/>
              </w:rPr>
              <w:t xml:space="preserve">To be filled during execution.</w:t>
            </w:r>
          </w:p>
        </w:tc>
      </w:tr>
      <w:tr>
        <w:trPr>
          <w:cantSplit/>
        </w:trPr>
        <w:tc>
          <w:tcPr>
            <w:tcW w:w="2400" w:type="dxa"/>
            <w:shd w:val="clear" w:fill="FFFFFF"/>
            <w:vAlign w:val="top"/>
          </w:tcPr>
          <w:p>
            <w:r>
              <w:rPr>
                <w:b/>
                <w:sz w:val="20"/>
              </w:rPr>
              <w:t xml:space="preserve">Status</w:t>
            </w:r>
          </w:p>
        </w:tc>
        <w:tc>
          <w:tcPr>
            <w:tcW w:w="6960" w:type="dxa"/>
            <w:shd w:val="clear" w:fill="FFFFFF"/>
            <w:vAlign w:val="top"/>
          </w:tcPr>
          <w:p>
            <w:r>
              <w:rPr>
                <w:sz w:val="20"/>
              </w:rPr>
              <w:t xml:space="preserve">Not executed</w:t>
            </w:r>
          </w:p>
        </w:tc>
      </w:tr>
      <w:tr>
        <w:trPr>
          <w:cantSplit/>
        </w:trPr>
        <w:tc>
          <w:tcPr>
            <w:tcW w:w="2400" w:type="dxa"/>
            <w:shd w:val="clear" w:fill="F0F5F9"/>
            <w:vAlign w:val="top"/>
          </w:tcPr>
          <w:p>
            <w:r>
              <w:rPr>
                <w:b/>
                <w:sz w:val="20"/>
              </w:rPr>
              <w:t xml:space="preserve">Remarks / Evidence</w:t>
            </w:r>
          </w:p>
        </w:tc>
        <w:tc>
          <w:tcPr>
            <w:tcW w:w="6960" w:type="dxa"/>
            <w:shd w:val="clear" w:fill="F0F5F9"/>
            <w:vAlign w:val="top"/>
          </w:tcPr>
          <w:p>
            <w:r>
              <w:rPr>
                <w:sz w:val="20"/>
              </w:rPr>
              <w:t xml:space="preserve">To be filled during execution.</w:t>
            </w:r>
          </w:p>
        </w:tc>
      </w:tr>
    </w:tbl>
    <w:p>
      <w:pPr>
        <w:pStyle w:val="Normal"/>
      </w:pPr>
      <w:r>
        <w:rPr>
          <w:sz w:val="20"/>
        </w:rPr>
        <w:t xml:space="preserve"/>
      </w:r>
    </w:p>
    <w:p>
      <w:pPr>
        <w:pStyle w:val="Heading1"/>
        <w:pageBreakBefore/>
      </w:pPr>
      <w:r>
        <w:rPr>
          <w:sz w:val="20"/>
        </w:rPr>
        <w:t xml:space="preserve">Example Scenario: New order after a configured inventory item is archived.</w:t>
      </w:r>
    </w:p>
    <w:tbl>
      <w:tblPr>
        <w:tblW w:w="9360" w:type="dxa"/>
        <w:tblLayout w:type="fixed"/>
        <w:tblBorders>
          <w:top w:val="single" w:sz="6" w:color="B8C9D8"/>
          <w:left w:val="single" w:sz="6" w:color="B8C9D8"/>
          <w:bottom w:val="single" w:sz="6" w:color="B8C9D8"/>
          <w:right w:val="single" w:sz="6" w:color="B8C9D8"/>
          <w:insideH w:val="single" w:sz="6" w:color="B8C9D8"/>
          <w:insideV w:val="single" w:sz="6" w:color="B8C9D8"/>
        </w:tblBorders>
        <w:tblCellMar>
          <w:top w:w="100" w:type="dxa"/>
          <w:left w:w="120" w:type="dxa"/>
          <w:bottom w:w="100" w:type="dxa"/>
          <w:right w:w="120" w:type="dxa"/>
        </w:tblCellMar>
      </w:tblPr>
      <w:tblGrid>
        <w:gridCol w:w="2400"/>
        <w:gridCol w:w="6960"/>
      </w:tblGrid>
      <w:tr>
        <w:trPr>
          <w:cantSplit/>
        </w:trPr>
        <w:tc>
          <w:tcPr>
            <w:tcW w:w="2400" w:type="dxa"/>
            <w:shd w:val="clear" w:fill="FFFFFF"/>
            <w:vAlign w:val="top"/>
          </w:tcPr>
          <w:p>
            <w:r>
              <w:rPr>
                <w:b/>
                <w:sz w:val="20"/>
              </w:rPr>
              <w:t xml:space="preserve">Test Case ID</w:t>
            </w:r>
          </w:p>
        </w:tc>
        <w:tc>
          <w:tcPr>
            <w:tcW w:w="6960" w:type="dxa"/>
            <w:shd w:val="clear" w:fill="FFFFFF"/>
            <w:vAlign w:val="top"/>
          </w:tcPr>
          <w:p>
            <w:r>
              <w:rPr>
                <w:sz w:val="20"/>
              </w:rPr>
              <w:t xml:space="preserve">INV-ADD-03</w:t>
            </w:r>
          </w:p>
        </w:tc>
      </w:tr>
      <w:tr>
        <w:trPr>
          <w:cantSplit/>
        </w:trPr>
        <w:tc>
          <w:tcPr>
            <w:tcW w:w="2400" w:type="dxa"/>
            <w:shd w:val="clear" w:fill="F0F5F9"/>
            <w:vAlign w:val="top"/>
          </w:tcPr>
          <w:p>
            <w:r>
              <w:rPr>
                <w:b/>
                <w:sz w:val="20"/>
              </w:rPr>
              <w:t xml:space="preserve">Test Description</w:t>
            </w:r>
          </w:p>
        </w:tc>
        <w:tc>
          <w:tcPr>
            <w:tcW w:w="6960" w:type="dxa"/>
            <w:shd w:val="clear" w:fill="F0F5F9"/>
            <w:vAlign w:val="top"/>
          </w:tcPr>
          <w:p>
            <w:r>
              <w:rPr>
                <w:sz w:val="20"/>
              </w:rPr>
              <w:t xml:space="preserve">Verify that a service remains usable for a new order after an associated inventory item is archived and delinked.</w:t>
            </w:r>
          </w:p>
        </w:tc>
      </w:tr>
      <w:tr>
        <w:trPr>
          <w:cantSplit/>
        </w:trPr>
        <w:tc>
          <w:tcPr>
            <w:tcW w:w="2400" w:type="dxa"/>
            <w:shd w:val="clear" w:fill="FFFFFF"/>
            <w:vAlign w:val="top"/>
          </w:tcPr>
          <w:p>
            <w:r>
              <w:rPr>
                <w:b/>
                <w:sz w:val="20"/>
              </w:rPr>
              <w:t xml:space="preserve">Preconditions</w:t>
            </w:r>
          </w:p>
        </w:tc>
        <w:tc>
          <w:tcPr>
            <w:tcW w:w="6960" w:type="dxa"/>
            <w:shd w:val="clear" w:fill="FFFFFF"/>
            <w:vAlign w:val="top"/>
          </w:tcPr>
          <w:p>
            <w:r>
              <w:rPr>
                <w:sz w:val="20"/>
              </w:rPr>
              <w:t xml:space="preserve">An active service has an archived inventory item in its former configuration. Other required active inventory and any selected add-ons have sufficient stock. Signed in to the matching branch.</w:t>
            </w:r>
          </w:p>
        </w:tc>
      </w:tr>
      <w:tr>
        <w:trPr>
          <w:cantSplit/>
        </w:trPr>
        <w:tc>
          <w:tcPr>
            <w:tcW w:w="2400" w:type="dxa"/>
            <w:shd w:val="clear" w:fill="F0F5F9"/>
            <w:vAlign w:val="top"/>
          </w:tcPr>
          <w:p>
            <w:r>
              <w:rPr>
                <w:b/>
                <w:sz w:val="20"/>
              </w:rPr>
              <w:t xml:space="preserve">Steps to Execute</w:t>
            </w:r>
          </w:p>
        </w:tc>
        <w:tc>
          <w:tcPr>
            <w:tcW w:w="6960" w:type="dxa"/>
            <w:shd w:val="clear" w:fill="F0F5F9"/>
            <w:vAlign w:val="top"/>
          </w:tcPr>
          <w:p>
            <w:r>
              <w:rPr>
                <w:sz w:val="20"/>
              </w:rPr>
              <w:t xml:space="preserve">1. Open Orders and start a new order.</w:t>
            </w:r>
            <w:r>
              <w:br/>
            </w:r>
            <w:r>
              <w:rPr>
                <w:sz w:val="20"/>
              </w:rPr>
              <w:t xml:space="preserve">2. Select the service previously linked to the archived item.</w:t>
            </w:r>
            <w:r>
              <w:br/>
            </w:r>
            <w:r>
              <w:rPr>
                <w:sz w:val="20"/>
              </w:rPr>
              <w:t xml:space="preserve">3. Review automatic deductions and available add-ons.</w:t>
            </w:r>
            <w:r>
              <w:br/>
            </w:r>
            <w:r>
              <w:rPr>
                <w:sz w:val="20"/>
              </w:rPr>
              <w:t xml:space="preserve">4. Complete valid customer, weight, and cash payment details, then create the order.</w:t>
            </w:r>
            <w:r>
              <w:br/>
            </w:r>
            <w:r>
              <w:rPr>
                <w:sz w:val="20"/>
              </w:rPr>
              <w:t xml:space="preserve">5. Check inventory stock and the saved order details.</w:t>
            </w:r>
          </w:p>
        </w:tc>
      </w:tr>
      <w:tr>
        <w:trPr>
          <w:cantSplit/>
        </w:trPr>
        <w:tc>
          <w:tcPr>
            <w:tcW w:w="2400" w:type="dxa"/>
            <w:shd w:val="clear" w:fill="FFFFFF"/>
            <w:vAlign w:val="top"/>
          </w:tcPr>
          <w:p>
            <w:r>
              <w:rPr>
                <w:b/>
                <w:sz w:val="20"/>
              </w:rPr>
              <w:t xml:space="preserve">Expected Results</w:t>
            </w:r>
          </w:p>
        </w:tc>
        <w:tc>
          <w:tcPr>
            <w:tcW w:w="6960" w:type="dxa"/>
            <w:shd w:val="clear" w:fill="FFFFFF"/>
            <w:vAlign w:val="top"/>
          </w:tcPr>
          <w:p>
            <w:r>
              <w:rPr>
                <w:sz w:val="20"/>
              </w:rPr>
              <w:t xml:space="preserve">The archived item is not offered as an add-on or used for automatic deduction. The service is available if its remaining configuration is valid; the order succeeds and only valid configured inventory is deducted. If a required automatic deduction is no longer configured, the system reports that clearly and prevents an invalid order rather than failing with a stale-link error.</w:t>
            </w:r>
          </w:p>
        </w:tc>
      </w:tr>
      <w:tr>
        <w:trPr>
          <w:cantSplit/>
        </w:trPr>
        <w:tc>
          <w:tcPr>
            <w:tcW w:w="2400" w:type="dxa"/>
            <w:shd w:val="clear" w:fill="F0F5F9"/>
            <w:vAlign w:val="top"/>
          </w:tcPr>
          <w:p>
            <w:r>
              <w:rPr>
                <w:b/>
                <w:sz w:val="20"/>
              </w:rPr>
              <w:t xml:space="preserve">Actual Results</w:t>
            </w:r>
          </w:p>
        </w:tc>
        <w:tc>
          <w:tcPr>
            <w:tcW w:w="6960" w:type="dxa"/>
            <w:shd w:val="clear" w:fill="F0F5F9"/>
            <w:vAlign w:val="top"/>
          </w:tcPr>
          <w:p>
            <w:r>
              <w:rPr>
                <w:sz w:val="20"/>
              </w:rPr>
              <w:t xml:space="preserve">To be filled during execution.</w:t>
            </w:r>
          </w:p>
        </w:tc>
      </w:tr>
      <w:tr>
        <w:trPr>
          <w:cantSplit/>
        </w:trPr>
        <w:tc>
          <w:tcPr>
            <w:tcW w:w="2400" w:type="dxa"/>
            <w:shd w:val="clear" w:fill="FFFFFF"/>
            <w:vAlign w:val="top"/>
          </w:tcPr>
          <w:p>
            <w:r>
              <w:rPr>
                <w:b/>
                <w:sz w:val="20"/>
              </w:rPr>
              <w:t xml:space="preserve">Status</w:t>
            </w:r>
          </w:p>
        </w:tc>
        <w:tc>
          <w:tcPr>
            <w:tcW w:w="6960" w:type="dxa"/>
            <w:shd w:val="clear" w:fill="FFFFFF"/>
            <w:vAlign w:val="top"/>
          </w:tcPr>
          <w:p>
            <w:r>
              <w:rPr>
                <w:sz w:val="20"/>
              </w:rPr>
              <w:t xml:space="preserve">Not executed</w:t>
            </w:r>
          </w:p>
        </w:tc>
      </w:tr>
      <w:tr>
        <w:trPr>
          <w:cantSplit/>
        </w:trPr>
        <w:tc>
          <w:tcPr>
            <w:tcW w:w="2400" w:type="dxa"/>
            <w:shd w:val="clear" w:fill="F0F5F9"/>
            <w:vAlign w:val="top"/>
          </w:tcPr>
          <w:p>
            <w:r>
              <w:rPr>
                <w:b/>
                <w:sz w:val="20"/>
              </w:rPr>
              <w:t xml:space="preserve">Remarks / Evidence</w:t>
            </w:r>
          </w:p>
        </w:tc>
        <w:tc>
          <w:tcPr>
            <w:tcW w:w="6960" w:type="dxa"/>
            <w:shd w:val="clear" w:fill="F0F5F9"/>
            <w:vAlign w:val="top"/>
          </w:tcPr>
          <w:p>
            <w:r>
              <w:rPr>
                <w:sz w:val="20"/>
              </w:rPr>
              <w:t xml:space="preserve">To be filled during execution.</w:t>
            </w:r>
          </w:p>
        </w:tc>
      </w:tr>
    </w:tbl>
    <w:p>
      <w:pPr>
        <w:pStyle w:val="Normal"/>
      </w:pPr>
      <w:r>
        <w:rPr>
          <w:sz w:val="20"/>
        </w:rPr>
        <w:t xml:space="preserve"/>
      </w:r>
    </w:p>
    <w:p>
      <w:pPr>
        <w:pStyle w:val="Heading1"/>
        <w:pageBreakBefore/>
      </w:pPr>
      <w:r>
        <w:rPr>
          <w:sz w:val="20"/>
        </w:rPr>
        <w:t xml:space="preserve">Example Scenario: Historical order displays its add-on after inventory is archived.</w:t>
      </w:r>
    </w:p>
    <w:tbl>
      <w:tblPr>
        <w:tblW w:w="9360" w:type="dxa"/>
        <w:tblLayout w:type="fixed"/>
        <w:tblBorders>
          <w:top w:val="single" w:sz="6" w:color="B8C9D8"/>
          <w:left w:val="single" w:sz="6" w:color="B8C9D8"/>
          <w:bottom w:val="single" w:sz="6" w:color="B8C9D8"/>
          <w:right w:val="single" w:sz="6" w:color="B8C9D8"/>
          <w:insideH w:val="single" w:sz="6" w:color="B8C9D8"/>
          <w:insideV w:val="single" w:sz="6" w:color="B8C9D8"/>
        </w:tblBorders>
        <w:tblCellMar>
          <w:top w:w="100" w:type="dxa"/>
          <w:left w:w="120" w:type="dxa"/>
          <w:bottom w:w="100" w:type="dxa"/>
          <w:right w:w="120" w:type="dxa"/>
        </w:tblCellMar>
      </w:tblPr>
      <w:tblGrid>
        <w:gridCol w:w="2400"/>
        <w:gridCol w:w="6960"/>
      </w:tblGrid>
      <w:tr>
        <w:trPr>
          <w:cantSplit/>
        </w:trPr>
        <w:tc>
          <w:tcPr>
            <w:tcW w:w="2400" w:type="dxa"/>
            <w:shd w:val="clear" w:fill="FFFFFF"/>
            <w:vAlign w:val="top"/>
          </w:tcPr>
          <w:p>
            <w:r>
              <w:rPr>
                <w:b/>
                <w:sz w:val="20"/>
              </w:rPr>
              <w:t xml:space="preserve">Test Case ID</w:t>
            </w:r>
          </w:p>
        </w:tc>
        <w:tc>
          <w:tcPr>
            <w:tcW w:w="6960" w:type="dxa"/>
            <w:shd w:val="clear" w:fill="FFFFFF"/>
            <w:vAlign w:val="top"/>
          </w:tcPr>
          <w:p>
            <w:r>
              <w:rPr>
                <w:sz w:val="20"/>
              </w:rPr>
              <w:t xml:space="preserve">INV-ADD-04</w:t>
            </w:r>
          </w:p>
        </w:tc>
      </w:tr>
      <w:tr>
        <w:trPr>
          <w:cantSplit/>
        </w:trPr>
        <w:tc>
          <w:tcPr>
            <w:tcW w:w="2400" w:type="dxa"/>
            <w:shd w:val="clear" w:fill="F0F5F9"/>
            <w:vAlign w:val="top"/>
          </w:tcPr>
          <w:p>
            <w:r>
              <w:rPr>
                <w:b/>
                <w:sz w:val="20"/>
              </w:rPr>
              <w:t xml:space="preserve">Test Description</w:t>
            </w:r>
          </w:p>
        </w:tc>
        <w:tc>
          <w:tcPr>
            <w:tcW w:w="6960" w:type="dxa"/>
            <w:shd w:val="clear" w:fill="F0F5F9"/>
            <w:vAlign w:val="top"/>
          </w:tcPr>
          <w:p>
            <w:r>
              <w:rPr>
                <w:sz w:val="20"/>
              </w:rPr>
              <w:t xml:space="preserve">Verify that an existing order continues to show the add-on details saved when the order was created.</w:t>
            </w:r>
          </w:p>
        </w:tc>
      </w:tr>
      <w:tr>
        <w:trPr>
          <w:cantSplit/>
        </w:trPr>
        <w:tc>
          <w:tcPr>
            <w:tcW w:w="2400" w:type="dxa"/>
            <w:shd w:val="clear" w:fill="FFFFFF"/>
            <w:vAlign w:val="top"/>
          </w:tcPr>
          <w:p>
            <w:r>
              <w:rPr>
                <w:b/>
                <w:sz w:val="20"/>
              </w:rPr>
              <w:t xml:space="preserve">Preconditions</w:t>
            </w:r>
          </w:p>
        </w:tc>
        <w:tc>
          <w:tcPr>
            <w:tcW w:w="6960" w:type="dxa"/>
            <w:shd w:val="clear" w:fill="FFFFFF"/>
            <w:vAlign w:val="top"/>
          </w:tcPr>
          <w:p>
            <w:r>
              <w:rPr>
                <w:sz w:val="20"/>
              </w:rPr>
              <w:t xml:space="preserve">A test order exists with an add-on. Its order add-on row contains item-name, quantity, unit-price, and subtotal snapshots. The associated inventory item is subsequently archived.</w:t>
            </w:r>
          </w:p>
        </w:tc>
      </w:tr>
      <w:tr>
        <w:trPr>
          <w:cantSplit/>
        </w:trPr>
        <w:tc>
          <w:tcPr>
            <w:tcW w:w="2400" w:type="dxa"/>
            <w:shd w:val="clear" w:fill="F0F5F9"/>
            <w:vAlign w:val="top"/>
          </w:tcPr>
          <w:p>
            <w:r>
              <w:rPr>
                <w:b/>
                <w:sz w:val="20"/>
              </w:rPr>
              <w:t xml:space="preserve">Steps to Execute</w:t>
            </w:r>
          </w:p>
        </w:tc>
        <w:tc>
          <w:tcPr>
            <w:tcW w:w="6960" w:type="dxa"/>
            <w:shd w:val="clear" w:fill="F0F5F9"/>
            <w:vAlign w:val="top"/>
          </w:tcPr>
          <w:p>
            <w:r>
              <w:rPr>
                <w:sz w:val="20"/>
              </w:rPr>
              <w:t xml:space="preserve">1. Open the Orders page.</w:t>
            </w:r>
            <w:r>
              <w:br/>
            </w:r>
            <w:r>
              <w:rPr>
                <w:sz w:val="20"/>
              </w:rPr>
              <w:t xml:space="preserve">2. Expand the service details for the existing order in table or board view.</w:t>
            </w:r>
            <w:r>
              <w:br/>
            </w:r>
            <w:r>
              <w:rPr>
                <w:sz w:val="20"/>
              </w:rPr>
              <w:t xml:space="preserve">3. Review the add-on name, quantity, and subtotal.</w:t>
            </w:r>
            <w:r>
              <w:br/>
            </w:r>
            <w:r>
              <w:rPr>
                <w:sz w:val="20"/>
              </w:rPr>
              <w:t xml:space="preserve">4. Compare them with the saved order snapshot values.</w:t>
            </w:r>
          </w:p>
        </w:tc>
      </w:tr>
      <w:tr>
        <w:trPr>
          <w:cantSplit/>
        </w:trPr>
        <w:tc>
          <w:tcPr>
            <w:tcW w:w="2400" w:type="dxa"/>
            <w:shd w:val="clear" w:fill="FFFFFF"/>
            <w:vAlign w:val="top"/>
          </w:tcPr>
          <w:p>
            <w:r>
              <w:rPr>
                <w:b/>
                <w:sz w:val="20"/>
              </w:rPr>
              <w:t xml:space="preserve">Expected Results</w:t>
            </w:r>
          </w:p>
        </w:tc>
        <w:tc>
          <w:tcPr>
            <w:tcW w:w="6960" w:type="dxa"/>
            <w:shd w:val="clear" w:fill="FFFFFF"/>
            <w:vAlign w:val="top"/>
          </w:tcPr>
          <w:p>
            <w:r>
              <w:rPr>
                <w:sz w:val="20"/>
              </w:rPr>
              <w:t xml:space="preserve">The add-on appears under the correct service on that order, with its saved item name, quantity, and subtotal. Display does not depend on the current active service configuration or inventory label.</w:t>
            </w:r>
          </w:p>
        </w:tc>
      </w:tr>
      <w:tr>
        <w:trPr>
          <w:cantSplit/>
        </w:trPr>
        <w:tc>
          <w:tcPr>
            <w:tcW w:w="2400" w:type="dxa"/>
            <w:shd w:val="clear" w:fill="F0F5F9"/>
            <w:vAlign w:val="top"/>
          </w:tcPr>
          <w:p>
            <w:r>
              <w:rPr>
                <w:b/>
                <w:sz w:val="20"/>
              </w:rPr>
              <w:t xml:space="preserve">Actual Results</w:t>
            </w:r>
          </w:p>
        </w:tc>
        <w:tc>
          <w:tcPr>
            <w:tcW w:w="6960" w:type="dxa"/>
            <w:shd w:val="clear" w:fill="F0F5F9"/>
            <w:vAlign w:val="top"/>
          </w:tcPr>
          <w:p>
            <w:r>
              <w:rPr>
                <w:sz w:val="20"/>
              </w:rPr>
              <w:t xml:space="preserve">To be filled during execution.</w:t>
            </w:r>
          </w:p>
        </w:tc>
      </w:tr>
      <w:tr>
        <w:trPr>
          <w:cantSplit/>
        </w:trPr>
        <w:tc>
          <w:tcPr>
            <w:tcW w:w="2400" w:type="dxa"/>
            <w:shd w:val="clear" w:fill="FFFFFF"/>
            <w:vAlign w:val="top"/>
          </w:tcPr>
          <w:p>
            <w:r>
              <w:rPr>
                <w:b/>
                <w:sz w:val="20"/>
              </w:rPr>
              <w:t xml:space="preserve">Status</w:t>
            </w:r>
          </w:p>
        </w:tc>
        <w:tc>
          <w:tcPr>
            <w:tcW w:w="6960" w:type="dxa"/>
            <w:shd w:val="clear" w:fill="FFFFFF"/>
            <w:vAlign w:val="top"/>
          </w:tcPr>
          <w:p>
            <w:r>
              <w:rPr>
                <w:sz w:val="20"/>
              </w:rPr>
              <w:t xml:space="preserve">Not executed</w:t>
            </w:r>
          </w:p>
        </w:tc>
      </w:tr>
      <w:tr>
        <w:trPr>
          <w:cantSplit/>
        </w:trPr>
        <w:tc>
          <w:tcPr>
            <w:tcW w:w="2400" w:type="dxa"/>
            <w:shd w:val="clear" w:fill="F0F5F9"/>
            <w:vAlign w:val="top"/>
          </w:tcPr>
          <w:p>
            <w:r>
              <w:rPr>
                <w:b/>
                <w:sz w:val="20"/>
              </w:rPr>
              <w:t xml:space="preserve">Remarks / Evidence</w:t>
            </w:r>
          </w:p>
        </w:tc>
        <w:tc>
          <w:tcPr>
            <w:tcW w:w="6960" w:type="dxa"/>
            <w:shd w:val="clear" w:fill="F0F5F9"/>
            <w:vAlign w:val="top"/>
          </w:tcPr>
          <w:p>
            <w:r>
              <w:rPr>
                <w:sz w:val="20"/>
              </w:rPr>
              <w:t xml:space="preserve">To be filled during execution.</w:t>
            </w:r>
          </w:p>
        </w:tc>
      </w:tr>
    </w:tbl>
    <w:p>
      <w:pPr>
        <w:pStyle w:val="Normal"/>
      </w:pPr>
      <w:r>
        <w:rPr>
          <w:sz w:val="20"/>
        </w:rPr>
        <w:t xml:space="preserve"/>
      </w:r>
    </w:p>
    <w:p>
      <w:pPr>
        <w:pStyle w:val="Heading1"/>
        <w:pageBreakBefore/>
      </w:pPr>
      <w:r>
        <w:rPr>
          <w:sz w:val="20"/>
        </w:rPr>
        <w:t xml:space="preserve">Example Scenario: Remove a service add-on configuration used by an old order.</w:t>
      </w:r>
    </w:p>
    <w:tbl>
      <w:tblPr>
        <w:tblW w:w="9360" w:type="dxa"/>
        <w:tblLayout w:type="fixed"/>
        <w:tblBorders>
          <w:top w:val="single" w:sz="6" w:color="B8C9D8"/>
          <w:left w:val="single" w:sz="6" w:color="B8C9D8"/>
          <w:bottom w:val="single" w:sz="6" w:color="B8C9D8"/>
          <w:right w:val="single" w:sz="6" w:color="B8C9D8"/>
          <w:insideH w:val="single" w:sz="6" w:color="B8C9D8"/>
          <w:insideV w:val="single" w:sz="6" w:color="B8C9D8"/>
        </w:tblBorders>
        <w:tblCellMar>
          <w:top w:w="100" w:type="dxa"/>
          <w:left w:w="120" w:type="dxa"/>
          <w:bottom w:w="100" w:type="dxa"/>
          <w:right w:w="120" w:type="dxa"/>
        </w:tblCellMar>
      </w:tblPr>
      <w:tblGrid>
        <w:gridCol w:w="2400"/>
        <w:gridCol w:w="6960"/>
      </w:tblGrid>
      <w:tr>
        <w:trPr>
          <w:cantSplit/>
        </w:trPr>
        <w:tc>
          <w:tcPr>
            <w:tcW w:w="2400" w:type="dxa"/>
            <w:shd w:val="clear" w:fill="FFFFFF"/>
            <w:vAlign w:val="top"/>
          </w:tcPr>
          <w:p>
            <w:r>
              <w:rPr>
                <w:b/>
                <w:sz w:val="20"/>
              </w:rPr>
              <w:t xml:space="preserve">Test Case ID</w:t>
            </w:r>
          </w:p>
        </w:tc>
        <w:tc>
          <w:tcPr>
            <w:tcW w:w="6960" w:type="dxa"/>
            <w:shd w:val="clear" w:fill="FFFFFF"/>
            <w:vAlign w:val="top"/>
          </w:tcPr>
          <w:p>
            <w:r>
              <w:rPr>
                <w:sz w:val="20"/>
              </w:rPr>
              <w:t xml:space="preserve">INV-ADD-05</w:t>
            </w:r>
          </w:p>
        </w:tc>
      </w:tr>
      <w:tr>
        <w:trPr>
          <w:cantSplit/>
        </w:trPr>
        <w:tc>
          <w:tcPr>
            <w:tcW w:w="2400" w:type="dxa"/>
            <w:shd w:val="clear" w:fill="F0F5F9"/>
            <w:vAlign w:val="top"/>
          </w:tcPr>
          <w:p>
            <w:r>
              <w:rPr>
                <w:b/>
                <w:sz w:val="20"/>
              </w:rPr>
              <w:t xml:space="preserve">Test Description</w:t>
            </w:r>
          </w:p>
        </w:tc>
        <w:tc>
          <w:tcPr>
            <w:tcW w:w="6960" w:type="dxa"/>
            <w:shd w:val="clear" w:fill="F0F5F9"/>
            <w:vAlign w:val="top"/>
          </w:tcPr>
          <w:p>
            <w:r>
              <w:rPr>
                <w:sz w:val="20"/>
              </w:rPr>
              <w:t xml:space="preserve">Verify that removing a configuration preserves order snapshots and that the database rejects a combined unlink-and-edit.</w:t>
            </w:r>
          </w:p>
        </w:tc>
      </w:tr>
      <w:tr>
        <w:trPr>
          <w:cantSplit/>
        </w:trPr>
        <w:tc>
          <w:tcPr>
            <w:tcW w:w="2400" w:type="dxa"/>
            <w:shd w:val="clear" w:fill="FFFFFF"/>
            <w:vAlign w:val="top"/>
          </w:tcPr>
          <w:p>
            <w:r>
              <w:rPr>
                <w:b/>
                <w:sz w:val="20"/>
              </w:rPr>
              <w:t xml:space="preserve">Preconditions</w:t>
            </w:r>
          </w:p>
        </w:tc>
        <w:tc>
          <w:tcPr>
            <w:tcW w:w="6960" w:type="dxa"/>
            <w:shd w:val="clear" w:fill="FFFFFF"/>
            <w:vAlign w:val="top"/>
          </w:tcPr>
          <w:p>
            <w:r>
              <w:rPr>
                <w:sz w:val="20"/>
              </w:rPr>
              <w:t xml:space="preserve">A test order has an order_item_addons record associated with a service_addon_items configuration. The test environment has migrations 20261003, 20261004, and 20261005 applied.</w:t>
            </w:r>
          </w:p>
        </w:tc>
      </w:tr>
      <w:tr>
        <w:trPr>
          <w:cantSplit/>
        </w:trPr>
        <w:tc>
          <w:tcPr>
            <w:tcW w:w="2400" w:type="dxa"/>
            <w:shd w:val="clear" w:fill="F0F5F9"/>
            <w:vAlign w:val="top"/>
          </w:tcPr>
          <w:p>
            <w:r>
              <w:rPr>
                <w:b/>
                <w:sz w:val="20"/>
              </w:rPr>
              <w:t xml:space="preserve">Steps to Execute</w:t>
            </w:r>
          </w:p>
        </w:tc>
        <w:tc>
          <w:tcPr>
            <w:tcW w:w="6960" w:type="dxa"/>
            <w:shd w:val="clear" w:fill="F0F5F9"/>
            <w:vAlign w:val="top"/>
          </w:tcPr>
          <w:p>
            <w:r>
              <w:rPr>
                <w:sz w:val="20"/>
              </w:rPr>
              <w:t xml:space="preserve">1. Record the order add-on snapshot values and configuration link.</w:t>
            </w:r>
            <w:r>
              <w:br/>
            </w:r>
            <w:r>
              <w:rPr>
                <w:sz w:val="20"/>
              </w:rPr>
              <w:t xml:space="preserve">2. Delete the test service add-on configuration using the authorized database workflow.</w:t>
            </w:r>
            <w:r>
              <w:br/>
            </w:r>
            <w:r>
              <w:rPr>
                <w:sz w:val="20"/>
              </w:rPr>
              <w:t xml:space="preserve">3. Reload the order and inspect the saved add-on.</w:t>
            </w:r>
            <w:r>
              <w:br/>
            </w:r>
            <w:r>
              <w:rPr>
                <w:sz w:val="20"/>
              </w:rPr>
              <w:t xml:space="preserve">4. In a controlled database test, attempt to clear service_addon_item_id and change quantity in the same update.</w:t>
            </w:r>
          </w:p>
        </w:tc>
      </w:tr>
      <w:tr>
        <w:trPr>
          <w:cantSplit/>
        </w:trPr>
        <w:tc>
          <w:tcPr>
            <w:tcW w:w="2400" w:type="dxa"/>
            <w:shd w:val="clear" w:fill="FFFFFF"/>
            <w:vAlign w:val="top"/>
          </w:tcPr>
          <w:p>
            <w:r>
              <w:rPr>
                <w:b/>
                <w:sz w:val="20"/>
              </w:rPr>
              <w:t xml:space="preserve">Expected Results</w:t>
            </w:r>
          </w:p>
        </w:tc>
        <w:tc>
          <w:tcPr>
            <w:tcW w:w="6960" w:type="dxa"/>
            <w:shd w:val="clear" w:fill="FFFFFF"/>
            <w:vAlign w:val="top"/>
          </w:tcPr>
          <w:p>
            <w:r>
              <w:rPr>
                <w:sz w:val="20"/>
              </w:rPr>
              <w:t xml:space="preserve">Deleting the configuration sets the historical service_addon_item_id to NULL while preserving the inventory reference and all snapshot values; the old order still displays the add-on. The combined unlink-and-edit update is rejected. Do not physically delete the inventory item while historical rows reference it.</w:t>
            </w:r>
          </w:p>
        </w:tc>
      </w:tr>
      <w:tr>
        <w:trPr>
          <w:cantSplit/>
        </w:trPr>
        <w:tc>
          <w:tcPr>
            <w:tcW w:w="2400" w:type="dxa"/>
            <w:shd w:val="clear" w:fill="F0F5F9"/>
            <w:vAlign w:val="top"/>
          </w:tcPr>
          <w:p>
            <w:r>
              <w:rPr>
                <w:b/>
                <w:sz w:val="20"/>
              </w:rPr>
              <w:t xml:space="preserve">Actual Results</w:t>
            </w:r>
          </w:p>
        </w:tc>
        <w:tc>
          <w:tcPr>
            <w:tcW w:w="6960" w:type="dxa"/>
            <w:shd w:val="clear" w:fill="F0F5F9"/>
            <w:vAlign w:val="top"/>
          </w:tcPr>
          <w:p>
            <w:r>
              <w:rPr>
                <w:sz w:val="20"/>
              </w:rPr>
              <w:t xml:space="preserve">To be filled during execution.</w:t>
            </w:r>
          </w:p>
        </w:tc>
      </w:tr>
      <w:tr>
        <w:trPr>
          <w:cantSplit/>
        </w:trPr>
        <w:tc>
          <w:tcPr>
            <w:tcW w:w="2400" w:type="dxa"/>
            <w:shd w:val="clear" w:fill="FFFFFF"/>
            <w:vAlign w:val="top"/>
          </w:tcPr>
          <w:p>
            <w:r>
              <w:rPr>
                <w:b/>
                <w:sz w:val="20"/>
              </w:rPr>
              <w:t xml:space="preserve">Status</w:t>
            </w:r>
          </w:p>
        </w:tc>
        <w:tc>
          <w:tcPr>
            <w:tcW w:w="6960" w:type="dxa"/>
            <w:shd w:val="clear" w:fill="FFFFFF"/>
            <w:vAlign w:val="top"/>
          </w:tcPr>
          <w:p>
            <w:r>
              <w:rPr>
                <w:sz w:val="20"/>
              </w:rPr>
              <w:t xml:space="preserve">Not executed</w:t>
            </w:r>
          </w:p>
        </w:tc>
      </w:tr>
      <w:tr>
        <w:trPr>
          <w:cantSplit/>
        </w:trPr>
        <w:tc>
          <w:tcPr>
            <w:tcW w:w="2400" w:type="dxa"/>
            <w:shd w:val="clear" w:fill="F0F5F9"/>
            <w:vAlign w:val="top"/>
          </w:tcPr>
          <w:p>
            <w:r>
              <w:rPr>
                <w:b/>
                <w:sz w:val="20"/>
              </w:rPr>
              <w:t xml:space="preserve">Remarks / Evidence</w:t>
            </w:r>
          </w:p>
        </w:tc>
        <w:tc>
          <w:tcPr>
            <w:tcW w:w="6960" w:type="dxa"/>
            <w:shd w:val="clear" w:fill="F0F5F9"/>
            <w:vAlign w:val="top"/>
          </w:tcPr>
          <w:p>
            <w:r>
              <w:rPr>
                <w:sz w:val="20"/>
              </w:rPr>
              <w:t xml:space="preserve">To be filled during execution.</w:t>
            </w:r>
          </w:p>
        </w:tc>
      </w:tr>
    </w:tbl>
    <w:p>
      <w:pPr>
        <w:pStyle w:val="Normal"/>
      </w:pPr>
      <w:r>
        <w:rPr>
          <w:sz w:val="20"/>
        </w:rPr>
        <w:t xml:space="preserve"/>
      </w:r>
    </w:p>
    <w:sectPr>
      <w:pgSz w:w="12240" w:h="15840"/>
      <w:pgMar w:top="900" w:right="1080" w:bottom="900" w:left="1080"/>
    </w:sectPr>
  </w:body>
</w:document>
</file>

<file path=word/styles.xml><?xml version="1.0" encoding="utf-8"?>
<w:styles xmlns:w="http://schemas.openxmlformats.org/wordprocessingml/2006/main">
  <w:docDefaults>
    <w:rPrDefault>
      <w:rPr>
        <w:rFonts w:ascii="Arial" w:hAnsi="Arial"/>
        <w:sz w:val="20"/>
      </w:rPr>
    </w:rPrDefault>
  </w:docDefaults>
  <w:style w:type="paragraph" w:styleId="Normal" w:default="1">
    <w:name w:val="Normal"/>
    <w:pPr>
      <w:spacing w:after="120" w:line="260" w:lineRule="auto"/>
    </w:pPr>
    <w:rPr>
      <w:sz w:val="20"/>
    </w:rPr>
  </w:style>
  <w:style w:type="paragraph" w:styleId="Kicker">
    <w:name w:val="Kicker"/>
    <w:pPr>
      <w:jc w:val="center"/>
      <w:spacing w:before="1200" w:after="120"/>
    </w:pPr>
    <w:rPr>
      <w:b/>
      <w:color w:val="1280A8"/>
      <w:sz w:val="26"/>
    </w:rPr>
  </w:style>
  <w:style w:type="paragraph" w:styleId="Title">
    <w:name w:val="Title"/>
    <w:pPr>
      <w:jc w:val="center"/>
      <w:spacing w:after="120"/>
    </w:pPr>
    <w:rPr>
      <w:b/>
      <w:color w:val="173B5E"/>
      <w:sz w:val="34"/>
    </w:rPr>
  </w:style>
  <w:style w:type="paragraph" w:styleId="Subtitle">
    <w:name w:val="Subtitle"/>
    <w:pPr>
      <w:jc w:val="center"/>
      <w:spacing w:after="240"/>
    </w:pPr>
    <w:rPr>
      <w:color w:val="5B7185"/>
      <w:sz w:val="21"/>
    </w:rPr>
  </w:style>
  <w:style w:type="paragraph" w:styleId="Heading1">
    <w:name w:val="Heading1"/>
    <w:pPr>
      <w:keepNext/>
      <w:spacing w:before="200" w:after="100"/>
    </w:pPr>
    <w:rPr>
      <w:b/>
      <w:color w:val="173B5E"/>
      <w:sz w:val="24"/>
    </w:rPr>
  </w:style>
</w:styles>
</file>