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Doc"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Eyebrow"/>
      </w:pPr>
      <w:r>
        <w:rPr/>
        <w:t xml:space="preserve">TECHNICAL METADATA DOCUMENTATION</w:t>
      </w:r>
    </w:p>
    <w:p>
      <w:pPr>
        <w:pStyle w:val="Title"/>
      </w:pPr>
      <w:r>
        <w:rPr/>
        <w:t xml:space="preserve">I&amp;C Laundry | Proposed ETL Pipeline</w:t>
      </w:r>
    </w:p>
    <w:p>
      <w:pPr>
        <w:pStyle w:val="Subtitle"/>
      </w:pPr>
      <w:r>
        <w:rPr/>
        <w:t xml:space="preserve">AI-Assisted Business Analytics and Decision Support System for I&amp;C Laundry Shop</w:t>
      </w:r>
    </w:p>
    <w:p>
      <w:pPr>
        <w:pStyle w:val="Heading1"/>
      </w:pPr>
      <w:r>
        <w:rPr/>
        <w:t xml:space="preserve">1. Pipeline Overview</w:t>
      </w:r>
    </w:p>
    <w:p>
      <w:pPr>
        <w:pStyle w:val="Normal"/>
      </w:pPr>
      <w:r>
        <w:rPr/>
        <w:t xml:space="preserve">The proposed Daily Branch and Service Reporting ETL Pipeline prepares completed-day order data for business analytics across I&amp;C Laundry’s three branches. It extracts records from the existing shared Supabase PostgreSQL database, cleans and summarizes them using SQL, and loads reporting summary tables on a daily Supabase Cron schedule.</w:t>
      </w:r>
    </w:p>
    <w:p>
      <w:pPr>
        <w:pStyle w:val="Normal"/>
      </w:pPr>
      <w:r>
        <w:rPr/>
        <w:t xml:space="preserve">The pipeline addresses repeated report calculations and inconsistent grouping of dates, branches, and services. Its outputs support sales monitoring, branch workload comparisons, service-demand analysis, and daily customer activity. Prepared daily totals can also supply historical inputs to the system’s forecasting features. Forecast generation itself is outside this ETL pipeline.</w:t>
      </w:r>
    </w:p>
    <w:p>
      <w:pPr>
        <w:pStyle w:val="Note"/>
      </w:pPr>
      <w:r>
        <w:rPr/>
        <w:t xml:space="preserve">Design status: The source tables are based on the project’s SQL schema and migrations. The scheduled function, temporary stage, summary tables, and dashboard connection described here are proposed; this document does not claim that they are already deployed.</w:t>
      </w:r>
    </w:p>
    <w:p>
      <w:pPr>
        <w:pStyle w:val="Heading1"/>
      </w:pPr>
      <w:r>
        <w:rPr/>
        <w:t xml:space="preserve">2. Pipeline Architecture</w:t>
      </w:r>
    </w:p>
    <w:p>
      <w:pPr>
        <w:jc w:val="center"/>
        <w:keepNext/>
        <w:spacing w:after="70"/>
      </w:pPr>
      <w:r>
        <w:drawing>
          <wp:inline distT="0" distB="0" distL="0" distR="0">
            <wp:extent cx="6280150" cy="4291436"/>
            <wp:docPr id="1" name="Pipeline architecture" descr="Three branch operations feed one shared Supabase PostgreSQL database. Supabase Cron starts SQL extraction, cleaning and aggregation; SQL loads reporting summary tables in that same database. The application API reads those summaries for dashboards and reports."/>
            <wp:cNvGraphicFramePr>
              <a:graphicFrameLocks noChangeAspect="1"/>
            </wp:cNvGraphicFramePr>
            <a:graphic>
              <a:graphicData uri="http://schemas.openxmlformats.org/drawingml/2006/picture">
                <pic:pic>
                  <pic:nvPicPr>
                    <pic:cNvPr id="1" name="architecture.png"/>
                    <pic:cNvPicPr/>
                  </pic:nvPicPr>
                  <pic:blipFill>
                    <a:blip r:embed="rIdImage1"/>
                    <a:stretch>
                      <a:fillRect/>
                    </a:stretch>
                  </pic:blipFill>
                  <pic:spPr>
                    <a:xfrm>
                      <a:off x="0" y="0"/>
                      <a:ext cx="6280150" cy="4291436"/>
                    </a:xfrm>
                    <a:prstGeom prst="rect">
                      <a:avLst/>
                    </a:prstGeom>
                  </pic:spPr>
                </pic:pic>
              </a:graphicData>
            </a:graphic>
          </wp:inline>
        </w:drawing>
      </w:r>
    </w:p>
    <w:p>
      <w:pPr>
        <w:pStyle w:val="Caption"/>
      </w:pPr>
      <w:r>
        <w:rPr/>
        <w:t xml:space="preserve">Figure 1. Proposed pipeline architecture using the four selected ETL technologies.</w:t>
      </w:r>
    </w:p>
    <w:p>
      <w:pPr>
        <w:pStyle w:val="Small"/>
      </w:pPr>
      <w:r>
        <w:rPr/>
        <w:t xml:space="preserve">Supabase Cron supplies the trigger; SQL performs the processing; PostgreSQL holds both operational data and prepared reporting tables. Application access to the summaries would use the existing authenticated backend.</w:t>
      </w:r>
    </w:p>
    <w:p>
      <w:pPr>
        <w:pStyle w:val="Heading1"/>
        <w:pageBreakBefore/>
      </w:pPr>
      <w:r>
        <w:rPr/>
        <w:t xml:space="preserve">3. Pipeline Metadata</w:t>
      </w:r>
    </w:p>
    <w:p>
      <w:pPr>
        <w:pStyle w:val="Caption"/>
      </w:pPr>
      <w:r>
        <w:rPr/>
        <w:t xml:space="preserve">Table 1. Pipeline definition, schedule, dependencies, configurations, and connections.</w:t>
      </w:r>
    </w:p>
    <w:tbl>
      <w:tblPr>
        <w:tblW w:w="9890" w:type="dxa"/>
        <w:tblLayout w:type="fixed"/>
        <w:tblBorders>
          <w:top w:val="single" w:sz="4" w:color="D5E1E8"/>
          <w:left w:val="single" w:sz="4" w:color="D5E1E8"/>
          <w:bottom w:val="single" w:sz="4" w:color="D5E1E8"/>
          <w:right w:val="single" w:sz="4" w:color="D5E1E8"/>
          <w:insideH w:val="single" w:sz="4" w:color="D5E1E8"/>
          <w:insideV w:val="single" w:sz="4" w:color="D5E1E8"/>
        </w:tblBorders>
        <w:tblCellMar>
          <w:top w:w="80" w:type="dxa"/>
          <w:left w:w="110" w:type="dxa"/>
          <w:bottom w:w="80" w:type="dxa"/>
          <w:right w:w="110" w:type="dxa"/>
        </w:tblCellMar>
      </w:tblPr>
      <w:tblGrid>
        <w:gridCol w:w="2450"/>
        <w:gridCol w:w="7440"/>
      </w:tblGrid>
      <w:tr>
        <w:trPr>
          <w:cantSplit/>
          <w:tblHeader/>
        </w:trPr>
        <w:tc>
          <w:tcPr>
            <w:tcW w:w="2450" w:type="dxa"/>
            <w:shd w:val="clear" w:fill="163A50"/>
            <w:vAlign w:val="center"/>
          </w:tcPr>
          <w:p>
            <w:pPr>
              <w:pStyle w:val="TableText"/>
              <w:keepNext/>
            </w:pPr>
            <w:r>
              <w:rPr>
                <w:b/>
                <w:color w:val="FFFFFF"/>
              </w:rPr>
              <w:t xml:space="preserve">Metadata</w:t>
            </w:r>
          </w:p>
        </w:tc>
        <w:tc>
          <w:tcPr>
            <w:tcW w:w="7440" w:type="dxa"/>
            <w:shd w:val="clear" w:fill="163A50"/>
            <w:vAlign w:val="center"/>
          </w:tcPr>
          <w:p>
            <w:pPr>
              <w:pStyle w:val="TableText"/>
              <w:keepNext/>
            </w:pPr>
            <w:r>
              <w:rPr>
                <w:b/>
                <w:color w:val="FFFFFF"/>
              </w:rPr>
              <w:t xml:space="preserve">Description</w:t>
            </w:r>
          </w:p>
        </w:tc>
      </w:tr>
      <w:tr>
        <w:trPr>
          <w:cantSplit/>
        </w:trPr>
        <w:tc>
          <w:tcPr>
            <w:tcW w:w="2450" w:type="dxa"/>
            <w:shd w:val="clear" w:fill="FFFFFF"/>
            <w:vAlign w:val="center"/>
          </w:tcPr>
          <w:p>
            <w:pPr>
              <w:pStyle w:val="TableText"/>
            </w:pPr>
            <w:r>
              <w:rPr>
                <w:color w:val="243D4C"/>
              </w:rPr>
              <w:t xml:space="preserve">Pipeline name</w:t>
            </w:r>
          </w:p>
        </w:tc>
        <w:tc>
          <w:tcPr>
            <w:tcW w:w="7440" w:type="dxa"/>
            <w:shd w:val="clear" w:fill="FFFFFF"/>
            <w:vAlign w:val="center"/>
          </w:tcPr>
          <w:p>
            <w:pPr>
              <w:pStyle w:val="TableText"/>
            </w:pPr>
            <w:r>
              <w:rPr>
                <w:color w:val="243D4C"/>
              </w:rPr>
              <w:t xml:space="preserve">I&amp;C Laundry Daily Branch and Service Reporting ETL Pipeline</w:t>
            </w:r>
          </w:p>
        </w:tc>
      </w:tr>
      <w:tr>
        <w:trPr>
          <w:cantSplit/>
        </w:trPr>
        <w:tc>
          <w:tcPr>
            <w:tcW w:w="2450" w:type="dxa"/>
            <w:shd w:val="clear" w:fill="F2F7FA"/>
            <w:vAlign w:val="center"/>
          </w:tcPr>
          <w:p>
            <w:pPr>
              <w:pStyle w:val="TableText"/>
            </w:pPr>
            <w:r>
              <w:rPr>
                <w:color w:val="243D4C"/>
              </w:rPr>
              <w:t xml:space="preserve">Purpose</w:t>
            </w:r>
          </w:p>
        </w:tc>
        <w:tc>
          <w:tcPr>
            <w:tcW w:w="7440" w:type="dxa"/>
            <w:shd w:val="clear" w:fill="F2F7FA"/>
            <w:vAlign w:val="center"/>
          </w:tcPr>
          <w:p>
            <w:pPr>
              <w:pStyle w:val="TableText"/>
            </w:pPr>
            <w:r>
              <w:rPr>
                <w:color w:val="243D4C"/>
              </w:rPr>
              <w:t xml:space="preserve">Prepare consistent historical totals for sales, order demand, branch workload, service performance, and daily customer activity.</w:t>
            </w:r>
          </w:p>
        </w:tc>
      </w:tr>
      <w:tr>
        <w:trPr>
          <w:cantSplit/>
        </w:trPr>
        <w:tc>
          <w:tcPr>
            <w:tcW w:w="2450" w:type="dxa"/>
            <w:shd w:val="clear" w:fill="FFFFFF"/>
            <w:vAlign w:val="center"/>
          </w:tcPr>
          <w:p>
            <w:pPr>
              <w:pStyle w:val="TableText"/>
            </w:pPr>
            <w:r>
              <w:rPr>
                <w:color w:val="243D4C"/>
              </w:rPr>
              <w:t xml:space="preserve">Technologies / tools</w:t>
            </w:r>
          </w:p>
        </w:tc>
        <w:tc>
          <w:tcPr>
            <w:tcW w:w="7440" w:type="dxa"/>
            <w:shd w:val="clear" w:fill="FFFFFF"/>
            <w:vAlign w:val="center"/>
          </w:tcPr>
          <w:p>
            <w:pPr>
              <w:pStyle w:val="TableText"/>
            </w:pPr>
            <w:r>
              <w:rPr>
                <w:color w:val="243D4C"/>
              </w:rPr>
              <w:t xml:space="preserve">PostgreSQL / Supabase; Supabase Cron / pg_cron; SQL; Reporting Summary Tables.</w:t>
            </w:r>
          </w:p>
        </w:tc>
      </w:tr>
      <w:tr>
        <w:trPr>
          <w:cantSplit/>
        </w:trPr>
        <w:tc>
          <w:tcPr>
            <w:tcW w:w="2450" w:type="dxa"/>
            <w:shd w:val="clear" w:fill="F2F7FA"/>
            <w:vAlign w:val="center"/>
          </w:tcPr>
          <w:p>
            <w:pPr>
              <w:pStyle w:val="TableText"/>
            </w:pPr>
            <w:r>
              <w:rPr>
                <w:color w:val="243D4C"/>
              </w:rPr>
              <w:t xml:space="preserve">Data source</w:t>
            </w:r>
          </w:p>
        </w:tc>
        <w:tc>
          <w:tcPr>
            <w:tcW w:w="7440" w:type="dxa"/>
            <w:shd w:val="clear" w:fill="F2F7FA"/>
            <w:vAlign w:val="center"/>
          </w:tcPr>
          <w:p>
            <w:pPr>
              <w:pStyle w:val="TableText"/>
            </w:pPr>
            <w:r>
              <w:rPr>
                <w:color w:val="243D4C"/>
              </w:rPr>
              <w:t xml:space="preserve">Existing public.orders, public.branches, and public.service_types in one shared Supabase database. Customer activity uses orders.customer_id, which references public.customers.id.</w:t>
            </w:r>
          </w:p>
        </w:tc>
      </w:tr>
      <w:tr>
        <w:trPr>
          <w:cantSplit/>
        </w:trPr>
        <w:tc>
          <w:tcPr>
            <w:tcW w:w="2450" w:type="dxa"/>
            <w:shd w:val="clear" w:fill="FFFFFF"/>
            <w:vAlign w:val="center"/>
          </w:tcPr>
          <w:p>
            <w:pPr>
              <w:pStyle w:val="TableText"/>
            </w:pPr>
            <w:r>
              <w:rPr>
                <w:color w:val="243D4C"/>
              </w:rPr>
              <w:t xml:space="preserve">Destination / storage</w:t>
            </w:r>
          </w:p>
        </w:tc>
        <w:tc>
          <w:tcPr>
            <w:tcW w:w="7440" w:type="dxa"/>
            <w:shd w:val="clear" w:fill="FFFFFF"/>
            <w:vAlign w:val="center"/>
          </w:tcPr>
          <w:p>
            <w:pPr>
              <w:pStyle w:val="TableText"/>
            </w:pPr>
            <w:r>
              <w:rPr>
                <w:color w:val="243D4C"/>
              </w:rPr>
              <w:t xml:space="preserve">Proposed analytics.daily_branch_summary and analytics.daily_service_summary tables in the same PostgreSQL database.</w:t>
            </w:r>
          </w:p>
        </w:tc>
      </w:tr>
      <w:tr>
        <w:trPr>
          <w:cantSplit/>
        </w:trPr>
        <w:tc>
          <w:tcPr>
            <w:tcW w:w="2450" w:type="dxa"/>
            <w:shd w:val="clear" w:fill="F2F7FA"/>
            <w:vAlign w:val="center"/>
          </w:tcPr>
          <w:p>
            <w:pPr>
              <w:pStyle w:val="TableText"/>
            </w:pPr>
            <w:r>
              <w:rPr>
                <w:color w:val="243D4C"/>
              </w:rPr>
              <w:t xml:space="preserve">Schedule</w:t>
            </w:r>
          </w:p>
        </w:tc>
        <w:tc>
          <w:tcPr>
            <w:tcW w:w="7440" w:type="dxa"/>
            <w:shd w:val="clear" w:fill="F2F7FA"/>
            <w:vAlign w:val="center"/>
          </w:tcPr>
          <w:p>
            <w:pPr>
              <w:pStyle w:val="TableText"/>
            </w:pPr>
            <w:r>
              <w:rPr>
                <w:color w:val="243D4C"/>
              </w:rPr>
              <w:t xml:space="preserve">Daily at 01:00 Asia/Manila (UTC+08:00). With cron.timezone set to UTC/GMT, use cron expression 0 17 * * *. Verify the scheduler timezone before enabling the job.</w:t>
            </w:r>
          </w:p>
        </w:tc>
      </w:tr>
      <w:tr>
        <w:trPr>
          <w:cantSplit/>
        </w:trPr>
        <w:tc>
          <w:tcPr>
            <w:tcW w:w="2450" w:type="dxa"/>
            <w:shd w:val="clear" w:fill="FFFFFF"/>
            <w:vAlign w:val="center"/>
          </w:tcPr>
          <w:p>
            <w:pPr>
              <w:pStyle w:val="TableText"/>
            </w:pPr>
            <w:r>
              <w:rPr>
                <w:color w:val="243D4C"/>
              </w:rPr>
              <w:t xml:space="preserve">Run configuration</w:t>
            </w:r>
          </w:p>
        </w:tc>
        <w:tc>
          <w:tcPr>
            <w:tcW w:w="7440" w:type="dxa"/>
            <w:shd w:val="clear" w:fill="FFFFFF"/>
            <w:vAlign w:val="center"/>
          </w:tcPr>
          <w:p>
            <w:pPr>
              <w:pStyle w:val="TableText"/>
            </w:pPr>
            <w:r>
              <w:rPr>
                <w:color w:val="243D4C"/>
              </w:rPr>
              <w:t xml:space="preserve">Job name: ic_laundry_daily_reports. Function: analytics.refresh_daily_reports(). One run at a time, protected by a transaction-scoped advisory lock.</w:t>
            </w:r>
          </w:p>
        </w:tc>
      </w:tr>
      <w:tr>
        <w:trPr>
          <w:cantSplit/>
        </w:trPr>
        <w:tc>
          <w:tcPr>
            <w:tcW w:w="2450" w:type="dxa"/>
            <w:shd w:val="clear" w:fill="F2F7FA"/>
            <w:vAlign w:val="center"/>
          </w:tcPr>
          <w:p>
            <w:pPr>
              <w:pStyle w:val="TableText"/>
            </w:pPr>
            <w:r>
              <w:rPr>
                <w:color w:val="243D4C"/>
              </w:rPr>
              <w:t xml:space="preserve">Data window / refresh</w:t>
            </w:r>
          </w:p>
        </w:tc>
        <w:tc>
          <w:tcPr>
            <w:tcW w:w="7440" w:type="dxa"/>
            <w:shd w:val="clear" w:fill="F2F7FA"/>
            <w:vAlign w:val="center"/>
          </w:tcPr>
          <w:p>
            <w:pPr>
              <w:pStyle w:val="TableText"/>
            </w:pPr>
            <w:r>
              <w:rPr>
                <w:color w:val="243D4C"/>
              </w:rPr>
              <w:t xml:space="preserve">Full historical rebuild for order creation dates earlier than the local date at run start. Rebuilding previous dates captures late payments, cancellations, and corrections. Current-day transactions remain available from operational screens.</w:t>
            </w:r>
          </w:p>
        </w:tc>
      </w:tr>
      <w:tr>
        <w:trPr>
          <w:cantSplit/>
        </w:trPr>
        <w:tc>
          <w:tcPr>
            <w:tcW w:w="2450" w:type="dxa"/>
            <w:shd w:val="clear" w:fill="FFFFFF"/>
            <w:vAlign w:val="center"/>
          </w:tcPr>
          <w:p>
            <w:pPr>
              <w:pStyle w:val="TableText"/>
            </w:pPr>
            <w:r>
              <w:rPr>
                <w:color w:val="243D4C"/>
              </w:rPr>
              <w:t xml:space="preserve">Dependencies</w:t>
            </w:r>
          </w:p>
        </w:tc>
        <w:tc>
          <w:tcPr>
            <w:tcW w:w="7440" w:type="dxa"/>
            <w:shd w:val="clear" w:fill="FFFFFF"/>
            <w:vAlign w:val="center"/>
          </w:tcPr>
          <w:p>
            <w:pPr>
              <w:pStyle w:val="TableText"/>
            </w:pPr>
            <w:r>
              <w:rPr>
                <w:color w:val="243D4C"/>
              </w:rPr>
              <w:t xml:space="preserve">Required source columns and foreign keys; enabled pg_cron extension; deployed SQL function and target tables; a database role permitted to read all three branches and update summaries.</w:t>
            </w:r>
          </w:p>
        </w:tc>
      </w:tr>
      <w:tr>
        <w:trPr>
          <w:cantSplit/>
        </w:trPr>
        <w:tc>
          <w:tcPr>
            <w:tcW w:w="2450" w:type="dxa"/>
            <w:shd w:val="clear" w:fill="F2F7FA"/>
            <w:vAlign w:val="center"/>
          </w:tcPr>
          <w:p>
            <w:pPr>
              <w:pStyle w:val="TableText"/>
            </w:pPr>
            <w:r>
              <w:rPr>
                <w:color w:val="243D4C"/>
              </w:rPr>
              <w:t xml:space="preserve">Processing settings</w:t>
            </w:r>
          </w:p>
        </w:tc>
        <w:tc>
          <w:tcPr>
            <w:tcW w:w="7440" w:type="dxa"/>
            <w:shd w:val="clear" w:fill="F2F7FA"/>
            <w:vAlign w:val="center"/>
          </w:tcPr>
          <w:p>
            <w:pPr>
              <w:pStyle w:val="TableText"/>
            </w:pPr>
            <w:r>
              <w:rPr>
                <w:color w:val="243D4C"/>
              </w:rPr>
              <w:t xml:space="preserve">Business timezone: Asia/Manila. Currency: PHP. Exact NUMERIC arithmetic. Capture one run timestamp and one source snapshot. Proposed statement timeout: 5 minutes; revisit after measuring real data volume.</w:t>
            </w:r>
          </w:p>
        </w:tc>
      </w:tr>
      <w:tr>
        <w:trPr>
          <w:cantSplit/>
        </w:trPr>
        <w:tc>
          <w:tcPr>
            <w:tcW w:w="2450" w:type="dxa"/>
            <w:shd w:val="clear" w:fill="FFFFFF"/>
            <w:vAlign w:val="center"/>
          </w:tcPr>
          <w:p>
            <w:pPr>
              <w:pStyle w:val="TableText"/>
            </w:pPr>
            <w:r>
              <w:rPr>
                <w:color w:val="243D4C"/>
              </w:rPr>
              <w:t xml:space="preserve">Connections</w:t>
            </w:r>
          </w:p>
        </w:tc>
        <w:tc>
          <w:tcPr>
            <w:tcW w:w="7440" w:type="dxa"/>
            <w:shd w:val="clear" w:fill="FFFFFF"/>
            <w:vAlign w:val="center"/>
          </w:tcPr>
          <w:p>
            <w:pPr>
              <w:pStyle w:val="TableText"/>
            </w:pPr>
            <w:r>
              <w:rPr>
                <w:color w:val="243D4C"/>
              </w:rPr>
              <w:t xml:space="preserve">pg_cron → SQL function: in-database invocation. SQL → public tables: SELECT/JOIN. SQL → analytics tables: transactional writes. Backend → summaries: authorized database reads for reports. No external ETL server is required.</w:t>
            </w:r>
          </w:p>
        </w:tc>
      </w:tr>
      <w:tr>
        <w:trPr>
          <w:cantSplit/>
        </w:trPr>
        <w:tc>
          <w:tcPr>
            <w:tcW w:w="2450" w:type="dxa"/>
            <w:shd w:val="clear" w:fill="F2F7FA"/>
            <w:vAlign w:val="center"/>
          </w:tcPr>
          <w:p>
            <w:pPr>
              <w:pStyle w:val="TableText"/>
            </w:pPr>
            <w:r>
              <w:rPr>
                <w:color w:val="243D4C"/>
              </w:rPr>
              <w:t xml:space="preserve">Pipeline steps</w:t>
            </w:r>
          </w:p>
        </w:tc>
        <w:tc>
          <w:tcPr>
            <w:tcW w:w="7440" w:type="dxa"/>
            <w:shd w:val="clear" w:fill="F2F7FA"/>
            <w:vAlign w:val="center"/>
          </w:tcPr>
          <w:p>
            <w:pPr>
              <w:pStyle w:val="TableText"/>
            </w:pPr>
            <w:r>
              <w:rPr>
                <w:color w:val="243D4C"/>
              </w:rPr>
              <w:t xml:space="preserve">1 Read saved orders → 2 Extract a snapshot → 3 Validate and clean → 4 Aggregate → 5 Publish both summaries → 6 Read results in reports.</w:t>
            </w:r>
          </w:p>
        </w:tc>
      </w:tr>
      <w:tr>
        <w:trPr>
          <w:cantSplit/>
        </w:trPr>
        <w:tc>
          <w:tcPr>
            <w:tcW w:w="2450" w:type="dxa"/>
            <w:shd w:val="clear" w:fill="FFFFFF"/>
            <w:vAlign w:val="center"/>
          </w:tcPr>
          <w:p>
            <w:pPr>
              <w:pStyle w:val="TableText"/>
            </w:pPr>
            <w:r>
              <w:rPr>
                <w:color w:val="243D4C"/>
              </w:rPr>
              <w:t xml:space="preserve">Failure handling</w:t>
            </w:r>
          </w:p>
        </w:tc>
        <w:tc>
          <w:tcPr>
            <w:tcW w:w="7440" w:type="dxa"/>
            <w:shd w:val="clear" w:fill="FFFFFF"/>
            <w:vAlign w:val="center"/>
          </w:tcPr>
          <w:p>
            <w:pPr>
              <w:pStyle w:val="TableText"/>
            </w:pPr>
            <w:r>
              <w:rPr>
                <w:color w:val="243D4C"/>
              </w:rPr>
              <w:t xml:space="preserve">Validation errors raise an exception and roll back the refresh; the previous published summaries remain available. Review cron.job_run_details, correct the cause, and rerun. No automatic retry is assumed.</w:t>
            </w:r>
          </w:p>
        </w:tc>
      </w:tr>
      <w:tr>
        <w:trPr>
          <w:cantSplit/>
        </w:trPr>
        <w:tc>
          <w:tcPr>
            <w:tcW w:w="2450" w:type="dxa"/>
            <w:shd w:val="clear" w:fill="F2F7FA"/>
            <w:vAlign w:val="center"/>
          </w:tcPr>
          <w:p>
            <w:pPr>
              <w:pStyle w:val="TableText"/>
            </w:pPr>
            <w:r>
              <w:rPr>
                <w:color w:val="243D4C"/>
              </w:rPr>
              <w:t xml:space="preserve">Publication / access</w:t>
            </w:r>
          </w:p>
        </w:tc>
        <w:tc>
          <w:tcPr>
            <w:tcW w:w="7440" w:type="dxa"/>
            <w:shd w:val="clear" w:fill="F2F7FA"/>
            <w:vAlign w:val="center"/>
          </w:tcPr>
          <w:p>
            <w:pPr>
              <w:pStyle w:val="TableText"/>
            </w:pPr>
            <w:r>
              <w:rPr>
                <w:color w:val="243D4C"/>
              </w:rPr>
              <w:t xml:space="preserve">Publish both tables in one transaction. Replace prior summary rows rather than appending duplicate totals. Display refreshed_at as the report’s data timestamp; retain the backend’s existing authorization and branch restrictions.</w:t>
            </w:r>
          </w:p>
        </w:tc>
      </w:tr>
    </w:tbl>
    <w:p>
      <w:pPr>
        <w:pStyle w:val="AfterTable"/>
      </w:pPr>
      <w:r>
        <w:rPr/>
        <w:t xml:space="preserve"/>
      </w:r>
    </w:p>
    <w:p>
      <w:pPr>
        <w:pStyle w:val="Small"/>
      </w:pPr>
      <w:r>
        <w:rPr/>
        <w:t xml:space="preserve">All scheduling and processing values above are proposed configuration choices. Supabase Cron documents SQL-function scheduling and run-history monitoring; the database timezone used for business dates is distinct from the scheduler’s timezone. [1]</w:t>
      </w:r>
    </w:p>
    <w:p>
      <w:pPr>
        <w:pStyle w:val="Heading1"/>
        <w:pageBreakBefore/>
      </w:pPr>
      <w:r>
        <w:rPr/>
        <w:t xml:space="preserve">4. Data Lineage</w:t>
      </w:r>
    </w:p>
    <w:p>
      <w:pPr>
        <w:pStyle w:val="Normal"/>
      </w:pPr>
      <w:r>
        <w:rPr/>
        <w:t xml:space="preserve">The timeline shows the sequence of one scheduled run. Each stage consumes the preceding stage’s output; it is not a measurement of execution time.</w:t>
      </w:r>
    </w:p>
    <w:p>
      <w:pPr>
        <w:jc w:val="center"/>
        <w:keepNext/>
        <w:spacing w:after="70"/>
      </w:pPr>
      <w:r>
        <w:drawing>
          <wp:inline distT="0" distB="0" distL="0" distR="0">
            <wp:extent cx="6280150" cy="3523862"/>
            <wp:docPr id="2" name="Data lineage timeline" descr="In order: saved source orders; extraction at 01:00 Asia/Manila; validation and cleaning; branch and service aggregation; atomic loading of summaries; dashboard and report use. A failed validation stops publication and preserves the previous summaries."/>
            <wp:cNvGraphicFramePr>
              <a:graphicFrameLocks noChangeAspect="1"/>
            </wp:cNvGraphicFramePr>
            <a:graphic>
              <a:graphicData uri="http://schemas.openxmlformats.org/drawingml/2006/picture">
                <pic:pic>
                  <pic:nvPicPr>
                    <pic:cNvPr id="2" name="lineage-timeline.png"/>
                    <pic:cNvPicPr/>
                  </pic:nvPicPr>
                  <pic:blipFill>
                    <a:blip r:embed="rIdImage2"/>
                    <a:stretch>
                      <a:fillRect/>
                    </a:stretch>
                  </pic:blipFill>
                  <pic:spPr>
                    <a:xfrm>
                      <a:off x="0" y="0"/>
                      <a:ext cx="6280150" cy="3523862"/>
                    </a:xfrm>
                    <a:prstGeom prst="rect">
                      <a:avLst/>
                    </a:prstGeom>
                  </pic:spPr>
                </pic:pic>
              </a:graphicData>
            </a:graphic>
          </wp:inline>
        </w:drawing>
      </w:r>
    </w:p>
    <w:p>
      <w:pPr>
        <w:pStyle w:val="Caption"/>
      </w:pPr>
      <w:r>
        <w:rPr/>
        <w:t xml:space="preserve">Figure 2. Data-lineage timeline for the proposed daily ETL run.</w:t>
      </w:r>
    </w:p>
    <w:p>
      <w:pPr>
        <w:pStyle w:val="Caption"/>
      </w:pPr>
      <w:r>
        <w:rPr/>
        <w:t xml:space="preserve">Table 2. Inputs, transformations, and outputs at each stage.</w:t>
      </w:r>
    </w:p>
    <w:tbl>
      <w:tblPr>
        <w:tblW w:w="9890" w:type="dxa"/>
        <w:tblLayout w:type="fixed"/>
        <w:tblBorders>
          <w:top w:val="single" w:sz="4" w:color="D5E1E8"/>
          <w:left w:val="single" w:sz="4" w:color="D5E1E8"/>
          <w:bottom w:val="single" w:sz="4" w:color="D5E1E8"/>
          <w:right w:val="single" w:sz="4" w:color="D5E1E8"/>
          <w:insideH w:val="single" w:sz="4" w:color="D5E1E8"/>
          <w:insideV w:val="single" w:sz="4" w:color="D5E1E8"/>
        </w:tblBorders>
        <w:tblCellMar>
          <w:top w:w="80" w:type="dxa"/>
          <w:left w:w="110" w:type="dxa"/>
          <w:bottom w:w="80" w:type="dxa"/>
          <w:right w:w="110" w:type="dxa"/>
        </w:tblCellMar>
      </w:tblPr>
      <w:tblGrid>
        <w:gridCol w:w="1300"/>
        <w:gridCol w:w="2100"/>
        <w:gridCol w:w="4050"/>
        <w:gridCol w:w="2440"/>
      </w:tblGrid>
      <w:tr>
        <w:trPr>
          <w:cantSplit/>
          <w:tblHeader/>
        </w:trPr>
        <w:tc>
          <w:tcPr>
            <w:tcW w:w="1300" w:type="dxa"/>
            <w:shd w:val="clear" w:fill="163A50"/>
            <w:vAlign w:val="center"/>
          </w:tcPr>
          <w:p>
            <w:pPr>
              <w:pStyle w:val="TableText"/>
              <w:keepNext/>
            </w:pPr>
            <w:r>
              <w:rPr>
                <w:b/>
                <w:color w:val="FFFFFF"/>
              </w:rPr>
              <w:t xml:space="preserve">Stage</w:t>
            </w:r>
          </w:p>
        </w:tc>
        <w:tc>
          <w:tcPr>
            <w:tcW w:w="2100" w:type="dxa"/>
            <w:shd w:val="clear" w:fill="163A50"/>
            <w:vAlign w:val="center"/>
          </w:tcPr>
          <w:p>
            <w:pPr>
              <w:pStyle w:val="TableText"/>
              <w:keepNext/>
            </w:pPr>
            <w:r>
              <w:rPr>
                <w:b/>
                <w:color w:val="FFFFFF"/>
              </w:rPr>
              <w:t xml:space="preserve">Input</w:t>
            </w:r>
          </w:p>
        </w:tc>
        <w:tc>
          <w:tcPr>
            <w:tcW w:w="4050" w:type="dxa"/>
            <w:shd w:val="clear" w:fill="163A50"/>
            <w:vAlign w:val="center"/>
          </w:tcPr>
          <w:p>
            <w:pPr>
              <w:pStyle w:val="TableText"/>
              <w:keepNext/>
            </w:pPr>
            <w:r>
              <w:rPr>
                <w:b/>
                <w:color w:val="FFFFFF"/>
              </w:rPr>
              <w:t xml:space="preserve">Process / transformation</w:t>
            </w:r>
          </w:p>
        </w:tc>
        <w:tc>
          <w:tcPr>
            <w:tcW w:w="2440" w:type="dxa"/>
            <w:shd w:val="clear" w:fill="163A50"/>
            <w:vAlign w:val="center"/>
          </w:tcPr>
          <w:p>
            <w:pPr>
              <w:pStyle w:val="TableText"/>
              <w:keepNext/>
            </w:pPr>
            <w:r>
              <w:rPr>
                <w:b/>
                <w:color w:val="FFFFFF"/>
              </w:rPr>
              <w:t xml:space="preserve">Output</w:t>
            </w:r>
          </w:p>
        </w:tc>
      </w:tr>
      <w:tr>
        <w:trPr>
          <w:cantSplit/>
        </w:trPr>
        <w:tc>
          <w:tcPr>
            <w:tcW w:w="1300" w:type="dxa"/>
            <w:shd w:val="clear" w:fill="FFFFFF"/>
            <w:vAlign w:val="center"/>
          </w:tcPr>
          <w:p>
            <w:pPr>
              <w:pStyle w:val="TableText"/>
            </w:pPr>
            <w:r>
              <w:rPr>
                <w:color w:val="243D4C"/>
              </w:rPr>
              <w:t xml:space="preserve">1. Source</w:t>
            </w:r>
          </w:p>
        </w:tc>
        <w:tc>
          <w:tcPr>
            <w:tcW w:w="2100" w:type="dxa"/>
            <w:shd w:val="clear" w:fill="FFFFFF"/>
            <w:vAlign w:val="center"/>
          </w:tcPr>
          <w:p>
            <w:pPr>
              <w:pStyle w:val="TableText"/>
            </w:pPr>
            <w:r>
              <w:rPr>
                <w:color w:val="243D4C"/>
              </w:rPr>
              <w:t xml:space="preserve">Orders from all three branches; branch and service lookups.</w:t>
            </w:r>
          </w:p>
        </w:tc>
        <w:tc>
          <w:tcPr>
            <w:tcW w:w="4050" w:type="dxa"/>
            <w:shd w:val="clear" w:fill="FFFFFF"/>
            <w:vAlign w:val="center"/>
          </w:tcPr>
          <w:p>
            <w:pPr>
              <w:pStyle w:val="TableText"/>
            </w:pPr>
            <w:r>
              <w:rPr>
                <w:color w:val="243D4C"/>
              </w:rPr>
              <w:t xml:space="preserve">Operational transactions save order IDs, payment totals, status, weight, and related IDs in PostgreSQL.</w:t>
            </w:r>
          </w:p>
        </w:tc>
        <w:tc>
          <w:tcPr>
            <w:tcW w:w="2440" w:type="dxa"/>
            <w:shd w:val="clear" w:fill="FFFFFF"/>
            <w:vAlign w:val="center"/>
          </w:tcPr>
          <w:p>
            <w:pPr>
              <w:pStyle w:val="TableText"/>
            </w:pPr>
            <w:r>
              <w:rPr>
                <w:color w:val="243D4C"/>
              </w:rPr>
              <w:t xml:space="preserve">Committed operational records.</w:t>
            </w:r>
          </w:p>
        </w:tc>
      </w:tr>
      <w:tr>
        <w:trPr>
          <w:cantSplit/>
        </w:trPr>
        <w:tc>
          <w:tcPr>
            <w:tcW w:w="1300" w:type="dxa"/>
            <w:shd w:val="clear" w:fill="F2F7FA"/>
            <w:vAlign w:val="center"/>
          </w:tcPr>
          <w:p>
            <w:pPr>
              <w:pStyle w:val="TableText"/>
            </w:pPr>
            <w:r>
              <w:rPr>
                <w:color w:val="243D4C"/>
              </w:rPr>
              <w:t xml:space="preserve">2. Extract</w:t>
            </w:r>
          </w:p>
        </w:tc>
        <w:tc>
          <w:tcPr>
            <w:tcW w:w="2100" w:type="dxa"/>
            <w:shd w:val="clear" w:fill="F2F7FA"/>
            <w:vAlign w:val="center"/>
          </w:tcPr>
          <w:p>
            <w:pPr>
              <w:pStyle w:val="TableText"/>
            </w:pPr>
            <w:r>
              <w:rPr>
                <w:color w:val="243D4C"/>
              </w:rPr>
              <w:t xml:space="preserve">public.orders, branches, and service_types.</w:t>
            </w:r>
          </w:p>
        </w:tc>
        <w:tc>
          <w:tcPr>
            <w:tcW w:w="4050" w:type="dxa"/>
            <w:shd w:val="clear" w:fill="F2F7FA"/>
            <w:vAlign w:val="center"/>
          </w:tcPr>
          <w:p>
            <w:pPr>
              <w:pStyle w:val="TableText"/>
            </w:pPr>
            <w:r>
              <w:rPr>
                <w:color w:val="243D4C"/>
              </w:rPr>
              <w:t xml:space="preserve">Read one joined snapshot into a temporary SQL stage. Retain invalid rows for validation, including null timestamps. Capture the run timestamp once.</w:t>
            </w:r>
          </w:p>
        </w:tc>
        <w:tc>
          <w:tcPr>
            <w:tcW w:w="2440" w:type="dxa"/>
            <w:shd w:val="clear" w:fill="F2F7FA"/>
            <w:vAlign w:val="center"/>
          </w:tcPr>
          <w:p>
            <w:pPr>
              <w:pStyle w:val="TableText"/>
            </w:pPr>
            <w:r>
              <w:rPr>
                <w:color w:val="243D4C"/>
              </w:rPr>
              <w:t xml:space="preserve">One staged row per order.</w:t>
            </w:r>
          </w:p>
        </w:tc>
      </w:tr>
      <w:tr>
        <w:trPr>
          <w:cantSplit/>
        </w:trPr>
        <w:tc>
          <w:tcPr>
            <w:tcW w:w="1300" w:type="dxa"/>
            <w:shd w:val="clear" w:fill="FFFFFF"/>
            <w:vAlign w:val="center"/>
          </w:tcPr>
          <w:p>
            <w:pPr>
              <w:pStyle w:val="TableText"/>
            </w:pPr>
            <w:r>
              <w:rPr>
                <w:color w:val="243D4C"/>
              </w:rPr>
              <w:t xml:space="preserve">3. Validate / clean</w:t>
            </w:r>
          </w:p>
        </w:tc>
        <w:tc>
          <w:tcPr>
            <w:tcW w:w="2100" w:type="dxa"/>
            <w:shd w:val="clear" w:fill="FFFFFF"/>
            <w:vAlign w:val="center"/>
          </w:tcPr>
          <w:p>
            <w:pPr>
              <w:pStyle w:val="TableText"/>
            </w:pPr>
            <w:r>
              <w:rPr>
                <w:color w:val="243D4C"/>
              </w:rPr>
              <w:t xml:space="preserve">Staged source rows.</w:t>
            </w:r>
          </w:p>
        </w:tc>
        <w:tc>
          <w:tcPr>
            <w:tcW w:w="4050" w:type="dxa"/>
            <w:shd w:val="clear" w:fill="FFFFFF"/>
            <w:vAlign w:val="center"/>
          </w:tcPr>
          <w:p>
            <w:pPr>
              <w:pStyle w:val="TableText"/>
            </w:pPr>
            <w:r>
              <w:rPr>
                <w:color w:val="243D4C"/>
              </w:rPr>
              <w:t xml:space="preserve">Check unique IDs, branch/service references, timestamps, statuses, and nonnegative values. Reject null timestamps before date filtering. Derive report_date in Asia/Manila.</w:t>
            </w:r>
          </w:p>
        </w:tc>
        <w:tc>
          <w:tcPr>
            <w:tcW w:w="2440" w:type="dxa"/>
            <w:shd w:val="clear" w:fill="FFFFFF"/>
            <w:vAlign w:val="center"/>
          </w:tcPr>
          <w:p>
            <w:pPr>
              <w:pStyle w:val="TableText"/>
            </w:pPr>
            <w:r>
              <w:rPr>
                <w:color w:val="243D4C"/>
              </w:rPr>
              <w:t xml:space="preserve">Validated, consistently dated order rows.</w:t>
            </w:r>
          </w:p>
        </w:tc>
      </w:tr>
      <w:tr>
        <w:trPr>
          <w:cantSplit/>
        </w:trPr>
        <w:tc>
          <w:tcPr>
            <w:tcW w:w="1300" w:type="dxa"/>
            <w:shd w:val="clear" w:fill="F2F7FA"/>
            <w:vAlign w:val="center"/>
          </w:tcPr>
          <w:p>
            <w:pPr>
              <w:pStyle w:val="TableText"/>
            </w:pPr>
            <w:r>
              <w:rPr>
                <w:color w:val="243D4C"/>
              </w:rPr>
              <w:t xml:space="preserve">4. Transform</w:t>
            </w:r>
          </w:p>
        </w:tc>
        <w:tc>
          <w:tcPr>
            <w:tcW w:w="2100" w:type="dxa"/>
            <w:shd w:val="clear" w:fill="F2F7FA"/>
            <w:vAlign w:val="center"/>
          </w:tcPr>
          <w:p>
            <w:pPr>
              <w:pStyle w:val="TableText"/>
            </w:pPr>
            <w:r>
              <w:rPr>
                <w:color w:val="243D4C"/>
              </w:rPr>
              <w:t xml:space="preserve">Validated rows.</w:t>
            </w:r>
          </w:p>
        </w:tc>
        <w:tc>
          <w:tcPr>
            <w:tcW w:w="4050" w:type="dxa"/>
            <w:shd w:val="clear" w:fill="F2F7FA"/>
            <w:vAlign w:val="center"/>
          </w:tcPr>
          <w:p>
            <w:pPr>
              <w:pStyle w:val="TableText"/>
            </w:pPr>
            <w:r>
              <w:rPr>
                <w:color w:val="243D4C"/>
              </w:rPr>
              <w:t xml:space="preserve">Keep dates through yesterday; exclude cancelled orders. Group by date/branch and date/branch/service. Count orders, sum weight/value/payments, and count distinct customers for date/branch only.</w:t>
            </w:r>
          </w:p>
        </w:tc>
        <w:tc>
          <w:tcPr>
            <w:tcW w:w="2440" w:type="dxa"/>
            <w:shd w:val="clear" w:fill="F2F7FA"/>
            <w:vAlign w:val="center"/>
          </w:tcPr>
          <w:p>
            <w:pPr>
              <w:pStyle w:val="TableText"/>
            </w:pPr>
            <w:r>
              <w:rPr>
                <w:color w:val="243D4C"/>
              </w:rPr>
              <w:t xml:space="preserve">Two sets of grouped summary rows.</w:t>
            </w:r>
          </w:p>
        </w:tc>
      </w:tr>
      <w:tr>
        <w:trPr>
          <w:cantSplit/>
        </w:trPr>
        <w:tc>
          <w:tcPr>
            <w:tcW w:w="1300" w:type="dxa"/>
            <w:shd w:val="clear" w:fill="FFFFFF"/>
            <w:vAlign w:val="center"/>
          </w:tcPr>
          <w:p>
            <w:pPr>
              <w:pStyle w:val="TableText"/>
            </w:pPr>
            <w:r>
              <w:rPr>
                <w:color w:val="243D4C"/>
              </w:rPr>
              <w:t xml:space="preserve">5. Load</w:t>
            </w:r>
          </w:p>
        </w:tc>
        <w:tc>
          <w:tcPr>
            <w:tcW w:w="2100" w:type="dxa"/>
            <w:shd w:val="clear" w:fill="FFFFFF"/>
            <w:vAlign w:val="center"/>
          </w:tcPr>
          <w:p>
            <w:pPr>
              <w:pStyle w:val="TableText"/>
            </w:pPr>
            <w:r>
              <w:rPr>
                <w:color w:val="243D4C"/>
              </w:rPr>
              <w:t xml:space="preserve">Branch and service summaries.</w:t>
            </w:r>
          </w:p>
        </w:tc>
        <w:tc>
          <w:tcPr>
            <w:tcW w:w="4050" w:type="dxa"/>
            <w:shd w:val="clear" w:fill="FFFFFF"/>
            <w:vAlign w:val="center"/>
          </w:tcPr>
          <w:p>
            <w:pPr>
              <w:pStyle w:val="TableText"/>
            </w:pPr>
            <w:r>
              <w:rPr>
                <w:color w:val="243D4C"/>
              </w:rPr>
              <w:t xml:space="preserve">Validate reconciliation totals; replace both reporting tables in one transaction and set refreshed_at. Any error rolls back the replacement.</w:t>
            </w:r>
          </w:p>
        </w:tc>
        <w:tc>
          <w:tcPr>
            <w:tcW w:w="2440" w:type="dxa"/>
            <w:shd w:val="clear" w:fill="FFFFFF"/>
            <w:vAlign w:val="center"/>
          </w:tcPr>
          <w:p>
            <w:pPr>
              <w:pStyle w:val="TableText"/>
            </w:pPr>
            <w:r>
              <w:rPr>
                <w:color w:val="243D4C"/>
              </w:rPr>
              <w:t xml:space="preserve">Published reporting summary tables.</w:t>
            </w:r>
          </w:p>
        </w:tc>
      </w:tr>
      <w:tr>
        <w:trPr>
          <w:cantSplit/>
        </w:trPr>
        <w:tc>
          <w:tcPr>
            <w:tcW w:w="1300" w:type="dxa"/>
            <w:shd w:val="clear" w:fill="F2F7FA"/>
            <w:vAlign w:val="center"/>
          </w:tcPr>
          <w:p>
            <w:pPr>
              <w:pStyle w:val="TableText"/>
            </w:pPr>
            <w:r>
              <w:rPr>
                <w:color w:val="243D4C"/>
              </w:rPr>
              <w:t xml:space="preserve">6. Use</w:t>
            </w:r>
          </w:p>
        </w:tc>
        <w:tc>
          <w:tcPr>
            <w:tcW w:w="2100" w:type="dxa"/>
            <w:shd w:val="clear" w:fill="F2F7FA"/>
            <w:vAlign w:val="center"/>
          </w:tcPr>
          <w:p>
            <w:pPr>
              <w:pStyle w:val="TableText"/>
            </w:pPr>
            <w:r>
              <w:rPr>
                <w:color w:val="243D4C"/>
              </w:rPr>
              <w:t xml:space="preserve">Last successful summaries.</w:t>
            </w:r>
          </w:p>
        </w:tc>
        <w:tc>
          <w:tcPr>
            <w:tcW w:w="4050" w:type="dxa"/>
            <w:shd w:val="clear" w:fill="F2F7FA"/>
            <w:vAlign w:val="center"/>
          </w:tcPr>
          <w:p>
            <w:pPr>
              <w:pStyle w:val="TableText"/>
            </w:pPr>
            <w:r>
              <w:rPr>
                <w:color w:val="243D4C"/>
              </w:rPr>
              <w:t xml:space="preserve">Backend reads by date, branch, or service for dashboards/reports. Show the refresh timestamp; fill missing chart dates with zero.</w:t>
            </w:r>
          </w:p>
        </w:tc>
        <w:tc>
          <w:tcPr>
            <w:tcW w:w="2440" w:type="dxa"/>
            <w:shd w:val="clear" w:fill="F2F7FA"/>
            <w:vAlign w:val="center"/>
          </w:tcPr>
          <w:p>
            <w:pPr>
              <w:pStyle w:val="TableText"/>
            </w:pPr>
            <w:r>
              <w:rPr>
                <w:color w:val="243D4C"/>
              </w:rPr>
              <w:t xml:space="preserve">Consistent historical report data.</w:t>
            </w:r>
          </w:p>
        </w:tc>
      </w:tr>
    </w:tbl>
    <w:p>
      <w:pPr>
        <w:pStyle w:val="AfterTable"/>
      </w:pPr>
      <w:r>
        <w:rPr/>
        <w:t xml:space="preserve"/>
      </w:r>
    </w:p>
    <w:p>
      <w:pPr>
        <w:pStyle w:val="Small"/>
      </w:pPr>
      <w:r>
        <w:rPr/>
        <w:t xml:space="preserve">A duplicate order ID or an unresolved non-null branch/service reference stops the batch. Customer references rely on the source foreign key. A missing branch is an error; a genuinely null service or customer ID is handled using the rules in Section 5.</w:t>
      </w:r>
    </w:p>
    <w:p>
      <w:pPr>
        <w:pStyle w:val="Heading1"/>
        <w:pageBreakBefore/>
      </w:pPr>
      <w:r>
        <w:rPr/>
        <w:t xml:space="preserve">5. Schema Metadata</w:t>
      </w:r>
    </w:p>
    <w:p>
      <w:pPr>
        <w:pStyle w:val="Heading2"/>
      </w:pPr>
      <w:r>
        <w:rPr/>
        <w:t xml:space="preserve">5.1 Operational source tables — selected columns</w:t>
      </w:r>
    </w:p>
    <w:p>
      <w:pPr>
        <w:pStyle w:val="Small"/>
      </w:pPr>
      <w:r>
        <w:rPr/>
        <w:t xml:space="preserve">Only fields used by this pipeline are listed. PK means primary key; FK means foreign key. These definitions come from the repository’s schema and migrations, not a live-database inspection. The three branches share these tables.</w:t>
      </w:r>
    </w:p>
    <w:p>
      <w:pPr>
        <w:pStyle w:val="Caption"/>
      </w:pPr>
      <w:r>
        <w:rPr/>
        <w:t xml:space="preserve">Table 3. public.orders — one row per laundry order.</w:t>
      </w:r>
    </w:p>
    <w:tbl>
      <w:tblPr>
        <w:tblW w:w="9890" w:type="dxa"/>
        <w:tblLayout w:type="fixed"/>
        <w:tblBorders>
          <w:top w:val="single" w:sz="4" w:color="D5E1E8"/>
          <w:left w:val="single" w:sz="4" w:color="D5E1E8"/>
          <w:bottom w:val="single" w:sz="4" w:color="D5E1E8"/>
          <w:right w:val="single" w:sz="4" w:color="D5E1E8"/>
          <w:insideH w:val="single" w:sz="4" w:color="D5E1E8"/>
          <w:insideV w:val="single" w:sz="4" w:color="D5E1E8"/>
        </w:tblBorders>
        <w:tblCellMar>
          <w:top w:w="80" w:type="dxa"/>
          <w:left w:w="110" w:type="dxa"/>
          <w:bottom w:w="80" w:type="dxa"/>
          <w:right w:w="110" w:type="dxa"/>
        </w:tblCellMar>
      </w:tblPr>
      <w:tblGrid>
        <w:gridCol w:w="2500"/>
        <w:gridCol w:w="1700"/>
        <w:gridCol w:w="5690"/>
      </w:tblGrid>
      <w:tr>
        <w:trPr>
          <w:cantSplit/>
          <w:tblHeader/>
        </w:trPr>
        <w:tc>
          <w:tcPr>
            <w:tcW w:w="2500" w:type="dxa"/>
            <w:shd w:val="clear" w:fill="163A50"/>
            <w:vAlign w:val="center"/>
          </w:tcPr>
          <w:p>
            <w:pPr>
              <w:pStyle w:val="TableText"/>
              <w:keepNext/>
            </w:pPr>
            <w:r>
              <w:rPr>
                <w:b/>
                <w:color w:val="FFFFFF"/>
              </w:rPr>
              <w:t xml:space="preserve">Column</w:t>
            </w:r>
          </w:p>
        </w:tc>
        <w:tc>
          <w:tcPr>
            <w:tcW w:w="1700" w:type="dxa"/>
            <w:shd w:val="clear" w:fill="163A50"/>
            <w:vAlign w:val="center"/>
          </w:tcPr>
          <w:p>
            <w:pPr>
              <w:pStyle w:val="TableText"/>
              <w:keepNext/>
            </w:pPr>
            <w:r>
              <w:rPr>
                <w:b/>
                <w:color w:val="FFFFFF"/>
              </w:rPr>
              <w:t xml:space="preserve">Data type</w:t>
            </w:r>
          </w:p>
        </w:tc>
        <w:tc>
          <w:tcPr>
            <w:tcW w:w="5690" w:type="dxa"/>
            <w:shd w:val="clear" w:fill="163A50"/>
            <w:vAlign w:val="center"/>
          </w:tcPr>
          <w:p>
            <w:pPr>
              <w:pStyle w:val="TableText"/>
              <w:keepNext/>
            </w:pPr>
            <w:r>
              <w:rPr>
                <w:b/>
                <w:color w:val="FFFFFF"/>
              </w:rPr>
              <w:t xml:space="preserve">Key / meaning</w:t>
            </w:r>
          </w:p>
        </w:tc>
      </w:tr>
      <w:tr>
        <w:trPr>
          <w:cantSplit/>
        </w:trPr>
        <w:tc>
          <w:tcPr>
            <w:tcW w:w="2500" w:type="dxa"/>
            <w:shd w:val="clear" w:fill="FFFFFF"/>
            <w:vAlign w:val="center"/>
          </w:tcPr>
          <w:p>
            <w:pPr>
              <w:pStyle w:val="TableText"/>
            </w:pPr>
            <w:r>
              <w:rPr>
                <w:color w:val="243D4C"/>
              </w:rPr>
              <w:t xml:space="preserve">id</w:t>
            </w:r>
          </w:p>
        </w:tc>
        <w:tc>
          <w:tcPr>
            <w:tcW w:w="1700" w:type="dxa"/>
            <w:shd w:val="clear" w:fill="FFFFFF"/>
            <w:vAlign w:val="center"/>
          </w:tcPr>
          <w:p>
            <w:pPr>
              <w:pStyle w:val="TableText"/>
            </w:pPr>
            <w:r>
              <w:rPr>
                <w:color w:val="243D4C"/>
              </w:rPr>
              <w:t xml:space="preserve">UUID</w:t>
            </w:r>
          </w:p>
        </w:tc>
        <w:tc>
          <w:tcPr>
            <w:tcW w:w="5690" w:type="dxa"/>
            <w:shd w:val="clear" w:fill="FFFFFF"/>
            <w:vAlign w:val="center"/>
          </w:tcPr>
          <w:p>
            <w:pPr>
              <w:pStyle w:val="TableText"/>
            </w:pPr>
            <w:r>
              <w:rPr>
                <w:color w:val="243D4C"/>
              </w:rPr>
              <w:t xml:space="preserve">PK; stable order identifier and staging uniqueness key.</w:t>
            </w:r>
          </w:p>
        </w:tc>
      </w:tr>
      <w:tr>
        <w:trPr>
          <w:cantSplit/>
        </w:trPr>
        <w:tc>
          <w:tcPr>
            <w:tcW w:w="2500" w:type="dxa"/>
            <w:shd w:val="clear" w:fill="F2F7FA"/>
            <w:vAlign w:val="center"/>
          </w:tcPr>
          <w:p>
            <w:pPr>
              <w:pStyle w:val="TableText"/>
            </w:pPr>
            <w:r>
              <w:rPr>
                <w:color w:val="243D4C"/>
              </w:rPr>
              <w:t xml:space="preserve">branch_id</w:t>
            </w:r>
          </w:p>
        </w:tc>
        <w:tc>
          <w:tcPr>
            <w:tcW w:w="1700" w:type="dxa"/>
            <w:shd w:val="clear" w:fill="F2F7FA"/>
            <w:vAlign w:val="center"/>
          </w:tcPr>
          <w:p>
            <w:pPr>
              <w:pStyle w:val="TableText"/>
            </w:pPr>
            <w:r>
              <w:rPr>
                <w:color w:val="243D4C"/>
              </w:rPr>
              <w:t xml:space="preserve">UUID</w:t>
            </w:r>
          </w:p>
        </w:tc>
        <w:tc>
          <w:tcPr>
            <w:tcW w:w="5690" w:type="dxa"/>
            <w:shd w:val="clear" w:fill="F2F7FA"/>
            <w:vAlign w:val="center"/>
          </w:tcPr>
          <w:p>
            <w:pPr>
              <w:pStyle w:val="TableText"/>
            </w:pPr>
            <w:r>
              <w:rPr>
                <w:color w:val="243D4C"/>
              </w:rPr>
              <w:t xml:space="preserve">Nullable FK → public.branches.id; must resolve for reporting.</w:t>
            </w:r>
          </w:p>
        </w:tc>
      </w:tr>
      <w:tr>
        <w:trPr>
          <w:cantSplit/>
        </w:trPr>
        <w:tc>
          <w:tcPr>
            <w:tcW w:w="2500" w:type="dxa"/>
            <w:shd w:val="clear" w:fill="FFFFFF"/>
            <w:vAlign w:val="center"/>
          </w:tcPr>
          <w:p>
            <w:pPr>
              <w:pStyle w:val="TableText"/>
            </w:pPr>
            <w:r>
              <w:rPr>
                <w:color w:val="243D4C"/>
              </w:rPr>
              <w:t xml:space="preserve">customer_id</w:t>
            </w:r>
          </w:p>
        </w:tc>
        <w:tc>
          <w:tcPr>
            <w:tcW w:w="1700" w:type="dxa"/>
            <w:shd w:val="clear" w:fill="FFFFFF"/>
            <w:vAlign w:val="center"/>
          </w:tcPr>
          <w:p>
            <w:pPr>
              <w:pStyle w:val="TableText"/>
            </w:pPr>
            <w:r>
              <w:rPr>
                <w:color w:val="243D4C"/>
              </w:rPr>
              <w:t xml:space="preserve">UUID</w:t>
            </w:r>
          </w:p>
        </w:tc>
        <w:tc>
          <w:tcPr>
            <w:tcW w:w="5690" w:type="dxa"/>
            <w:shd w:val="clear" w:fill="FFFFFF"/>
            <w:vAlign w:val="center"/>
          </w:tcPr>
          <w:p>
            <w:pPr>
              <w:pStyle w:val="TableText"/>
            </w:pPr>
            <w:r>
              <w:rPr>
                <w:color w:val="243D4C"/>
              </w:rPr>
              <w:t xml:space="preserve">Nullable FK → public.customers.id; used for distinct-customer counts.</w:t>
            </w:r>
          </w:p>
        </w:tc>
      </w:tr>
      <w:tr>
        <w:trPr>
          <w:cantSplit/>
        </w:trPr>
        <w:tc>
          <w:tcPr>
            <w:tcW w:w="2500" w:type="dxa"/>
            <w:shd w:val="clear" w:fill="F2F7FA"/>
            <w:vAlign w:val="center"/>
          </w:tcPr>
          <w:p>
            <w:pPr>
              <w:pStyle w:val="TableText"/>
            </w:pPr>
            <w:r>
              <w:rPr>
                <w:color w:val="243D4C"/>
              </w:rPr>
              <w:t xml:space="preserve">service_type_id</w:t>
            </w:r>
          </w:p>
        </w:tc>
        <w:tc>
          <w:tcPr>
            <w:tcW w:w="1700" w:type="dxa"/>
            <w:shd w:val="clear" w:fill="F2F7FA"/>
            <w:vAlign w:val="center"/>
          </w:tcPr>
          <w:p>
            <w:pPr>
              <w:pStyle w:val="TableText"/>
            </w:pPr>
            <w:r>
              <w:rPr>
                <w:color w:val="243D4C"/>
              </w:rPr>
              <w:t xml:space="preserve">UUID</w:t>
            </w:r>
          </w:p>
        </w:tc>
        <w:tc>
          <w:tcPr>
            <w:tcW w:w="5690" w:type="dxa"/>
            <w:shd w:val="clear" w:fill="F2F7FA"/>
            <w:vAlign w:val="center"/>
          </w:tcPr>
          <w:p>
            <w:pPr>
              <w:pStyle w:val="TableText"/>
            </w:pPr>
            <w:r>
              <w:rPr>
                <w:color w:val="243D4C"/>
              </w:rPr>
              <w:t xml:space="preserve">Nullable FK → public.service_types.id; null means Unspecified.</w:t>
            </w:r>
          </w:p>
        </w:tc>
      </w:tr>
      <w:tr>
        <w:trPr>
          <w:cantSplit/>
        </w:trPr>
        <w:tc>
          <w:tcPr>
            <w:tcW w:w="2500" w:type="dxa"/>
            <w:shd w:val="clear" w:fill="FFFFFF"/>
            <w:vAlign w:val="center"/>
          </w:tcPr>
          <w:p>
            <w:pPr>
              <w:pStyle w:val="TableText"/>
            </w:pPr>
            <w:r>
              <w:rPr>
                <w:color w:val="243D4C"/>
              </w:rPr>
              <w:t xml:space="preserve">created_at</w:t>
            </w:r>
          </w:p>
        </w:tc>
        <w:tc>
          <w:tcPr>
            <w:tcW w:w="1700" w:type="dxa"/>
            <w:shd w:val="clear" w:fill="FFFFFF"/>
            <w:vAlign w:val="center"/>
          </w:tcPr>
          <w:p>
            <w:pPr>
              <w:pStyle w:val="TableText"/>
            </w:pPr>
            <w:r>
              <w:rPr>
                <w:color w:val="243D4C"/>
              </w:rPr>
              <w:t xml:space="preserve">TIMESTAMPTZ</w:t>
            </w:r>
          </w:p>
        </w:tc>
        <w:tc>
          <w:tcPr>
            <w:tcW w:w="5690" w:type="dxa"/>
            <w:shd w:val="clear" w:fill="FFFFFF"/>
            <w:vAlign w:val="center"/>
          </w:tcPr>
          <w:p>
            <w:pPr>
              <w:pStyle w:val="TableText"/>
            </w:pPr>
            <w:r>
              <w:rPr>
                <w:color w:val="243D4C"/>
              </w:rPr>
              <w:t xml:space="preserve">Source creation timestamp; required to derive the report date.</w:t>
            </w:r>
          </w:p>
        </w:tc>
      </w:tr>
      <w:tr>
        <w:trPr>
          <w:cantSplit/>
        </w:trPr>
        <w:tc>
          <w:tcPr>
            <w:tcW w:w="2500" w:type="dxa"/>
            <w:shd w:val="clear" w:fill="F2F7FA"/>
            <w:vAlign w:val="center"/>
          </w:tcPr>
          <w:p>
            <w:pPr>
              <w:pStyle w:val="TableText"/>
            </w:pPr>
            <w:r>
              <w:rPr>
                <w:color w:val="243D4C"/>
              </w:rPr>
              <w:t xml:space="preserve">status</w:t>
            </w:r>
          </w:p>
        </w:tc>
        <w:tc>
          <w:tcPr>
            <w:tcW w:w="1700" w:type="dxa"/>
            <w:shd w:val="clear" w:fill="F2F7FA"/>
            <w:vAlign w:val="center"/>
          </w:tcPr>
          <w:p>
            <w:pPr>
              <w:pStyle w:val="TableText"/>
            </w:pPr>
            <w:r>
              <w:rPr>
                <w:color w:val="243D4C"/>
              </w:rPr>
              <w:t xml:space="preserve">TEXT</w:t>
            </w:r>
          </w:p>
        </w:tc>
        <w:tc>
          <w:tcPr>
            <w:tcW w:w="5690" w:type="dxa"/>
            <w:shd w:val="clear" w:fill="F2F7FA"/>
            <w:vAlign w:val="center"/>
          </w:tcPr>
          <w:p>
            <w:pPr>
              <w:pStyle w:val="TableText"/>
            </w:pPr>
            <w:r>
              <w:rPr>
                <w:color w:val="243D4C"/>
              </w:rPr>
              <w:t xml:space="preserve">Order state: received, on_process, ready, released, or cancelled.</w:t>
            </w:r>
          </w:p>
        </w:tc>
      </w:tr>
      <w:tr>
        <w:trPr>
          <w:cantSplit/>
        </w:trPr>
        <w:tc>
          <w:tcPr>
            <w:tcW w:w="2500" w:type="dxa"/>
            <w:shd w:val="clear" w:fill="FFFFFF"/>
            <w:vAlign w:val="center"/>
          </w:tcPr>
          <w:p>
            <w:pPr>
              <w:pStyle w:val="TableText"/>
            </w:pPr>
            <w:r>
              <w:rPr>
                <w:color w:val="243D4C"/>
              </w:rPr>
              <w:t xml:space="preserve">payment_status</w:t>
            </w:r>
          </w:p>
        </w:tc>
        <w:tc>
          <w:tcPr>
            <w:tcW w:w="1700" w:type="dxa"/>
            <w:shd w:val="clear" w:fill="FFFFFF"/>
            <w:vAlign w:val="center"/>
          </w:tcPr>
          <w:p>
            <w:pPr>
              <w:pStyle w:val="TableText"/>
            </w:pPr>
            <w:r>
              <w:rPr>
                <w:color w:val="243D4C"/>
              </w:rPr>
              <w:t xml:space="preserve">TEXT</w:t>
            </w:r>
          </w:p>
        </w:tc>
        <w:tc>
          <w:tcPr>
            <w:tcW w:w="5690" w:type="dxa"/>
            <w:shd w:val="clear" w:fill="FFFFFF"/>
            <w:vAlign w:val="center"/>
          </w:tcPr>
          <w:p>
            <w:pPr>
              <w:pStyle w:val="TableText"/>
            </w:pPr>
            <w:r>
              <w:rPr>
                <w:color w:val="243D4C"/>
              </w:rPr>
              <w:t xml:space="preserve">Payment state: unpaid, partial, or paid.</w:t>
            </w:r>
          </w:p>
        </w:tc>
      </w:tr>
      <w:tr>
        <w:trPr>
          <w:cantSplit/>
        </w:trPr>
        <w:tc>
          <w:tcPr>
            <w:tcW w:w="2500" w:type="dxa"/>
            <w:shd w:val="clear" w:fill="F2F7FA"/>
            <w:vAlign w:val="center"/>
          </w:tcPr>
          <w:p>
            <w:pPr>
              <w:pStyle w:val="TableText"/>
            </w:pPr>
            <w:r>
              <w:rPr>
                <w:color w:val="243D4C"/>
              </w:rPr>
              <w:t xml:space="preserve">weight_kg</w:t>
            </w:r>
          </w:p>
        </w:tc>
        <w:tc>
          <w:tcPr>
            <w:tcW w:w="1700" w:type="dxa"/>
            <w:shd w:val="clear" w:fill="F2F7FA"/>
            <w:vAlign w:val="center"/>
          </w:tcPr>
          <w:p>
            <w:pPr>
              <w:pStyle w:val="TableText"/>
            </w:pPr>
            <w:r>
              <w:rPr>
                <w:color w:val="243D4C"/>
              </w:rPr>
              <w:t xml:space="preserve">NUMERIC(10,2)</w:t>
            </w:r>
          </w:p>
        </w:tc>
        <w:tc>
          <w:tcPr>
            <w:tcW w:w="5690" w:type="dxa"/>
            <w:shd w:val="clear" w:fill="F2F7FA"/>
            <w:vAlign w:val="center"/>
          </w:tcPr>
          <w:p>
            <w:pPr>
              <w:pStyle w:val="TableText"/>
            </w:pPr>
            <w:r>
              <w:rPr>
                <w:color w:val="243D4C"/>
              </w:rPr>
              <w:t xml:space="preserve">Recorded order weight; nonnegative.</w:t>
            </w:r>
          </w:p>
        </w:tc>
      </w:tr>
      <w:tr>
        <w:trPr>
          <w:cantSplit/>
        </w:trPr>
        <w:tc>
          <w:tcPr>
            <w:tcW w:w="2500" w:type="dxa"/>
            <w:shd w:val="clear" w:fill="FFFFFF"/>
            <w:vAlign w:val="center"/>
          </w:tcPr>
          <w:p>
            <w:pPr>
              <w:pStyle w:val="TableText"/>
            </w:pPr>
            <w:r>
              <w:rPr>
                <w:color w:val="243D4C"/>
              </w:rPr>
              <w:t xml:space="preserve">total_price</w:t>
            </w:r>
          </w:p>
        </w:tc>
        <w:tc>
          <w:tcPr>
            <w:tcW w:w="1700" w:type="dxa"/>
            <w:shd w:val="clear" w:fill="FFFFFF"/>
            <w:vAlign w:val="center"/>
          </w:tcPr>
          <w:p>
            <w:pPr>
              <w:pStyle w:val="TableText"/>
            </w:pPr>
            <w:r>
              <w:rPr>
                <w:color w:val="243D4C"/>
              </w:rPr>
              <w:t xml:space="preserve">NUMERIC(10,2)</w:t>
            </w:r>
          </w:p>
        </w:tc>
        <w:tc>
          <w:tcPr>
            <w:tcW w:w="5690" w:type="dxa"/>
            <w:shd w:val="clear" w:fill="FFFFFF"/>
            <w:vAlign w:val="center"/>
          </w:tcPr>
          <w:p>
            <w:pPr>
              <w:pStyle w:val="TableText"/>
            </w:pPr>
            <w:r>
              <w:rPr>
                <w:color w:val="243D4C"/>
              </w:rPr>
              <w:t xml:space="preserve">Final order value after any applied loyalty discount.</w:t>
            </w:r>
          </w:p>
        </w:tc>
      </w:tr>
      <w:tr>
        <w:trPr>
          <w:cantSplit/>
        </w:trPr>
        <w:tc>
          <w:tcPr>
            <w:tcW w:w="2500" w:type="dxa"/>
            <w:shd w:val="clear" w:fill="F2F7FA"/>
            <w:vAlign w:val="center"/>
          </w:tcPr>
          <w:p>
            <w:pPr>
              <w:pStyle w:val="TableText"/>
            </w:pPr>
            <w:r>
              <w:rPr>
                <w:color w:val="243D4C"/>
              </w:rPr>
              <w:t xml:space="preserve">amount_paid</w:t>
            </w:r>
          </w:p>
        </w:tc>
        <w:tc>
          <w:tcPr>
            <w:tcW w:w="1700" w:type="dxa"/>
            <w:shd w:val="clear" w:fill="F2F7FA"/>
            <w:vAlign w:val="center"/>
          </w:tcPr>
          <w:p>
            <w:pPr>
              <w:pStyle w:val="TableText"/>
            </w:pPr>
            <w:r>
              <w:rPr>
                <w:color w:val="243D4C"/>
              </w:rPr>
              <w:t xml:space="preserve">NUMERIC(10,2)</w:t>
            </w:r>
          </w:p>
        </w:tc>
        <w:tc>
          <w:tcPr>
            <w:tcW w:w="5690" w:type="dxa"/>
            <w:shd w:val="clear" w:fill="F2F7FA"/>
            <w:vAlign w:val="center"/>
          </w:tcPr>
          <w:p>
            <w:pPr>
              <w:pStyle w:val="TableText"/>
            </w:pPr>
            <w:r>
              <w:rPr>
                <w:color w:val="243D4C"/>
              </w:rPr>
              <w:t xml:space="preserve">Cumulative recorded payment for the order; normally NOT NULL.</w:t>
            </w:r>
          </w:p>
        </w:tc>
      </w:tr>
    </w:tbl>
    <w:p>
      <w:pPr>
        <w:pStyle w:val="AfterTable"/>
      </w:pPr>
      <w:r>
        <w:rPr/>
        <w:t xml:space="preserve"/>
      </w:r>
    </w:p>
    <w:p>
      <w:pPr>
        <w:pStyle w:val="Caption"/>
      </w:pPr>
      <w:r>
        <w:rPr/>
        <w:t xml:space="preserve">Table 4. Reference tables — fields used for joins and labels.</w:t>
      </w:r>
    </w:p>
    <w:tbl>
      <w:tblPr>
        <w:tblW w:w="9890" w:type="dxa"/>
        <w:tblLayout w:type="fixed"/>
        <w:tblBorders>
          <w:top w:val="single" w:sz="4" w:color="D5E1E8"/>
          <w:left w:val="single" w:sz="4" w:color="D5E1E8"/>
          <w:bottom w:val="single" w:sz="4" w:color="D5E1E8"/>
          <w:right w:val="single" w:sz="4" w:color="D5E1E8"/>
          <w:insideH w:val="single" w:sz="4" w:color="D5E1E8"/>
          <w:insideV w:val="single" w:sz="4" w:color="D5E1E8"/>
        </w:tblBorders>
        <w:tblCellMar>
          <w:top w:w="80" w:type="dxa"/>
          <w:left w:w="110" w:type="dxa"/>
          <w:bottom w:w="80" w:type="dxa"/>
          <w:right w:w="110" w:type="dxa"/>
        </w:tblCellMar>
      </w:tblPr>
      <w:tblGrid>
        <w:gridCol w:w="3150"/>
        <w:gridCol w:w="1500"/>
        <w:gridCol w:w="5240"/>
      </w:tblGrid>
      <w:tr>
        <w:trPr>
          <w:cantSplit/>
          <w:tblHeader/>
        </w:trPr>
        <w:tc>
          <w:tcPr>
            <w:tcW w:w="3150" w:type="dxa"/>
            <w:shd w:val="clear" w:fill="163A50"/>
            <w:vAlign w:val="center"/>
          </w:tcPr>
          <w:p>
            <w:pPr>
              <w:pStyle w:val="TableText"/>
              <w:keepNext/>
            </w:pPr>
            <w:r>
              <w:rPr>
                <w:b/>
                <w:color w:val="FFFFFF"/>
              </w:rPr>
              <w:t xml:space="preserve">Table / column</w:t>
            </w:r>
          </w:p>
        </w:tc>
        <w:tc>
          <w:tcPr>
            <w:tcW w:w="1500" w:type="dxa"/>
            <w:shd w:val="clear" w:fill="163A50"/>
            <w:vAlign w:val="center"/>
          </w:tcPr>
          <w:p>
            <w:pPr>
              <w:pStyle w:val="TableText"/>
              <w:keepNext/>
            </w:pPr>
            <w:r>
              <w:rPr>
                <w:b/>
                <w:color w:val="FFFFFF"/>
              </w:rPr>
              <w:t xml:space="preserve">Data type</w:t>
            </w:r>
          </w:p>
        </w:tc>
        <w:tc>
          <w:tcPr>
            <w:tcW w:w="5240" w:type="dxa"/>
            <w:shd w:val="clear" w:fill="163A50"/>
            <w:vAlign w:val="center"/>
          </w:tcPr>
          <w:p>
            <w:pPr>
              <w:pStyle w:val="TableText"/>
              <w:keepNext/>
            </w:pPr>
            <w:r>
              <w:rPr>
                <w:b/>
                <w:color w:val="FFFFFF"/>
              </w:rPr>
              <w:t xml:space="preserve">Key / meaning</w:t>
            </w:r>
          </w:p>
        </w:tc>
      </w:tr>
      <w:tr>
        <w:trPr>
          <w:cantSplit/>
        </w:trPr>
        <w:tc>
          <w:tcPr>
            <w:tcW w:w="3150" w:type="dxa"/>
            <w:shd w:val="clear" w:fill="FFFFFF"/>
            <w:vAlign w:val="center"/>
          </w:tcPr>
          <w:p>
            <w:pPr>
              <w:pStyle w:val="TableText"/>
            </w:pPr>
            <w:r>
              <w:rPr>
                <w:color w:val="243D4C"/>
              </w:rPr>
              <w:t xml:space="preserve">public.branches.id</w:t>
            </w:r>
          </w:p>
        </w:tc>
        <w:tc>
          <w:tcPr>
            <w:tcW w:w="1500" w:type="dxa"/>
            <w:shd w:val="clear" w:fill="FFFFFF"/>
            <w:vAlign w:val="center"/>
          </w:tcPr>
          <w:p>
            <w:pPr>
              <w:pStyle w:val="TableText"/>
            </w:pPr>
            <w:r>
              <w:rPr>
                <w:color w:val="243D4C"/>
              </w:rPr>
              <w:t xml:space="preserve">UUID</w:t>
            </w:r>
          </w:p>
        </w:tc>
        <w:tc>
          <w:tcPr>
            <w:tcW w:w="5240" w:type="dxa"/>
            <w:shd w:val="clear" w:fill="FFFFFF"/>
            <w:vAlign w:val="center"/>
          </w:tcPr>
          <w:p>
            <w:pPr>
              <w:pStyle w:val="TableText"/>
            </w:pPr>
            <w:r>
              <w:rPr>
                <w:color w:val="243D4C"/>
              </w:rPr>
              <w:t xml:space="preserve">PK in declared schema; uniquely identifies a branch.</w:t>
            </w:r>
          </w:p>
        </w:tc>
      </w:tr>
      <w:tr>
        <w:trPr>
          <w:cantSplit/>
        </w:trPr>
        <w:tc>
          <w:tcPr>
            <w:tcW w:w="3150" w:type="dxa"/>
            <w:shd w:val="clear" w:fill="F2F7FA"/>
            <w:vAlign w:val="center"/>
          </w:tcPr>
          <w:p>
            <w:pPr>
              <w:pStyle w:val="TableText"/>
            </w:pPr>
            <w:r>
              <w:rPr>
                <w:color w:val="243D4C"/>
              </w:rPr>
              <w:t xml:space="preserve">public.branches.name</w:t>
            </w:r>
          </w:p>
        </w:tc>
        <w:tc>
          <w:tcPr>
            <w:tcW w:w="1500" w:type="dxa"/>
            <w:shd w:val="clear" w:fill="F2F7FA"/>
            <w:vAlign w:val="center"/>
          </w:tcPr>
          <w:p>
            <w:pPr>
              <w:pStyle w:val="TableText"/>
            </w:pPr>
            <w:r>
              <w:rPr>
                <w:color w:val="243D4C"/>
              </w:rPr>
              <w:t xml:space="preserve">TEXT</w:t>
            </w:r>
          </w:p>
        </w:tc>
        <w:tc>
          <w:tcPr>
            <w:tcW w:w="5240" w:type="dxa"/>
            <w:shd w:val="clear" w:fill="F2F7FA"/>
            <w:vAlign w:val="center"/>
          </w:tcPr>
          <w:p>
            <w:pPr>
              <w:pStyle w:val="TableText"/>
            </w:pPr>
            <w:r>
              <w:rPr>
                <w:color w:val="243D4C"/>
              </w:rPr>
              <w:t xml:space="preserve">Branch label; declared NOT NULL and unique.</w:t>
            </w:r>
          </w:p>
        </w:tc>
      </w:tr>
      <w:tr>
        <w:trPr>
          <w:cantSplit/>
        </w:trPr>
        <w:tc>
          <w:tcPr>
            <w:tcW w:w="3150" w:type="dxa"/>
            <w:shd w:val="clear" w:fill="FFFFFF"/>
            <w:vAlign w:val="center"/>
          </w:tcPr>
          <w:p>
            <w:pPr>
              <w:pStyle w:val="TableText"/>
            </w:pPr>
            <w:r>
              <w:rPr>
                <w:color w:val="243D4C"/>
              </w:rPr>
              <w:t xml:space="preserve">public.branches.code</w:t>
            </w:r>
          </w:p>
        </w:tc>
        <w:tc>
          <w:tcPr>
            <w:tcW w:w="1500" w:type="dxa"/>
            <w:shd w:val="clear" w:fill="FFFFFF"/>
            <w:vAlign w:val="center"/>
          </w:tcPr>
          <w:p>
            <w:pPr>
              <w:pStyle w:val="TableText"/>
            </w:pPr>
            <w:r>
              <w:rPr>
                <w:color w:val="243D4C"/>
              </w:rPr>
              <w:t xml:space="preserve">TEXT</w:t>
            </w:r>
          </w:p>
        </w:tc>
        <w:tc>
          <w:tcPr>
            <w:tcW w:w="5240" w:type="dxa"/>
            <w:shd w:val="clear" w:fill="FFFFFF"/>
            <w:vAlign w:val="center"/>
          </w:tcPr>
          <w:p>
            <w:pPr>
              <w:pStyle w:val="TableText"/>
            </w:pPr>
            <w:r>
              <w:rPr>
                <w:color w:val="243D4C"/>
              </w:rPr>
              <w:t xml:space="preserve">Unique branch code; may be null.</w:t>
            </w:r>
          </w:p>
        </w:tc>
      </w:tr>
      <w:tr>
        <w:trPr>
          <w:cantSplit/>
        </w:trPr>
        <w:tc>
          <w:tcPr>
            <w:tcW w:w="3150" w:type="dxa"/>
            <w:shd w:val="clear" w:fill="F2F7FA"/>
            <w:vAlign w:val="center"/>
          </w:tcPr>
          <w:p>
            <w:pPr>
              <w:pStyle w:val="TableText"/>
            </w:pPr>
            <w:r>
              <w:rPr>
                <w:color w:val="243D4C"/>
              </w:rPr>
              <w:t xml:space="preserve">public.service_types.id</w:t>
            </w:r>
          </w:p>
        </w:tc>
        <w:tc>
          <w:tcPr>
            <w:tcW w:w="1500" w:type="dxa"/>
            <w:shd w:val="clear" w:fill="F2F7FA"/>
            <w:vAlign w:val="center"/>
          </w:tcPr>
          <w:p>
            <w:pPr>
              <w:pStyle w:val="TableText"/>
            </w:pPr>
            <w:r>
              <w:rPr>
                <w:color w:val="243D4C"/>
              </w:rPr>
              <w:t xml:space="preserve">UUID</w:t>
            </w:r>
          </w:p>
        </w:tc>
        <w:tc>
          <w:tcPr>
            <w:tcW w:w="5240" w:type="dxa"/>
            <w:shd w:val="clear" w:fill="F2F7FA"/>
            <w:vAlign w:val="center"/>
          </w:tcPr>
          <w:p>
            <w:pPr>
              <w:pStyle w:val="TableText"/>
            </w:pPr>
            <w:r>
              <w:rPr>
                <w:color w:val="243D4C"/>
              </w:rPr>
              <w:t xml:space="preserve">PK; identifies a recorded service category.</w:t>
            </w:r>
          </w:p>
        </w:tc>
      </w:tr>
      <w:tr>
        <w:trPr>
          <w:cantSplit/>
        </w:trPr>
        <w:tc>
          <w:tcPr>
            <w:tcW w:w="3150" w:type="dxa"/>
            <w:shd w:val="clear" w:fill="FFFFFF"/>
            <w:vAlign w:val="center"/>
          </w:tcPr>
          <w:p>
            <w:pPr>
              <w:pStyle w:val="TableText"/>
            </w:pPr>
            <w:r>
              <w:rPr>
                <w:color w:val="243D4C"/>
              </w:rPr>
              <w:t xml:space="preserve">public.service_types.name</w:t>
            </w:r>
          </w:p>
        </w:tc>
        <w:tc>
          <w:tcPr>
            <w:tcW w:w="1500" w:type="dxa"/>
            <w:shd w:val="clear" w:fill="FFFFFF"/>
            <w:vAlign w:val="center"/>
          </w:tcPr>
          <w:p>
            <w:pPr>
              <w:pStyle w:val="TableText"/>
            </w:pPr>
            <w:r>
              <w:rPr>
                <w:color w:val="243D4C"/>
              </w:rPr>
              <w:t xml:space="preserve">TEXT</w:t>
            </w:r>
          </w:p>
        </w:tc>
        <w:tc>
          <w:tcPr>
            <w:tcW w:w="5240" w:type="dxa"/>
            <w:shd w:val="clear" w:fill="FFFFFF"/>
            <w:vAlign w:val="center"/>
          </w:tcPr>
          <w:p>
            <w:pPr>
              <w:pStyle w:val="TableText"/>
            </w:pPr>
            <w:r>
              <w:rPr>
                <w:color w:val="243D4C"/>
              </w:rPr>
              <w:t xml:space="preserve">NOT NULL; service label. Preserve historical lookup records.</w:t>
            </w:r>
          </w:p>
        </w:tc>
      </w:tr>
      <w:tr>
        <w:trPr>
          <w:cantSplit/>
        </w:trPr>
        <w:tc>
          <w:tcPr>
            <w:tcW w:w="3150" w:type="dxa"/>
            <w:shd w:val="clear" w:fill="F2F7FA"/>
            <w:vAlign w:val="center"/>
          </w:tcPr>
          <w:p>
            <w:pPr>
              <w:pStyle w:val="TableText"/>
            </w:pPr>
            <w:r>
              <w:rPr>
                <w:color w:val="243D4C"/>
              </w:rPr>
              <w:t xml:space="preserve">public.customers.id</w:t>
            </w:r>
          </w:p>
        </w:tc>
        <w:tc>
          <w:tcPr>
            <w:tcW w:w="1500" w:type="dxa"/>
            <w:shd w:val="clear" w:fill="F2F7FA"/>
            <w:vAlign w:val="center"/>
          </w:tcPr>
          <w:p>
            <w:pPr>
              <w:pStyle w:val="TableText"/>
            </w:pPr>
            <w:r>
              <w:rPr>
                <w:color w:val="243D4C"/>
              </w:rPr>
              <w:t xml:space="preserve">UUID</w:t>
            </w:r>
          </w:p>
        </w:tc>
        <w:tc>
          <w:tcPr>
            <w:tcW w:w="5240" w:type="dxa"/>
            <w:shd w:val="clear" w:fill="F2F7FA"/>
            <w:vAlign w:val="center"/>
          </w:tcPr>
          <w:p>
            <w:pPr>
              <w:pStyle w:val="TableText"/>
            </w:pPr>
            <w:r>
              <w:rPr>
                <w:color w:val="243D4C"/>
              </w:rPr>
              <w:t xml:space="preserve">PK referenced by orders.customer_id. Names, phone numbers, and emails are not needed for these summaries.</w:t>
            </w:r>
          </w:p>
        </w:tc>
      </w:tr>
    </w:tbl>
    <w:p>
      <w:pPr>
        <w:pStyle w:val="AfterTable"/>
      </w:pPr>
      <w:r>
        <w:rPr/>
        <w:t xml:space="preserve"/>
      </w:r>
    </w:p>
    <w:p>
      <w:pPr>
        <w:pStyle w:val="Small"/>
      </w:pPr>
      <w:r>
        <w:rPr/>
        <w:t xml:space="preserve">Temporary stage: pg_temp.etl_orders_stage copies the selected orders columns above, joined to lookup records for key validation, and adds report_date DATE. It enforces one row per order ID and is dropped at transaction end. It is transient working data, not an additional reporting destination.</w:t>
      </w:r>
    </w:p>
    <w:p>
      <w:pPr>
        <w:pStyle w:val="Small"/>
      </w:pPr>
      <w:r>
        <w:rPr/>
        <w:t xml:space="preserve">Source basis: supabase_schema.sql; 20260906_multi_branch_reporting.sql; 20260908_three_stage_order_eta.sql; 20260909_cross_branch_loyalty_program.sql. Existing analytics behavior was checked in frontend/src/pages/Analytics.jsx.</w:t>
      </w:r>
    </w:p>
    <w:p>
      <w:pPr>
        <w:pStyle w:val="Heading2"/>
        <w:pageBreakBefore/>
      </w:pPr>
      <w:r>
        <w:rPr/>
        <w:t xml:space="preserve">5.2 Proposed reporting summary tables</w:t>
      </w:r>
    </w:p>
    <w:p>
      <w:pPr>
        <w:pStyle w:val="Small"/>
      </w:pPr>
      <w:r>
        <w:rPr/>
        <w:t xml:space="preserve">All target columns are NOT NULL unless stated otherwise. No individual customer contact details are stored in these summaries.</w:t>
      </w:r>
    </w:p>
    <w:p>
      <w:pPr>
        <w:pStyle w:val="Caption"/>
      </w:pPr>
      <w:r>
        <w:rPr/>
        <w:t xml:space="preserve">Table 5. analytics.daily_branch_summary — one row per date and branch.</w:t>
      </w:r>
    </w:p>
    <w:tbl>
      <w:tblPr>
        <w:tblW w:w="9890" w:type="dxa"/>
        <w:tblLayout w:type="fixed"/>
        <w:tblBorders>
          <w:top w:val="single" w:sz="4" w:color="D5E1E8"/>
          <w:left w:val="single" w:sz="4" w:color="D5E1E8"/>
          <w:bottom w:val="single" w:sz="4" w:color="D5E1E8"/>
          <w:right w:val="single" w:sz="4" w:color="D5E1E8"/>
          <w:insideH w:val="single" w:sz="4" w:color="D5E1E8"/>
          <w:insideV w:val="single" w:sz="4" w:color="D5E1E8"/>
        </w:tblBorders>
        <w:tblCellMar>
          <w:top w:w="80" w:type="dxa"/>
          <w:left w:w="110" w:type="dxa"/>
          <w:bottom w:w="80" w:type="dxa"/>
          <w:right w:w="110" w:type="dxa"/>
        </w:tblCellMar>
      </w:tblPr>
      <w:tblGrid>
        <w:gridCol w:w="2500"/>
        <w:gridCol w:w="1700"/>
        <w:gridCol w:w="5690"/>
      </w:tblGrid>
      <w:tr>
        <w:trPr>
          <w:cantSplit/>
          <w:tblHeader/>
        </w:trPr>
        <w:tc>
          <w:tcPr>
            <w:tcW w:w="2500" w:type="dxa"/>
            <w:shd w:val="clear" w:fill="163A50"/>
            <w:vAlign w:val="center"/>
          </w:tcPr>
          <w:p>
            <w:pPr>
              <w:pStyle w:val="TableText"/>
              <w:keepNext/>
            </w:pPr>
            <w:r>
              <w:rPr>
                <w:b/>
                <w:color w:val="FFFFFF"/>
              </w:rPr>
              <w:t xml:space="preserve">Column</w:t>
            </w:r>
          </w:p>
        </w:tc>
        <w:tc>
          <w:tcPr>
            <w:tcW w:w="1700" w:type="dxa"/>
            <w:shd w:val="clear" w:fill="163A50"/>
            <w:vAlign w:val="center"/>
          </w:tcPr>
          <w:p>
            <w:pPr>
              <w:pStyle w:val="TableText"/>
              <w:keepNext/>
            </w:pPr>
            <w:r>
              <w:rPr>
                <w:b/>
                <w:color w:val="FFFFFF"/>
              </w:rPr>
              <w:t xml:space="preserve">Data type</w:t>
            </w:r>
          </w:p>
        </w:tc>
        <w:tc>
          <w:tcPr>
            <w:tcW w:w="5690" w:type="dxa"/>
            <w:shd w:val="clear" w:fill="163A50"/>
            <w:vAlign w:val="center"/>
          </w:tcPr>
          <w:p>
            <w:pPr>
              <w:pStyle w:val="TableText"/>
              <w:keepNext/>
            </w:pPr>
            <w:r>
              <w:rPr>
                <w:b/>
                <w:color w:val="FFFFFF"/>
              </w:rPr>
              <w:t xml:space="preserve">Key / calculation</w:t>
            </w:r>
          </w:p>
        </w:tc>
      </w:tr>
      <w:tr>
        <w:trPr>
          <w:cantSplit/>
        </w:trPr>
        <w:tc>
          <w:tcPr>
            <w:tcW w:w="2500" w:type="dxa"/>
            <w:shd w:val="clear" w:fill="FFFFFF"/>
            <w:vAlign w:val="center"/>
          </w:tcPr>
          <w:p>
            <w:pPr>
              <w:pStyle w:val="TableText"/>
            </w:pPr>
            <w:r>
              <w:rPr>
                <w:color w:val="243D4C"/>
              </w:rPr>
              <w:t xml:space="preserve">report_date</w:t>
            </w:r>
          </w:p>
        </w:tc>
        <w:tc>
          <w:tcPr>
            <w:tcW w:w="1700" w:type="dxa"/>
            <w:shd w:val="clear" w:fill="FFFFFF"/>
            <w:vAlign w:val="center"/>
          </w:tcPr>
          <w:p>
            <w:pPr>
              <w:pStyle w:val="TableText"/>
            </w:pPr>
            <w:r>
              <w:rPr>
                <w:color w:val="243D4C"/>
              </w:rPr>
              <w:t xml:space="preserve">DATE</w:t>
            </w:r>
          </w:p>
        </w:tc>
        <w:tc>
          <w:tcPr>
            <w:tcW w:w="5690" w:type="dxa"/>
            <w:shd w:val="clear" w:fill="FFFFFF"/>
            <w:vAlign w:val="center"/>
          </w:tcPr>
          <w:p>
            <w:pPr>
              <w:pStyle w:val="TableText"/>
            </w:pPr>
            <w:r>
              <w:rPr>
                <w:color w:val="243D4C"/>
              </w:rPr>
              <w:t xml:space="preserve">Composite PK, part 1; local order creation date.</w:t>
            </w:r>
          </w:p>
        </w:tc>
      </w:tr>
      <w:tr>
        <w:trPr>
          <w:cantSplit/>
        </w:trPr>
        <w:tc>
          <w:tcPr>
            <w:tcW w:w="2500" w:type="dxa"/>
            <w:shd w:val="clear" w:fill="F2F7FA"/>
            <w:vAlign w:val="center"/>
          </w:tcPr>
          <w:p>
            <w:pPr>
              <w:pStyle w:val="TableText"/>
            </w:pPr>
            <w:r>
              <w:rPr>
                <w:color w:val="243D4C"/>
              </w:rPr>
              <w:t xml:space="preserve">branch_id</w:t>
            </w:r>
          </w:p>
        </w:tc>
        <w:tc>
          <w:tcPr>
            <w:tcW w:w="1700" w:type="dxa"/>
            <w:shd w:val="clear" w:fill="F2F7FA"/>
            <w:vAlign w:val="center"/>
          </w:tcPr>
          <w:p>
            <w:pPr>
              <w:pStyle w:val="TableText"/>
            </w:pPr>
            <w:r>
              <w:rPr>
                <w:color w:val="243D4C"/>
              </w:rPr>
              <w:t xml:space="preserve">UUID</w:t>
            </w:r>
          </w:p>
        </w:tc>
        <w:tc>
          <w:tcPr>
            <w:tcW w:w="5690" w:type="dxa"/>
            <w:shd w:val="clear" w:fill="F2F7FA"/>
            <w:vAlign w:val="center"/>
          </w:tcPr>
          <w:p>
            <w:pPr>
              <w:pStyle w:val="TableText"/>
            </w:pPr>
            <w:r>
              <w:rPr>
                <w:color w:val="243D4C"/>
              </w:rPr>
              <w:t xml:space="preserve">Composite PK, part 2; FK → public.branches.id.</w:t>
            </w:r>
          </w:p>
        </w:tc>
      </w:tr>
      <w:tr>
        <w:trPr>
          <w:cantSplit/>
        </w:trPr>
        <w:tc>
          <w:tcPr>
            <w:tcW w:w="2500" w:type="dxa"/>
            <w:shd w:val="clear" w:fill="FFFFFF"/>
            <w:vAlign w:val="center"/>
          </w:tcPr>
          <w:p>
            <w:pPr>
              <w:pStyle w:val="TableText"/>
            </w:pPr>
            <w:r>
              <w:rPr>
                <w:color w:val="243D4C"/>
              </w:rPr>
              <w:t xml:space="preserve">order_count</w:t>
            </w:r>
          </w:p>
        </w:tc>
        <w:tc>
          <w:tcPr>
            <w:tcW w:w="1700" w:type="dxa"/>
            <w:shd w:val="clear" w:fill="FFFFFF"/>
            <w:vAlign w:val="center"/>
          </w:tcPr>
          <w:p>
            <w:pPr>
              <w:pStyle w:val="TableText"/>
            </w:pPr>
            <w:r>
              <w:rPr>
                <w:color w:val="243D4C"/>
              </w:rPr>
              <w:t xml:space="preserve">BIGINT</w:t>
            </w:r>
          </w:p>
        </w:tc>
        <w:tc>
          <w:tcPr>
            <w:tcW w:w="5690" w:type="dxa"/>
            <w:shd w:val="clear" w:fill="FFFFFF"/>
            <w:vAlign w:val="center"/>
          </w:tcPr>
          <w:p>
            <w:pPr>
              <w:pStyle w:val="TableText"/>
            </w:pPr>
            <w:r>
              <w:rPr>
                <w:color w:val="243D4C"/>
              </w:rPr>
              <w:t xml:space="preserve">COUNT(*) for non-cancelled orders in the group.</w:t>
            </w:r>
          </w:p>
        </w:tc>
      </w:tr>
      <w:tr>
        <w:trPr>
          <w:cantSplit/>
        </w:trPr>
        <w:tc>
          <w:tcPr>
            <w:tcW w:w="2500" w:type="dxa"/>
            <w:shd w:val="clear" w:fill="F2F7FA"/>
            <w:vAlign w:val="center"/>
          </w:tcPr>
          <w:p>
            <w:pPr>
              <w:pStyle w:val="TableText"/>
            </w:pPr>
            <w:r>
              <w:rPr>
                <w:color w:val="243D4C"/>
              </w:rPr>
              <w:t xml:space="preserve">released_order_count</w:t>
            </w:r>
          </w:p>
        </w:tc>
        <w:tc>
          <w:tcPr>
            <w:tcW w:w="1700" w:type="dxa"/>
            <w:shd w:val="clear" w:fill="F2F7FA"/>
            <w:vAlign w:val="center"/>
          </w:tcPr>
          <w:p>
            <w:pPr>
              <w:pStyle w:val="TableText"/>
            </w:pPr>
            <w:r>
              <w:rPr>
                <w:color w:val="243D4C"/>
              </w:rPr>
              <w:t xml:space="preserve">BIGINT</w:t>
            </w:r>
          </w:p>
        </w:tc>
        <w:tc>
          <w:tcPr>
            <w:tcW w:w="5690" w:type="dxa"/>
            <w:shd w:val="clear" w:fill="F2F7FA"/>
            <w:vAlign w:val="center"/>
          </w:tcPr>
          <w:p>
            <w:pPr>
              <w:pStyle w:val="TableText"/>
            </w:pPr>
            <w:r>
              <w:rPr>
                <w:color w:val="243D4C"/>
              </w:rPr>
              <w:t xml:space="preserve">Count of those orders whose current status is released.</w:t>
            </w:r>
          </w:p>
        </w:tc>
      </w:tr>
      <w:tr>
        <w:trPr>
          <w:cantSplit/>
        </w:trPr>
        <w:tc>
          <w:tcPr>
            <w:tcW w:w="2500" w:type="dxa"/>
            <w:shd w:val="clear" w:fill="FFFFFF"/>
            <w:vAlign w:val="center"/>
          </w:tcPr>
          <w:p>
            <w:pPr>
              <w:pStyle w:val="TableText"/>
            </w:pPr>
            <w:r>
              <w:rPr>
                <w:color w:val="243D4C"/>
              </w:rPr>
              <w:t xml:space="preserve">unique_customer_count</w:t>
            </w:r>
          </w:p>
        </w:tc>
        <w:tc>
          <w:tcPr>
            <w:tcW w:w="1700" w:type="dxa"/>
            <w:shd w:val="clear" w:fill="FFFFFF"/>
            <w:vAlign w:val="center"/>
          </w:tcPr>
          <w:p>
            <w:pPr>
              <w:pStyle w:val="TableText"/>
            </w:pPr>
            <w:r>
              <w:rPr>
                <w:color w:val="243D4C"/>
              </w:rPr>
              <w:t xml:space="preserve">BIGINT</w:t>
            </w:r>
          </w:p>
        </w:tc>
        <w:tc>
          <w:tcPr>
            <w:tcW w:w="5690" w:type="dxa"/>
            <w:shd w:val="clear" w:fill="FFFFFF"/>
            <w:vAlign w:val="center"/>
          </w:tcPr>
          <w:p>
            <w:pPr>
              <w:pStyle w:val="TableText"/>
            </w:pPr>
            <w:r>
              <w:rPr>
                <w:color w:val="243D4C"/>
              </w:rPr>
              <w:t xml:space="preserve">COUNT(DISTINCT customer_id); null customer IDs excluded.</w:t>
            </w:r>
          </w:p>
        </w:tc>
      </w:tr>
      <w:tr>
        <w:trPr>
          <w:cantSplit/>
        </w:trPr>
        <w:tc>
          <w:tcPr>
            <w:tcW w:w="2500" w:type="dxa"/>
            <w:shd w:val="clear" w:fill="F2F7FA"/>
            <w:vAlign w:val="center"/>
          </w:tcPr>
          <w:p>
            <w:pPr>
              <w:pStyle w:val="TableText"/>
            </w:pPr>
            <w:r>
              <w:rPr>
                <w:color w:val="243D4C"/>
              </w:rPr>
              <w:t xml:space="preserve">total_weight_kg</w:t>
            </w:r>
          </w:p>
        </w:tc>
        <w:tc>
          <w:tcPr>
            <w:tcW w:w="1700" w:type="dxa"/>
            <w:shd w:val="clear" w:fill="F2F7FA"/>
            <w:vAlign w:val="center"/>
          </w:tcPr>
          <w:p>
            <w:pPr>
              <w:pStyle w:val="TableText"/>
            </w:pPr>
            <w:r>
              <w:rPr>
                <w:color w:val="243D4C"/>
              </w:rPr>
              <w:t xml:space="preserve">NUMERIC(14,2)</w:t>
            </w:r>
          </w:p>
        </w:tc>
        <w:tc>
          <w:tcPr>
            <w:tcW w:w="5690" w:type="dxa"/>
            <w:shd w:val="clear" w:fill="F2F7FA"/>
            <w:vAlign w:val="center"/>
          </w:tcPr>
          <w:p>
            <w:pPr>
              <w:pStyle w:val="TableText"/>
            </w:pPr>
            <w:r>
              <w:rPr>
                <w:color w:val="243D4C"/>
              </w:rPr>
              <w:t xml:space="preserve">SUM(weight_kg).</w:t>
            </w:r>
          </w:p>
        </w:tc>
      </w:tr>
      <w:tr>
        <w:trPr>
          <w:cantSplit/>
        </w:trPr>
        <w:tc>
          <w:tcPr>
            <w:tcW w:w="2500" w:type="dxa"/>
            <w:shd w:val="clear" w:fill="FFFFFF"/>
            <w:vAlign w:val="center"/>
          </w:tcPr>
          <w:p>
            <w:pPr>
              <w:pStyle w:val="TableText"/>
            </w:pPr>
            <w:r>
              <w:rPr>
                <w:color w:val="243D4C"/>
              </w:rPr>
              <w:t xml:space="preserve">order_value_php</w:t>
            </w:r>
          </w:p>
        </w:tc>
        <w:tc>
          <w:tcPr>
            <w:tcW w:w="1700" w:type="dxa"/>
            <w:shd w:val="clear" w:fill="FFFFFF"/>
            <w:vAlign w:val="center"/>
          </w:tcPr>
          <w:p>
            <w:pPr>
              <w:pStyle w:val="TableText"/>
            </w:pPr>
            <w:r>
              <w:rPr>
                <w:color w:val="243D4C"/>
              </w:rPr>
              <w:t xml:space="preserve">NUMERIC(14,2)</w:t>
            </w:r>
          </w:p>
        </w:tc>
        <w:tc>
          <w:tcPr>
            <w:tcW w:w="5690" w:type="dxa"/>
            <w:shd w:val="clear" w:fill="FFFFFF"/>
            <w:vAlign w:val="center"/>
          </w:tcPr>
          <w:p>
            <w:pPr>
              <w:pStyle w:val="TableText"/>
            </w:pPr>
            <w:r>
              <w:rPr>
                <w:color w:val="243D4C"/>
              </w:rPr>
              <w:t xml:space="preserve">SUM(total_price); use recorded final values.</w:t>
            </w:r>
          </w:p>
        </w:tc>
      </w:tr>
      <w:tr>
        <w:trPr>
          <w:cantSplit/>
        </w:trPr>
        <w:tc>
          <w:tcPr>
            <w:tcW w:w="2500" w:type="dxa"/>
            <w:shd w:val="clear" w:fill="F2F7FA"/>
            <w:vAlign w:val="center"/>
          </w:tcPr>
          <w:p>
            <w:pPr>
              <w:pStyle w:val="TableText"/>
            </w:pPr>
            <w:r>
              <w:rPr>
                <w:color w:val="243D4C"/>
              </w:rPr>
              <w:t xml:space="preserve">recorded_payments_php</w:t>
            </w:r>
          </w:p>
        </w:tc>
        <w:tc>
          <w:tcPr>
            <w:tcW w:w="1700" w:type="dxa"/>
            <w:shd w:val="clear" w:fill="F2F7FA"/>
            <w:vAlign w:val="center"/>
          </w:tcPr>
          <w:p>
            <w:pPr>
              <w:pStyle w:val="TableText"/>
            </w:pPr>
            <w:r>
              <w:rPr>
                <w:color w:val="243D4C"/>
              </w:rPr>
              <w:t xml:space="preserve">NUMERIC(14,2)</w:t>
            </w:r>
          </w:p>
        </w:tc>
        <w:tc>
          <w:tcPr>
            <w:tcW w:w="5690" w:type="dxa"/>
            <w:shd w:val="clear" w:fill="F2F7FA"/>
            <w:vAlign w:val="center"/>
          </w:tcPr>
          <w:p>
            <w:pPr>
              <w:pStyle w:val="TableText"/>
            </w:pPr>
            <w:r>
              <w:rPr>
                <w:color w:val="243D4C"/>
              </w:rPr>
              <w:t xml:space="preserve">SUM(normalized amount_paid), attributed to report_date.</w:t>
            </w:r>
          </w:p>
        </w:tc>
      </w:tr>
      <w:tr>
        <w:trPr>
          <w:cantSplit/>
        </w:trPr>
        <w:tc>
          <w:tcPr>
            <w:tcW w:w="2500" w:type="dxa"/>
            <w:shd w:val="clear" w:fill="FFFFFF"/>
            <w:vAlign w:val="center"/>
          </w:tcPr>
          <w:p>
            <w:pPr>
              <w:pStyle w:val="TableText"/>
            </w:pPr>
            <w:r>
              <w:rPr>
                <w:color w:val="243D4C"/>
              </w:rPr>
              <w:t xml:space="preserve">refreshed_at</w:t>
            </w:r>
          </w:p>
        </w:tc>
        <w:tc>
          <w:tcPr>
            <w:tcW w:w="1700" w:type="dxa"/>
            <w:shd w:val="clear" w:fill="FFFFFF"/>
            <w:vAlign w:val="center"/>
          </w:tcPr>
          <w:p>
            <w:pPr>
              <w:pStyle w:val="TableText"/>
            </w:pPr>
            <w:r>
              <w:rPr>
                <w:color w:val="243D4C"/>
              </w:rPr>
              <w:t xml:space="preserve">TIMESTAMPTZ</w:t>
            </w:r>
          </w:p>
        </w:tc>
        <w:tc>
          <w:tcPr>
            <w:tcW w:w="5690" w:type="dxa"/>
            <w:shd w:val="clear" w:fill="FFFFFF"/>
            <w:vAlign w:val="center"/>
          </w:tcPr>
          <w:p>
            <w:pPr>
              <w:pStyle w:val="TableText"/>
            </w:pPr>
            <w:r>
              <w:rPr>
                <w:color w:val="243D4C"/>
              </w:rPr>
              <w:t xml:space="preserve">Timestamp captured at the start of the successful run.</w:t>
            </w:r>
          </w:p>
        </w:tc>
      </w:tr>
    </w:tbl>
    <w:p>
      <w:pPr>
        <w:pStyle w:val="AfterTable"/>
      </w:pPr>
      <w:r>
        <w:rPr/>
        <w:t xml:space="preserve"/>
      </w:r>
    </w:p>
    <w:p>
      <w:pPr>
        <w:pStyle w:val="Caption"/>
      </w:pPr>
      <w:r>
        <w:rPr/>
        <w:t xml:space="preserve">Table 6. analytics.daily_service_summary — one row per date, branch, and service key.</w:t>
      </w:r>
    </w:p>
    <w:tbl>
      <w:tblPr>
        <w:tblW w:w="9890" w:type="dxa"/>
        <w:tblLayout w:type="fixed"/>
        <w:tblBorders>
          <w:top w:val="single" w:sz="4" w:color="D5E1E8"/>
          <w:left w:val="single" w:sz="4" w:color="D5E1E8"/>
          <w:bottom w:val="single" w:sz="4" w:color="D5E1E8"/>
          <w:right w:val="single" w:sz="4" w:color="D5E1E8"/>
          <w:insideH w:val="single" w:sz="4" w:color="D5E1E8"/>
          <w:insideV w:val="single" w:sz="4" w:color="D5E1E8"/>
        </w:tblBorders>
        <w:tblCellMar>
          <w:top w:w="80" w:type="dxa"/>
          <w:left w:w="110" w:type="dxa"/>
          <w:bottom w:w="80" w:type="dxa"/>
          <w:right w:w="110" w:type="dxa"/>
        </w:tblCellMar>
      </w:tblPr>
      <w:tblGrid>
        <w:gridCol w:w="2500"/>
        <w:gridCol w:w="1700"/>
        <w:gridCol w:w="5690"/>
      </w:tblGrid>
      <w:tr>
        <w:trPr>
          <w:cantSplit/>
          <w:tblHeader/>
        </w:trPr>
        <w:tc>
          <w:tcPr>
            <w:tcW w:w="2500" w:type="dxa"/>
            <w:shd w:val="clear" w:fill="163A50"/>
            <w:vAlign w:val="center"/>
          </w:tcPr>
          <w:p>
            <w:pPr>
              <w:pStyle w:val="TableText"/>
              <w:keepNext/>
            </w:pPr>
            <w:r>
              <w:rPr>
                <w:b/>
                <w:color w:val="FFFFFF"/>
              </w:rPr>
              <w:t xml:space="preserve">Column</w:t>
            </w:r>
          </w:p>
        </w:tc>
        <w:tc>
          <w:tcPr>
            <w:tcW w:w="1700" w:type="dxa"/>
            <w:shd w:val="clear" w:fill="163A50"/>
            <w:vAlign w:val="center"/>
          </w:tcPr>
          <w:p>
            <w:pPr>
              <w:pStyle w:val="TableText"/>
              <w:keepNext/>
            </w:pPr>
            <w:r>
              <w:rPr>
                <w:b/>
                <w:color w:val="FFFFFF"/>
              </w:rPr>
              <w:t xml:space="preserve">Data type</w:t>
            </w:r>
          </w:p>
        </w:tc>
        <w:tc>
          <w:tcPr>
            <w:tcW w:w="5690" w:type="dxa"/>
            <w:shd w:val="clear" w:fill="163A50"/>
            <w:vAlign w:val="center"/>
          </w:tcPr>
          <w:p>
            <w:pPr>
              <w:pStyle w:val="TableText"/>
              <w:keepNext/>
            </w:pPr>
            <w:r>
              <w:rPr>
                <w:b/>
                <w:color w:val="FFFFFF"/>
              </w:rPr>
              <w:t xml:space="preserve">Key / calculation</w:t>
            </w:r>
          </w:p>
        </w:tc>
      </w:tr>
      <w:tr>
        <w:trPr>
          <w:cantSplit/>
        </w:trPr>
        <w:tc>
          <w:tcPr>
            <w:tcW w:w="2500" w:type="dxa"/>
            <w:shd w:val="clear" w:fill="FFFFFF"/>
            <w:vAlign w:val="center"/>
          </w:tcPr>
          <w:p>
            <w:pPr>
              <w:pStyle w:val="TableText"/>
            </w:pPr>
            <w:r>
              <w:rPr>
                <w:color w:val="243D4C"/>
              </w:rPr>
              <w:t xml:space="preserve">report_date</w:t>
            </w:r>
          </w:p>
        </w:tc>
        <w:tc>
          <w:tcPr>
            <w:tcW w:w="1700" w:type="dxa"/>
            <w:shd w:val="clear" w:fill="FFFFFF"/>
            <w:vAlign w:val="center"/>
          </w:tcPr>
          <w:p>
            <w:pPr>
              <w:pStyle w:val="TableText"/>
            </w:pPr>
            <w:r>
              <w:rPr>
                <w:color w:val="243D4C"/>
              </w:rPr>
              <w:t xml:space="preserve">DATE</w:t>
            </w:r>
          </w:p>
        </w:tc>
        <w:tc>
          <w:tcPr>
            <w:tcW w:w="5690" w:type="dxa"/>
            <w:shd w:val="clear" w:fill="FFFFFF"/>
            <w:vAlign w:val="center"/>
          </w:tcPr>
          <w:p>
            <w:pPr>
              <w:pStyle w:val="TableText"/>
            </w:pPr>
            <w:r>
              <w:rPr>
                <w:color w:val="243D4C"/>
              </w:rPr>
              <w:t xml:space="preserve">Composite PK, part 1; local order creation date.</w:t>
            </w:r>
          </w:p>
        </w:tc>
      </w:tr>
      <w:tr>
        <w:trPr>
          <w:cantSplit/>
        </w:trPr>
        <w:tc>
          <w:tcPr>
            <w:tcW w:w="2500" w:type="dxa"/>
            <w:shd w:val="clear" w:fill="F2F7FA"/>
            <w:vAlign w:val="center"/>
          </w:tcPr>
          <w:p>
            <w:pPr>
              <w:pStyle w:val="TableText"/>
            </w:pPr>
            <w:r>
              <w:rPr>
                <w:color w:val="243D4C"/>
              </w:rPr>
              <w:t xml:space="preserve">branch_id</w:t>
            </w:r>
          </w:p>
        </w:tc>
        <w:tc>
          <w:tcPr>
            <w:tcW w:w="1700" w:type="dxa"/>
            <w:shd w:val="clear" w:fill="F2F7FA"/>
            <w:vAlign w:val="center"/>
          </w:tcPr>
          <w:p>
            <w:pPr>
              <w:pStyle w:val="TableText"/>
            </w:pPr>
            <w:r>
              <w:rPr>
                <w:color w:val="243D4C"/>
              </w:rPr>
              <w:t xml:space="preserve">UUID</w:t>
            </w:r>
          </w:p>
        </w:tc>
        <w:tc>
          <w:tcPr>
            <w:tcW w:w="5690" w:type="dxa"/>
            <w:shd w:val="clear" w:fill="F2F7FA"/>
            <w:vAlign w:val="center"/>
          </w:tcPr>
          <w:p>
            <w:pPr>
              <w:pStyle w:val="TableText"/>
            </w:pPr>
            <w:r>
              <w:rPr>
                <w:color w:val="243D4C"/>
              </w:rPr>
              <w:t xml:space="preserve">Composite PK, part 2; FK → public.branches.id.</w:t>
            </w:r>
          </w:p>
        </w:tc>
      </w:tr>
      <w:tr>
        <w:trPr>
          <w:cantSplit/>
        </w:trPr>
        <w:tc>
          <w:tcPr>
            <w:tcW w:w="2500" w:type="dxa"/>
            <w:shd w:val="clear" w:fill="FFFFFF"/>
            <w:vAlign w:val="center"/>
          </w:tcPr>
          <w:p>
            <w:pPr>
              <w:pStyle w:val="TableText"/>
            </w:pPr>
            <w:r>
              <w:rPr>
                <w:color w:val="243D4C"/>
              </w:rPr>
              <w:t xml:space="preserve">service_key</w:t>
            </w:r>
          </w:p>
        </w:tc>
        <w:tc>
          <w:tcPr>
            <w:tcW w:w="1700" w:type="dxa"/>
            <w:shd w:val="clear" w:fill="FFFFFF"/>
            <w:vAlign w:val="center"/>
          </w:tcPr>
          <w:p>
            <w:pPr>
              <w:pStyle w:val="TableText"/>
            </w:pPr>
            <w:r>
              <w:rPr>
                <w:color w:val="243D4C"/>
              </w:rPr>
              <w:t xml:space="preserve">TEXT</w:t>
            </w:r>
          </w:p>
        </w:tc>
        <w:tc>
          <w:tcPr>
            <w:tcW w:w="5690" w:type="dxa"/>
            <w:shd w:val="clear" w:fill="FFFFFF"/>
            <w:vAlign w:val="center"/>
          </w:tcPr>
          <w:p>
            <w:pPr>
              <w:pStyle w:val="TableText"/>
            </w:pPr>
            <w:r>
              <w:rPr>
                <w:color w:val="243D4C"/>
              </w:rPr>
              <w:t xml:space="preserve">Composite PK, part 3; service UUID as text, or unspecified.</w:t>
            </w:r>
          </w:p>
        </w:tc>
      </w:tr>
      <w:tr>
        <w:trPr>
          <w:cantSplit/>
        </w:trPr>
        <w:tc>
          <w:tcPr>
            <w:tcW w:w="2500" w:type="dxa"/>
            <w:shd w:val="clear" w:fill="F2F7FA"/>
            <w:vAlign w:val="center"/>
          </w:tcPr>
          <w:p>
            <w:pPr>
              <w:pStyle w:val="TableText"/>
            </w:pPr>
            <w:r>
              <w:rPr>
                <w:color w:val="243D4C"/>
              </w:rPr>
              <w:t xml:space="preserve">service_type_id</w:t>
            </w:r>
          </w:p>
        </w:tc>
        <w:tc>
          <w:tcPr>
            <w:tcW w:w="1700" w:type="dxa"/>
            <w:shd w:val="clear" w:fill="F2F7FA"/>
            <w:vAlign w:val="center"/>
          </w:tcPr>
          <w:p>
            <w:pPr>
              <w:pStyle w:val="TableText"/>
            </w:pPr>
            <w:r>
              <w:rPr>
                <w:color w:val="243D4C"/>
              </w:rPr>
              <w:t xml:space="preserve">UUID</w:t>
            </w:r>
          </w:p>
        </w:tc>
        <w:tc>
          <w:tcPr>
            <w:tcW w:w="5690" w:type="dxa"/>
            <w:shd w:val="clear" w:fill="F2F7FA"/>
            <w:vAlign w:val="center"/>
          </w:tcPr>
          <w:p>
            <w:pPr>
              <w:pStyle w:val="TableText"/>
            </w:pPr>
            <w:r>
              <w:rPr>
                <w:color w:val="243D4C"/>
              </w:rPr>
              <w:t xml:space="preserve">Nullable FK → public.service_types.id; null for Unspecified.</w:t>
            </w:r>
          </w:p>
        </w:tc>
      </w:tr>
      <w:tr>
        <w:trPr>
          <w:cantSplit/>
        </w:trPr>
        <w:tc>
          <w:tcPr>
            <w:tcW w:w="2500" w:type="dxa"/>
            <w:shd w:val="clear" w:fill="FFFFFF"/>
            <w:vAlign w:val="center"/>
          </w:tcPr>
          <w:p>
            <w:pPr>
              <w:pStyle w:val="TableText"/>
            </w:pPr>
            <w:r>
              <w:rPr>
                <w:color w:val="243D4C"/>
              </w:rPr>
              <w:t xml:space="preserve">order_count</w:t>
            </w:r>
          </w:p>
        </w:tc>
        <w:tc>
          <w:tcPr>
            <w:tcW w:w="1700" w:type="dxa"/>
            <w:shd w:val="clear" w:fill="FFFFFF"/>
            <w:vAlign w:val="center"/>
          </w:tcPr>
          <w:p>
            <w:pPr>
              <w:pStyle w:val="TableText"/>
            </w:pPr>
            <w:r>
              <w:rPr>
                <w:color w:val="243D4C"/>
              </w:rPr>
              <w:t xml:space="preserve">BIGINT</w:t>
            </w:r>
          </w:p>
        </w:tc>
        <w:tc>
          <w:tcPr>
            <w:tcW w:w="5690" w:type="dxa"/>
            <w:shd w:val="clear" w:fill="FFFFFF"/>
            <w:vAlign w:val="center"/>
          </w:tcPr>
          <w:p>
            <w:pPr>
              <w:pStyle w:val="TableText"/>
            </w:pPr>
            <w:r>
              <w:rPr>
                <w:color w:val="243D4C"/>
              </w:rPr>
              <w:t xml:space="preserve">COUNT(*) for the non-cancelled orders in this group.</w:t>
            </w:r>
          </w:p>
        </w:tc>
      </w:tr>
      <w:tr>
        <w:trPr>
          <w:cantSplit/>
        </w:trPr>
        <w:tc>
          <w:tcPr>
            <w:tcW w:w="2500" w:type="dxa"/>
            <w:shd w:val="clear" w:fill="F2F7FA"/>
            <w:vAlign w:val="center"/>
          </w:tcPr>
          <w:p>
            <w:pPr>
              <w:pStyle w:val="TableText"/>
            </w:pPr>
            <w:r>
              <w:rPr>
                <w:color w:val="243D4C"/>
              </w:rPr>
              <w:t xml:space="preserve">total_weight_kg</w:t>
            </w:r>
          </w:p>
        </w:tc>
        <w:tc>
          <w:tcPr>
            <w:tcW w:w="1700" w:type="dxa"/>
            <w:shd w:val="clear" w:fill="F2F7FA"/>
            <w:vAlign w:val="center"/>
          </w:tcPr>
          <w:p>
            <w:pPr>
              <w:pStyle w:val="TableText"/>
            </w:pPr>
            <w:r>
              <w:rPr>
                <w:color w:val="243D4C"/>
              </w:rPr>
              <w:t xml:space="preserve">NUMERIC(14,2)</w:t>
            </w:r>
          </w:p>
        </w:tc>
        <w:tc>
          <w:tcPr>
            <w:tcW w:w="5690" w:type="dxa"/>
            <w:shd w:val="clear" w:fill="F2F7FA"/>
            <w:vAlign w:val="center"/>
          </w:tcPr>
          <w:p>
            <w:pPr>
              <w:pStyle w:val="TableText"/>
            </w:pPr>
            <w:r>
              <w:rPr>
                <w:color w:val="243D4C"/>
              </w:rPr>
              <w:t xml:space="preserve">SUM(weight_kg).</w:t>
            </w:r>
          </w:p>
        </w:tc>
      </w:tr>
      <w:tr>
        <w:trPr>
          <w:cantSplit/>
        </w:trPr>
        <w:tc>
          <w:tcPr>
            <w:tcW w:w="2500" w:type="dxa"/>
            <w:shd w:val="clear" w:fill="FFFFFF"/>
            <w:vAlign w:val="center"/>
          </w:tcPr>
          <w:p>
            <w:pPr>
              <w:pStyle w:val="TableText"/>
            </w:pPr>
            <w:r>
              <w:rPr>
                <w:color w:val="243D4C"/>
              </w:rPr>
              <w:t xml:space="preserve">order_value_php</w:t>
            </w:r>
          </w:p>
        </w:tc>
        <w:tc>
          <w:tcPr>
            <w:tcW w:w="1700" w:type="dxa"/>
            <w:shd w:val="clear" w:fill="FFFFFF"/>
            <w:vAlign w:val="center"/>
          </w:tcPr>
          <w:p>
            <w:pPr>
              <w:pStyle w:val="TableText"/>
            </w:pPr>
            <w:r>
              <w:rPr>
                <w:color w:val="243D4C"/>
              </w:rPr>
              <w:t xml:space="preserve">NUMERIC(14,2)</w:t>
            </w:r>
          </w:p>
        </w:tc>
        <w:tc>
          <w:tcPr>
            <w:tcW w:w="5690" w:type="dxa"/>
            <w:shd w:val="clear" w:fill="FFFFFF"/>
            <w:vAlign w:val="center"/>
          </w:tcPr>
          <w:p>
            <w:pPr>
              <w:pStyle w:val="TableText"/>
            </w:pPr>
            <w:r>
              <w:rPr>
                <w:color w:val="243D4C"/>
              </w:rPr>
              <w:t xml:space="preserve">SUM(total_price).</w:t>
            </w:r>
          </w:p>
        </w:tc>
      </w:tr>
      <w:tr>
        <w:trPr>
          <w:cantSplit/>
        </w:trPr>
        <w:tc>
          <w:tcPr>
            <w:tcW w:w="2500" w:type="dxa"/>
            <w:shd w:val="clear" w:fill="F2F7FA"/>
            <w:vAlign w:val="center"/>
          </w:tcPr>
          <w:p>
            <w:pPr>
              <w:pStyle w:val="TableText"/>
            </w:pPr>
            <w:r>
              <w:rPr>
                <w:color w:val="243D4C"/>
              </w:rPr>
              <w:t xml:space="preserve">recorded_payments_php</w:t>
            </w:r>
          </w:p>
        </w:tc>
        <w:tc>
          <w:tcPr>
            <w:tcW w:w="1700" w:type="dxa"/>
            <w:shd w:val="clear" w:fill="F2F7FA"/>
            <w:vAlign w:val="center"/>
          </w:tcPr>
          <w:p>
            <w:pPr>
              <w:pStyle w:val="TableText"/>
            </w:pPr>
            <w:r>
              <w:rPr>
                <w:color w:val="243D4C"/>
              </w:rPr>
              <w:t xml:space="preserve">NUMERIC(14,2)</w:t>
            </w:r>
          </w:p>
        </w:tc>
        <w:tc>
          <w:tcPr>
            <w:tcW w:w="5690" w:type="dxa"/>
            <w:shd w:val="clear" w:fill="F2F7FA"/>
            <w:vAlign w:val="center"/>
          </w:tcPr>
          <w:p>
            <w:pPr>
              <w:pStyle w:val="TableText"/>
            </w:pPr>
            <w:r>
              <w:rPr>
                <w:color w:val="243D4C"/>
              </w:rPr>
              <w:t xml:space="preserve">SUM(normalized amount_paid), attributed to report_date.</w:t>
            </w:r>
          </w:p>
        </w:tc>
      </w:tr>
      <w:tr>
        <w:trPr>
          <w:cantSplit/>
        </w:trPr>
        <w:tc>
          <w:tcPr>
            <w:tcW w:w="2500" w:type="dxa"/>
            <w:shd w:val="clear" w:fill="FFFFFF"/>
            <w:vAlign w:val="center"/>
          </w:tcPr>
          <w:p>
            <w:pPr>
              <w:pStyle w:val="TableText"/>
            </w:pPr>
            <w:r>
              <w:rPr>
                <w:color w:val="243D4C"/>
              </w:rPr>
              <w:t xml:space="preserve">refreshed_at</w:t>
            </w:r>
          </w:p>
        </w:tc>
        <w:tc>
          <w:tcPr>
            <w:tcW w:w="1700" w:type="dxa"/>
            <w:shd w:val="clear" w:fill="FFFFFF"/>
            <w:vAlign w:val="center"/>
          </w:tcPr>
          <w:p>
            <w:pPr>
              <w:pStyle w:val="TableText"/>
            </w:pPr>
            <w:r>
              <w:rPr>
                <w:color w:val="243D4C"/>
              </w:rPr>
              <w:t xml:space="preserve">TIMESTAMPTZ</w:t>
            </w:r>
          </w:p>
        </w:tc>
        <w:tc>
          <w:tcPr>
            <w:tcW w:w="5690" w:type="dxa"/>
            <w:shd w:val="clear" w:fill="FFFFFF"/>
            <w:vAlign w:val="center"/>
          </w:tcPr>
          <w:p>
            <w:pPr>
              <w:pStyle w:val="TableText"/>
            </w:pPr>
            <w:r>
              <w:rPr>
                <w:color w:val="243D4C"/>
              </w:rPr>
              <w:t xml:space="preserve">Same run timestamp as the branch summary.</w:t>
            </w:r>
          </w:p>
        </w:tc>
      </w:tr>
    </w:tbl>
    <w:p>
      <w:pPr>
        <w:pStyle w:val="AfterTable"/>
      </w:pPr>
      <w:r>
        <w:rPr/>
        <w:t xml:space="preserve"/>
      </w:r>
    </w:p>
    <w:p>
      <w:pPr>
        <w:pStyle w:val="Small"/>
      </w:pPr>
      <w:r>
        <w:rPr/>
        <w:t xml:space="preserve">Constraints and relationships: Each branch has many source orders and summary rows; each service has many orders and service-summary rows. Each customer can have many orders. The target composite keys prevent duplicate groups. Enforce service_key = COALESCE(service_type_id::text, 'unspecified'); use nonnegative checks on counts and totals. Reject numeric overflow rather than rounding away an error.</w:t>
      </w:r>
    </w:p>
    <w:p>
      <w:pPr>
        <w:pStyle w:val="Heading2"/>
        <w:pageBreakBefore/>
      </w:pPr>
      <w:r>
        <w:rPr/>
        <w:t xml:space="preserve">5.3 Metric and relationship rules</w:t>
      </w:r>
    </w:p>
    <w:p>
      <w:pPr>
        <w:pStyle w:val="Normal"/>
      </w:pPr>
      <w:r>
        <w:rPr/>
        <w:t xml:space="preserve">Dates and recorded payments. report_date is (created_at AT TIME ZONE 'Asia/Manila')::date. recorded_payments_php is the sum of cumulative order payments assigned to that order date, including partial payments. It is not a payment-date cash-flow total. A later balance payment updates the original order date’s summary during the next full refresh.</w:t>
      </w:r>
    </w:p>
    <w:p>
      <w:pPr>
        <w:pStyle w:val="Normal"/>
      </w:pPr>
      <w:r>
        <w:rPr/>
        <w:t xml:space="preserve">Legacy and status handling. Use amount_paid when present; only for legacy null values use total_price when payment_status is paid, otherwise zero. Preserve final order prices instead of recalculating from current rates. Cancelled orders stay in the operational data but are excluded from report totals; cancellation alone does not imply a refund. released_order_count groups orders by creation date, not release date.</w:t>
      </w:r>
    </w:p>
    <w:p>
      <w:pPr>
        <w:pStyle w:val="Normal"/>
      </w:pPr>
      <w:r>
        <w:rPr/>
        <w:t xml:space="preserve">Grouping and reconciliation. A null service stays in the Unspecified group, so summing service counts, weights, values, and recorded payments for a branch/date must match the branch summary. Store only groups with qualifying orders; report charts can fill date gaps with zero. Do not sum unique_customer_count across dates or branches to infer unique people: the same customer may appear in several groups. Recalculate a wider distinct count from source customer IDs when needed.</w:t>
      </w:r>
    </w:p>
    <w:p>
      <w:pPr>
        <w:pStyle w:val="Normal"/>
      </w:pPr>
      <w:r>
        <w:rPr/>
        <w:t xml:space="preserve">Job metadata. Scheduling definitions and outcomes remain in the extension-managed cron.job and cron.job_run_details tables. They are monitoring records, not additional business reporting tables. Failed validation raises an exception so the job history records failure. [1]</w:t>
      </w:r>
    </w:p>
    <w:p>
      <w:pPr>
        <w:pStyle w:val="Heading1"/>
      </w:pPr>
      <w:r>
        <w:rPr/>
        <w:t xml:space="preserve">6. Technology Justification</w:t>
      </w:r>
    </w:p>
    <w:p>
      <w:pPr>
        <w:pStyle w:val="Heading2"/>
      </w:pPr>
      <w:r>
        <w:rPr/>
        <w:t xml:space="preserve">PostgreSQL / Supabase</w:t>
      </w:r>
    </w:p>
    <w:p>
      <w:pPr>
        <w:pStyle w:val="Normal"/>
      </w:pPr>
      <w:r>
        <w:rPr/>
        <w:t xml:space="preserve">Selected because the current system already stores relational operational data in Supabase PostgreSQL. The proposed pipeline can read source tables and store results within the same database, using keys and transactions to preserve consistency. Large analytical jobs can compete with live transactions, so this design proposes an off-peak schedule and a measured runtime limit. [2]</w:t>
      </w:r>
    </w:p>
    <w:p>
      <w:pPr>
        <w:pStyle w:val="Heading2"/>
      </w:pPr>
      <w:r>
        <w:rPr/>
        <w:t xml:space="preserve">Supabase Cron / pg_cron</w:t>
      </w:r>
    </w:p>
    <w:p>
      <w:pPr>
        <w:pStyle w:val="Normal"/>
      </w:pPr>
      <w:r>
        <w:rPr/>
        <w:t xml:space="preserve">Selected to start the SQL refresh on a recurring daily schedule and record job outcomes inside PostgreSQL. This fits a short database-processing job and avoids introducing a separate scheduler service. The schedule and job history can be managed through Supabase. [1]</w:t>
      </w:r>
    </w:p>
    <w:p>
      <w:pPr>
        <w:pStyle w:val="Heading2"/>
      </w:pPr>
      <w:r>
        <w:rPr/>
        <w:t xml:space="preserve">SQL</w:t>
      </w:r>
    </w:p>
    <w:p>
      <w:pPr>
        <w:pStyle w:val="Normal"/>
      </w:pPr>
      <w:r>
        <w:rPr/>
        <w:t xml:space="preserve">Selected for extraction, joins, validation, date conversion, grouping, and loading. SQL operates directly on the existing relational data and keeps calculation rules in one scheduled database function. The function makes the proposed stages repeatable and reviewable. [3]</w:t>
      </w:r>
    </w:p>
    <w:p>
      <w:pPr>
        <w:pStyle w:val="Heading2"/>
      </w:pPr>
      <w:r>
        <w:rPr/>
        <w:t xml:space="preserve">Reporting Summary Tables</w:t>
      </w:r>
    </w:p>
    <w:p>
      <w:pPr>
        <w:pStyle w:val="Normal"/>
      </w:pPr>
      <w:r>
        <w:rPr/>
        <w:t xml:space="preserve">Selected as the destination for prepared branch and service totals. They are ordinary PostgreSQL tables, not a separate software product. They reduce repeated dashboard aggregation while making the reporting grain explicit. Their figures reflect the latest successful scheduled refresh, so reports must show refreshed_at.</w:t>
      </w:r>
    </w:p>
    <w:p>
      <w:pPr>
        <w:pStyle w:val="Heading2"/>
      </w:pPr>
      <w:r>
        <w:rPr/>
        <w:t xml:space="preserve">Technology sources</w:t>
      </w:r>
    </w:p>
    <w:p>
      <w:pPr>
        <w:pStyle w:val="Reference"/>
      </w:pPr>
      <w:r>
        <w:rPr/>
        <w:t xml:space="preserve">[1] Supabase. (n.d.). Cron; Quickstart. https://supabase.com/docs/guides/cron and https://supabase.com/docs/guides/cron/quickstart</w:t>
      </w:r>
    </w:p>
    <w:p>
      <w:pPr>
        <w:pStyle w:val="Reference"/>
      </w:pPr>
      <w:r>
        <w:rPr/>
        <w:t xml:space="preserve">[2] Supabase. (n.d.). Database overview. https://supabase.com/docs/guides/database/overview</w:t>
      </w:r>
    </w:p>
    <w:p>
      <w:pPr>
        <w:pStyle w:val="Reference"/>
      </w:pPr>
      <w:r>
        <w:rPr/>
        <w:t xml:space="preserve">[3] PostgreSQL Global Development Group. (n.d.). The SQL Language. https://www.postgresql.org/docs/current/sql.html</w:t>
      </w:r>
    </w:p>
    <w:sectPr>
      <w:headerReference w:type="default" r:id="rIdHeader"/>
      <w:footerReference w:type="default" r:id="rIdFooter"/>
      <w:pgSz w:w="11906" w:h="16838"/>
      <w:pgMar w:top="1008" w:right="1008" w:bottom="1008" w:left="1008" w:header="430" w:footer="430"/>
      <w:cols w:space="72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890"/>
      </w:tabs>
      <w:spacing w:before="70"/>
      <w:pBdr>
        <w:top w:val="single" w:sz="4" w:color="D5E1E8"/>
      </w:pBdr>
    </w:pPr>
    <w:r>
      <w:rPr>
        <w:color w:val="526978"/>
        <w:sz w:val="16"/>
      </w:rPr>
      <w:t xml:space="preserve">I&amp;C LAUNDRY  |  PROPOSED SQL ETL</w:t>
    </w:r>
    <w:r>
      <w:tab/>
    </w:r>
    <w:r>
      <w:rPr>
        <w:color w:val="526978"/>
        <w:sz w:val="16"/>
      </w:rPr>
      <w:t xml:space="preserve">Page </w:t>
    </w:r>
    <w:fldSimple w:instr="PAGE">
      <w:r>
        <w:rPr>
          <w:sz w:val="16"/>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spacing w:after="0"/>
    </w:pPr>
    <w:r>
      <w:rPr>
        <w:color w:val="6F8491"/>
        <w:sz w:val="16"/>
      </w:rPr>
      <w:t xml:space="preserve">TECHNICAL METADATA DOCUMENTATION</w:t>
    </w:r>
  </w:p>
</w:hdr>
</file>

<file path=word/settings.xml><?xml version="1.0" encoding="utf-8"?>
<w:settings xmlns:w="http://schemas.openxmlformats.org/wordprocessingml/2006/main">
  <w:zoom w:percent="100"/>
  <w:defaultTabStop w:val="720"/>
  <w:updateFields w:val="true"/>
</w:settings>
</file>

<file path=word/styles.xml><?xml version="1.0" encoding="utf-8"?>
<w:styles xmlns:w="http://schemas.openxmlformats.org/wordprocessingml/2006/main">
  <w:docDefaults>
    <w:rPrDefault>
      <w:rPr>
        <w:rFonts w:ascii="Calibri" w:hAnsi="Calibri" w:cs="Calibri"/>
        <w:color w:val="243D4C"/>
        <w:sz w:val="21"/>
        <w:lang w:val="en-PH"/>
      </w:rPr>
    </w:rPrDefault>
    <w:pPrDefault>
      <w:pPr>
        <w:spacing w:after="110" w:line="260" w:lineRule="auto"/>
        <w:widowControl/>
      </w:pPr>
    </w:pPrDefault>
  </w:docDefaults>
  <w:style w:type="paragraph" w:styleId="Normal" w:default="1">
    <w:name w:val="Normal"/>
    <w:pPr>
      <w:spacing w:after="110" w:line="260" w:lineRule="auto"/>
    </w:pPr>
    <w:rPr/>
  </w:style>
  <w:style w:type="paragraph" w:styleId="Title">
    <w:name w:val="Title"/>
    <w:basedOn w:val="Normal"/>
    <w:pPr>
      <w:keepNext/>
      <w:spacing w:before="50" w:after="90"/>
    </w:pPr>
    <w:rPr>
      <w:b/>
      <w:color w:val="163A50"/>
      <w:sz w:val="44"/>
    </w:rPr>
  </w:style>
  <w:style w:type="paragraph" w:styleId="Subtitle">
    <w:name w:val="Subtitle"/>
    <w:basedOn w:val="Normal"/>
    <w:pPr>
      <w:keepNext/>
      <w:spacing w:after="170"/>
    </w:pPr>
    <w:rPr>
      <w:color w:val="526978"/>
      <w:sz w:val="22"/>
    </w:rPr>
  </w:style>
  <w:style w:type="paragraph" w:styleId="Eyebrow">
    <w:name w:val="Eyebrow"/>
    <w:basedOn w:val="Normal"/>
    <w:pPr>
      <w:keepNext/>
      <w:spacing w:after="80"/>
    </w:pPr>
    <w:rPr>
      <w:b/>
      <w:color w:val="087E8B"/>
      <w:sz w:val="18"/>
    </w:rPr>
  </w:style>
  <w:style w:type="paragraph" w:styleId="Heading1">
    <w:name w:val="Heading1"/>
    <w:basedOn w:val="Normal"/>
    <w:pPr>
      <w:keepNext/>
      <w:outlineLvl w:val="0"/>
      <w:spacing w:before="180" w:after="100"/>
    </w:pPr>
    <w:rPr>
      <w:b/>
      <w:color w:val="163A50"/>
      <w:sz w:val="30"/>
    </w:rPr>
  </w:style>
  <w:style w:type="paragraph" w:styleId="Heading2">
    <w:name w:val="Heading2"/>
    <w:basedOn w:val="Normal"/>
    <w:pPr>
      <w:keepNext/>
      <w:outlineLvl w:val="1"/>
      <w:spacing w:before="130" w:after="65"/>
    </w:pPr>
    <w:rPr>
      <w:b/>
      <w:color w:val="087E8B"/>
      <w:sz w:val="23"/>
    </w:rPr>
  </w:style>
  <w:style w:type="paragraph" w:styleId="Caption">
    <w:name w:val="Caption"/>
    <w:basedOn w:val="Normal"/>
    <w:pPr>
      <w:keepNext/>
      <w:spacing w:before="60" w:after="75"/>
    </w:pPr>
    <w:rPr>
      <w:i/>
      <w:color w:val="526978"/>
      <w:sz w:val="18"/>
    </w:rPr>
  </w:style>
  <w:style w:type="paragraph" w:styleId="Note">
    <w:name w:val="Note"/>
    <w:basedOn w:val="Normal"/>
    <w:pPr>
      <w:spacing w:before="50" w:after="130"/>
      <w:pBdr>
        <w:left w:val="single" w:sz="14" w:space="9" w:color="087E8B"/>
      </w:pBdr>
    </w:pPr>
    <w:rPr>
      <w:sz w:val="19"/>
    </w:rPr>
  </w:style>
  <w:style w:type="paragraph" w:styleId="Small">
    <w:name w:val="Small"/>
    <w:basedOn w:val="Normal"/>
    <w:pPr>
      <w:spacing w:after="90" w:line="235" w:lineRule="auto"/>
    </w:pPr>
    <w:rPr>
      <w:sz w:val="18"/>
    </w:rPr>
  </w:style>
  <w:style w:type="paragraph" w:styleId="Reference">
    <w:name w:val="Reference"/>
    <w:basedOn w:val="Small"/>
    <w:pPr>
      <w:spacing w:after="55"/>
    </w:pPr>
    <w:rPr>
      <w:sz w:val="17"/>
      <w:color w:val="526978"/>
    </w:rPr>
  </w:style>
  <w:style w:type="paragraph" w:styleId="TableText">
    <w:name w:val="TableText"/>
    <w:basedOn w:val="Normal"/>
    <w:pPr>
      <w:spacing w:after="0" w:before="0" w:line="220" w:lineRule="auto"/>
    </w:pPr>
    <w:rPr>
      <w:sz w:val="18"/>
    </w:rPr>
  </w:style>
  <w:style w:type="paragraph" w:styleId="AfterTable">
    <w:name w:val="AfterTable"/>
    <w:basedOn w:val="Normal"/>
    <w:pPr>
      <w:spacing w:after="20" w:line="30" w:lineRule="exact"/>
    </w:pPr>
    <w:rPr>
      <w:sz w:val="2"/>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Settings" Type="http://schemas.openxmlformats.org/officeDocument/2006/relationships/settings" Target="settings.xml"/><Relationship Id="rIdImage1" Type="http://schemas.openxmlformats.org/officeDocument/2006/relationships/image" Target="media/architecture.png"/><Relationship Id="rIdImage2" Type="http://schemas.openxmlformats.org/officeDocument/2006/relationships/image" Target="media/lineage-timeline.png"/></Relationships>
</file>

<file path=docProps/core.xml><?xml version="1.0" encoding="utf-8"?>
<cp:coreProperties xmlns:cp="http://schemas.openxmlformats.org/package/2006/metadata/core-properties" xmlns:dc="http://purl.org/dc/elements/1.1/">
  <dc:title>I&amp;C Laundry - ETL Technical Metadata Documentation</dc:title>
  <dc:subject>Proposed data pipeline, architecture, lineage, and schema metadata</dc:subject>
  <dc:creator>I&amp;C Laundry Project</dc:creator>
  <dc:description>Prepared to follow lab-2 using PostgreSQL / Supabase, Supabase Cron / pg_cron, SQL, and Reporting Summary Tables.</dc:description>
</cp:coreProperties>
</file>